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ATESTO TÉCNICO DE EXCLUSIVIDADE E RAZÃO DA ESCOLHA DA CONTRATADA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Processo administrativo: </w:t>
      </w:r>
      <w:r>
        <w:rPr>
          <w:rFonts w:ascii="Arial" w:cs="Arial" w:eastAsia="Arial" w:hAnsi="Arial"/>
          <w:color w:val="0000FF"/>
          <w:sz w:val="20"/>
          <w:szCs w:val="20"/>
        </w:rPr>
        <w:t xml:space="preserve">[preencher NUP/SUAP]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Objeto: </w:t>
      </w:r>
      <w:r>
        <w:rPr>
          <w:rFonts w:ascii="Arial" w:cs="Arial" w:eastAsia="Arial" w:hAnsi="Arial"/>
          <w:sz w:val="20"/>
          <w:szCs w:val="20"/>
        </w:rPr>
        <w:t xml:space="preserve">prestação contínua de serviços públicos de fornecimento de água tratada e coleta/tratamento de esgoto sanitário para as unidades do Colégio Pedro II no Complexo de São Cristóvão.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BASE DOCUMENTAL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1.1. A Nota Técnica de Justificativa de Preços e as faturas que instruem os autos identificam as duas matrículas consumidoras e a estimativa anual da contratação.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1.2. O Relatório de Caracterização da AGENERSA relativo ao Bloco 4 informa que o bairro de São Cristóvão, no Município do Rio de Janeiro, integra a área concedida à Águas do Rio 4 SPE S.A. para a prestação regionalizada dos serviços de abastecimento de água e esgotamento sanitário.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1.3. Deve ser juntada, antes da assinatura deste atesto,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declaração atual da Águas do Rio e/ou trecho do contrato de concessão que confirme expressamente que as matrículas/endereço abaixo são atendidos pela concessionária exclusiva local:</w:t>
      </w:r>
      <w:r>
        <w:rPr>
          <w:rFonts w:ascii="Arial" w:cs="Arial" w:eastAsia="Arial" w:hAnsi="Arial"/>
          <w:color w:val="0000FF"/>
          <w:sz w:val="20"/>
          <w:szCs w:val="20"/>
        </w:rPr>
        <w:t xml:space="preserve">
• Matrícula 1: [preencher número e endereço completo]</w:t>
      </w:r>
      <w:r>
        <w:rPr>
          <w:rFonts w:ascii="Arial" w:cs="Arial" w:eastAsia="Arial" w:hAnsi="Arial"/>
          <w:color w:val="0000FF"/>
          <w:sz w:val="20"/>
          <w:szCs w:val="20"/>
        </w:rPr>
        <w:t xml:space="preserve">
• Matrícula 2: [preencher número e endereço completo]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ANÁLISE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2.1. O serviço é essencial ao funcionamento das atividades pedagógicas, administrativas, sanitárias e de saúde da comunidade escolar. A contratação deve abranger exclusivamente as unidades consumidoras identificadas acima.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2.2. Não há alternativa competitiva para a prestação do serviço público de água e esgotamento nas unidades atendidas pela rede local. A inviabilidade de competição decorre da concessão territorial, devendo a prova documental mencionada no item 1.3 integrar os autos.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2.3. A escolha da Águas do Rio 4 SPE S.A., CNPJ 42.644.220/0001-06, decorre de sua condição de concessionária responsável pela área de atendimento das unidades, e não de comparação de propostas comerciais.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CONCLUSÃO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3.1. Após a juntada e a conferência do documento indicado no item 1.3, atesta-se a inviabilidade de competição para o objeto delimitado, recomendando-se a instrução da contratação direta por inexigibilidade, com fundamento no art. 74, inciso I, da Lei nº 14.133/2021.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3.2. Este atesto não substitui a análise dos demais requisitos da contratação direta, especialmente a justificativa de preço, a habilitação da contratada, a disponibilidade orçamentária, o Termo de Referência, a autorização da autoridade competente e o rito jurídico interno.</w:t>
      </w:r>
    </w:p>
    <w:p>
      <w:pPr>
        <w:spacing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Local e data: </w:t>
      </w:r>
      <w:r>
        <w:rPr>
          <w:rFonts w:ascii="Arial" w:cs="Arial" w:eastAsia="Arial" w:hAnsi="Arial"/>
          <w:color w:val="0000FF"/>
          <w:sz w:val="20"/>
          <w:szCs w:val="20"/>
        </w:rPr>
        <w:t xml:space="preserve">[preencher]</w:t>
      </w: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____________________________________________
[Nome do responsável técnico/requisitante]
[Cargo — SIAPE — unidade]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Conferência da instrução: ____________________________________________
[Nome do servidor de Licitações — cargo — SIAPE]</w:t>
      </w:r>
    </w:p>
    <w:p>
      <w:pPr>
        <w:shd w:fill="FFF2CC" w:color="FFF2CC" w:val="clear"/>
        <w:spacing w:before="180" w:after="0"/>
      </w:pPr>
      <w:r>
        <w:rPr>
          <w:rFonts w:ascii="Arial" w:cs="Arial" w:eastAsia="Arial" w:hAnsi="Arial"/>
          <w:b/>
          <w:bCs/>
          <w:color w:val="7F6000"/>
          <w:sz w:val="16"/>
          <w:szCs w:val="16"/>
        </w:rPr>
        <w:t xml:space="preserve">RASCUNHO CONDICIONADO — não assinar antes de anexar a declaração da concessionária ou documento de concessão que vincule as matrículas/endereço do CPII.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CPII — rascunho para conferência —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b/>
        <w:bCs/>
        <w:color w:val="666666"/>
        <w:sz w:val="16"/>
        <w:szCs w:val="16"/>
      </w:rPr>
      <w:t xml:space="preserve">DOC ÁGUA - 06 — ATESTO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2026-09-13T16:37:10.520Z</dcterms:created>
  <dcterms:modified xsi:type="dcterms:W3CDTF">2026-09-13T16:37:10.520Z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