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200" w:after="700"/>
        <w:jc w:val="center"/>
      </w:pPr>
      <w:r>
        <w:rPr>
          <w:b/>
          <w:i w:val="0"/>
          <w:color w:val="0000FF"/>
        </w:rPr>
        <w:t>COLÉGIO PEDRO II</w:t>
      </w:r>
    </w:p>
    <w:p>
      <w:pPr>
        <w:spacing w:before="0" w:after="1600"/>
        <w:jc w:val="center"/>
      </w:pPr>
      <w:r>
        <w:rPr>
          <w:b w:val="0"/>
          <w:i w:val="0"/>
        </w:rPr>
        <w:t xml:space="preserve">(Processo Administrativo nº </w:t>
      </w:r>
      <w:r>
        <w:rPr>
          <w:b w:val="0"/>
          <w:i w:val="0"/>
          <w:color w:val="0000FF"/>
        </w:rPr>
        <w:t>[preencher NUP]</w:t>
      </w:r>
      <w:r>
        <w:rPr>
          <w:b w:val="0"/>
          <w:i w:val="0"/>
        </w:rPr>
        <w:t>)</w:t>
      </w:r>
    </w:p>
    <w:p>
      <w:pPr>
        <w:spacing w:before="1200" w:after="700"/>
        <w:jc w:val="center"/>
      </w:pPr>
      <w:r>
        <w:rPr>
          <w:b/>
          <w:i w:val="0"/>
        </w:rPr>
        <w:t>TERMO DE REFERÊNCIA</w:t>
      </w:r>
    </w:p>
    <w:p>
      <w:pPr>
        <w:spacing w:before="0" w:after="2400"/>
        <w:jc w:val="center"/>
      </w:pPr>
      <w:r>
        <w:rPr>
          <w:b/>
          <w:i w:val="0"/>
          <w:color w:val="0000FF"/>
        </w:rPr>
        <w:t>MINUTA-BASE — adequar ao ETP antes da assinatura</w:t>
      </w:r>
    </w:p>
    <w:p>
      <w:pPr>
        <w:spacing w:before="0" w:after="2200"/>
      </w:pPr>
      <w:r>
        <w:rPr>
          <w:b w:val="0"/>
          <w:i/>
          <w:color w:val="808080"/>
        </w:rPr>
        <w:t>JUSTIFICATIVA DE ALTERAÇÃO: Minuta reconstruída sobre o modelo oficial da AGU de maio de 2026. Texto em vermelho é inclusão; azul indica lacuna a preencher; verde representa adaptação do modelo; cinza apresenta justificativa de alteração.</w:t>
      </w:r>
    </w:p>
    <w:p>
      <w:pPr>
        <w:pStyle w:val="Nivel01"/>
        <w:spacing w:before="3400" w:after="1600"/>
      </w:pPr>
      <w:r>
        <w:rPr>
          <w:b/>
          <w:i w:val="0"/>
        </w:rPr>
        <w:t>CONDIÇÕES GERAIS DA CONTRATAÇÃO</w:t>
      </w:r>
    </w:p>
    <w:p>
      <w:pPr>
        <w:pStyle w:val="Nvel02"/>
        <w:spacing w:before="0" w:after="1800"/>
      </w:pPr>
      <w:r>
        <w:rPr>
          <w:b w:val="0"/>
          <w:i w:val="0"/>
          <w:color w:val="008000"/>
        </w:rPr>
        <w:t xml:space="preserve">Contratação de </w:t>
      </w:r>
      <w:r>
        <w:rPr>
          <w:b w:val="0"/>
          <w:i w:val="0"/>
          <w:color w:val="008000"/>
        </w:rPr>
        <w:t>serviços continuados</w:t>
      </w:r>
      <w:r>
        <w:rPr>
          <w:b w:val="0"/>
          <w:i w:val="0"/>
          <w:color w:val="FF0000"/>
        </w:rPr>
        <w:t xml:space="preserve"> de fornecimento de água tratada e coleta/tratamento de esgoto sanitário, a serem prestados pela concessionária responsável pela área das unidades consumidoras do Complexo de São Cristóvão do Colégio Pedro II, nos termos da tabela abaixo e das condições deste instrumento.</w:t>
      </w:r>
    </w:p>
    <w:tbl>
      <w:tblPr>
        <w:tblW w:w="9639"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18"/>
        <w:gridCol w:w="1984"/>
        <w:gridCol w:w="1134"/>
        <w:gridCol w:w="1418"/>
        <w:gridCol w:w="1276"/>
        <w:gridCol w:w="1275"/>
        <w:gridCol w:w="1134"/>
      </w:tblGrid>
      <w:tr w:rsidR="00573B28" w:rsidRPr="007E40DB" w14:paraId="12D91C24" w14:textId="77777777" w:rsidTr="00EB7BA7">
        <w:trPr>
          <w:trHeight w:hRule="exact" w:val="851"/>
        </w:trPr>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pPr>
              <w:jc w:val="center"/>
            </w:pPr>
            <w:r/>
            <w:r>
              <w:rPr>
                <w:b/>
                <w:sz w:val="16"/>
              </w:rPr>
              <w:t>ITEM</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pPr>
              <w:jc w:val="center"/>
            </w:pPr>
            <w:r/>
            <w:r>
              <w:rPr>
                <w:b/>
                <w:sz w:val="16"/>
              </w:rPr>
              <w:t>ESPECIFICAÇÃO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pPr>
              <w:jc w:val="center"/>
            </w:pPr>
            <w:r/>
            <w:r>
              <w:rPr>
                <w:b/>
                <w:sz w:val="16"/>
              </w:rPr>
              <w:t>CATSER</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pPr>
              <w:jc w:val="center"/>
            </w:pPr>
            <w:r/>
            <w:r>
              <w:rPr>
                <w:b/>
                <w:sz w:val="16"/>
              </w:rPr>
              <w:t>UNIDADE</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pPr>
              <w:jc w:val="center"/>
            </w:pPr>
            <w:r/>
            <w:r>
              <w:rPr>
                <w:b/>
                <w:sz w:val="16"/>
              </w:rPr>
              <w:t>QUANTIDADE</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pPr>
              <w:jc w:val="center"/>
            </w:pPr>
            <w:r/>
            <w:r>
              <w:rPr>
                <w:b/>
                <w:sz w:val="16"/>
              </w:rPr>
              <w:t>VALOR UNITÁRIO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pPr>
              <w:jc w:val="center"/>
            </w:pPr>
            <w:r/>
            <w:r>
              <w:rPr>
                <w:b/>
                <w:sz w:val="16"/>
              </w:rPr>
              <w:t>VALOR TOTAL</w:t>
            </w:r>
          </w:p>
        </w:tc>
      </w:tr>
      <w:tr w:rsidR="00573B28" w:rsidRPr="00AD2DCD" w14:paraId="548B9AF2" w14:textId="77777777" w:rsidTr="00EB7BA7">
        <w:trPr>
          <w:trHeight w:hRule="exact" w:val="567"/>
        </w:trPr>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pPr>
              <w:jc w:val="center"/>
            </w:pPr>
            <w:r/>
            <w:r>
              <w:rPr>
                <w:color w:val="FF0000"/>
                <w:sz w:val="16"/>
              </w:rPr>
              <w:t>1</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pPr>
              <w:jc w:val="left"/>
            </w:pPr>
            <w:r/>
            <w:r>
              <w:rPr>
                <w:color w:val="FF0000"/>
                <w:sz w:val="16"/>
              </w:rPr>
              <w:t>Fornecimento contínuo de água tratada e coleta/tratamento de esgoto sanitário para as unidades consumidoras do Complexo de São Cristóvão.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pPr>
              <w:jc w:val="left"/>
            </w:pPr>
            <w:r/>
            <w:r>
              <w:rPr>
                <w:color w:val="0000FF"/>
                <w:sz w:val="16"/>
              </w:rPr>
              <w:t>[preencher]</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pPr>
              <w:jc w:val="center"/>
            </w:pPr>
            <w:r/>
            <w:r>
              <w:rPr>
                <w:color w:val="FF0000"/>
                <w:sz w:val="16"/>
              </w:rPr>
              <w:t>mês</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pPr>
              <w:jc w:val="center"/>
            </w:pPr>
            <w:r/>
            <w:r>
              <w:rPr>
                <w:color w:val="FF0000"/>
                <w:sz w:val="16"/>
              </w:rPr>
              <w:t>12</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pPr>
              <w:jc w:val="left"/>
            </w:pPr>
            <w:r/>
            <w:r>
              <w:rPr>
                <w:color w:val="0000FF"/>
                <w:sz w:val="16"/>
              </w:rPr>
              <w:t>[preencher após ETP]</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pPr>
              <w:jc w:val="left"/>
            </w:pPr>
            <w:r/>
            <w:r>
              <w:rPr>
                <w:color w:val="FF0000"/>
                <w:sz w:val="16"/>
              </w:rPr>
              <w:t>R$ 1.180.116,40</w:t>
            </w:r>
          </w:p>
        </w:tc>
      </w:tr>
      <w:tr w:rsidR="00573B28" w:rsidRPr="007E40DB" w14:paraId="686DB124" w14:textId="77777777" w:rsidTr="00EB7BA7">
        <w:trPr>
          <w:trHeight w:hRule="exact" w:val="567"/>
        </w:trPr>
        <w:tc>
          <w:tcPr>
            <w:tcW w:w="8505"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
            <w:r>
              <w:rPr>
                <w:i/>
                <w:color w:val="808080"/>
                <w:sz w:val="16"/>
              </w:rPr>
              <w:t>Estimativa anual baseada na Nota Técnica de Justificativa de Preços e no histórico de faturas.</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pPr>
              <w:jc w:val="center"/>
            </w:pPr>
            <w:r/>
            <w:r>
              <w:rPr>
                <w:b/>
                <w:color w:val="FF0000"/>
                <w:sz w:val="16"/>
              </w:rPr>
              <w:t>R$ 1.180.116,40</w:t>
            </w:r>
          </w:p>
        </w:tc>
      </w:tr>
    </w:tbl>
    <w:p>
      <w:pPr>
        <w:pStyle w:val="Nvel02"/>
        <w:spacing w:before="0" w:after="1800"/>
      </w:pPr>
      <w:r>
        <w:rPr>
          <w:b w:val="0"/>
          <w:i w:val="0"/>
          <w:color w:val="008000"/>
        </w:rPr>
        <w:t>O objeto é caracterizado como serviço comum e continuado, conforme justificativa a ser consolidada no Estudo Técnico Preliminar.</w:t>
      </w:r>
    </w:p>
    <w:p>
      <w:pPr>
        <w:pStyle w:val="Nvel02"/>
        <w:spacing w:before="0" w:after="1600"/>
      </w:pPr>
      <w:r>
        <w:rPr>
          <w:b w:val="0"/>
          <w:i w:val="0"/>
          <w:color w:val="0000FF"/>
        </w:rPr>
        <w:t>O prazo de vigência será definido conforme o ETP, a análise jurídica e a natureza de serviço público monopolizado, com a demonstração anual de créditos orçamentários quando aplicável.</w:t>
      </w:r>
    </w:p>
    <w:p>
      <w:pPr>
        <w:spacing w:before="0" w:after="2200"/>
      </w:pPr>
      <w:r>
        <w:rPr>
          <w:b w:val="0"/>
          <w:i/>
          <w:color w:val="808080"/>
        </w:rPr>
        <w:t>JUSTIFICATIVA DE ALTERAÇÃO: A minuta não fixa prazo indeterminado antes de o ETP e a análise jurídica confirmarem a hipótese do art. 109 da Lei nº 14.133/2021.</w:t>
      </w:r>
    </w:p>
    <w:p>
      <w:pPr>
        <w:pStyle w:val="Nivel01"/>
        <w:spacing w:before="3400" w:after="1600"/>
      </w:pPr>
      <w:r>
        <w:rPr>
          <w:b/>
          <w:i w:val="0"/>
        </w:rPr>
        <w:t>FUNDAMENTAÇÃO E DESCRIÇÃO DA NECESSIDADE DA CONTRATAÇÃO</w:t>
      </w:r>
    </w:p>
    <w:p>
      <w:pPr>
        <w:pStyle w:val="Nvel02"/>
        <w:spacing w:before="0" w:after="1800"/>
      </w:pPr>
      <w:r>
        <w:rPr>
          <w:b w:val="0"/>
          <w:i w:val="0"/>
          <w:color w:val="FF0000"/>
        </w:rPr>
        <w:t>A contratação visa assegurar o abastecimento contínuo de água potável e a coleta/tratamento de esgoto sanitário necessários ao funcionamento das atividades pedagógicas, administrativas, sanitárias e de apoio do Complexo de São Cristóvão.</w:t>
      </w:r>
    </w:p>
    <w:p>
      <w:pPr>
        <w:pStyle w:val="Nvel02"/>
        <w:spacing w:before="0" w:after="1600"/>
      </w:pPr>
      <w:r>
        <w:rPr>
          <w:b w:val="0"/>
          <w:i w:val="0"/>
          <w:color w:val="0000FF"/>
        </w:rPr>
        <w:t>A fundamentação da contratação, dos quantitativos, das matrículas consumidoras, das economias e da previsão no Plano de Contratações Anual será pormenorizada no ETP e nos documentos anexos.</w:t>
      </w:r>
    </w:p>
    <w:p>
      <w:pPr>
        <w:pStyle w:val="Nivel01"/>
        <w:spacing w:before="3400" w:after="1600"/>
      </w:pPr>
      <w:r>
        <w:rPr>
          <w:b/>
          <w:i w:val="0"/>
        </w:rPr>
        <w:t>DESCRIÇÃO DA SOLUÇÃO COMO UM TODO CONSIDERADO O CICLO DE VIDA DO OBJETO</w:t>
      </w:r>
    </w:p>
    <w:p>
      <w:pPr>
        <w:pStyle w:val="Nvel02"/>
        <w:spacing w:before="0" w:after="1800"/>
      </w:pPr>
      <w:r>
        <w:rPr>
          <w:b w:val="0"/>
          <w:i w:val="0"/>
          <w:color w:val="FF0000"/>
        </w:rPr>
        <w:t>A solução consiste na prestação, pela concessionária local, dos serviços de fornecimento de água tratada e de coleta/tratamento de esgoto nas unidades consumidoras identificadas no Anexo I, com faturamento mensal conforme o consumo efetivamente medido e as tarifas reguladas vigentes.</w:t>
      </w:r>
    </w:p>
    <w:p>
      <w:pPr>
        <w:pStyle w:val="Nivel01"/>
        <w:spacing w:before="3400" w:after="1600"/>
      </w:pPr>
      <w:r>
        <w:rPr>
          <w:b/>
          <w:i w:val="0"/>
        </w:rPr>
        <w:t>REQUISITOS DA CONTRATAÇÃO</w:t>
      </w:r>
    </w:p>
    <w:p>
      <w:pPr>
        <w:pStyle w:val="Nvel02"/>
        <w:spacing w:before="0" w:after="1800"/>
      </w:pPr>
      <w:r>
        <w:rPr>
          <w:b w:val="0"/>
          <w:i w:val="0"/>
          <w:color w:val="FF0000"/>
        </w:rPr>
        <w:t>A contratada deverá prestar os serviços em conformidade com a regulação aplicável, manter a continuidade e a qualidade do abastecimento, emitir faturas individualizadas por matrícula e disponibilizar os canais de atendimento para ocorrências, interrupções e esclarecimentos.</w:t>
      </w:r>
    </w:p>
    <w:p>
      <w:pPr>
        <w:pStyle w:val="Nvel02"/>
        <w:spacing w:before="0" w:after="1800"/>
      </w:pPr>
      <w:r>
        <w:rPr>
          <w:b w:val="0"/>
          <w:i w:val="0"/>
          <w:color w:val="008000"/>
        </w:rPr>
        <w:t>Não será admitida a subcontratação do objeto contratual, pois a execução decorre da concessão e da atuação exclusiva da concessionária na área atendida.</w:t>
      </w:r>
    </w:p>
    <w:p>
      <w:pPr>
        <w:pStyle w:val="Nvel02"/>
        <w:spacing w:before="0" w:after="1800"/>
      </w:pPr>
      <w:r>
        <w:rPr>
          <w:b w:val="0"/>
          <w:i w:val="0"/>
          <w:color w:val="FF0000"/>
        </w:rPr>
        <w:t>Não haverá exigência de garantia contratual, pelas características do objeto e pela forma de cobrança regulada, sem prejuízo da validação no ETP.</w:t>
      </w:r>
    </w:p>
    <w:p>
      <w:pPr>
        <w:pStyle w:val="Nivel01"/>
        <w:spacing w:before="3400" w:after="1600"/>
      </w:pPr>
      <w:r>
        <w:rPr>
          <w:b/>
          <w:i w:val="0"/>
        </w:rPr>
        <w:t>MODELO DE EXECUÇÃO DO OBJETO</w:t>
      </w:r>
    </w:p>
    <w:p>
      <w:pPr>
        <w:pStyle w:val="Nvel02"/>
        <w:spacing w:before="0" w:after="1800"/>
      </w:pPr>
      <w:r>
        <w:rPr>
          <w:b w:val="0"/>
          <w:i w:val="0"/>
          <w:color w:val="FF0000"/>
        </w:rPr>
        <w:t>Os serviços serão prestados continuamente nas unidades e matrículas indicadas no Anexo I, mediante disponibilidade da rede, medição do consumo e faturamento mensal. A execução compreende o fornecimento de água tratada e a coleta/tratamento de esgoto sanitário, nos limites da infraestrutura disponível e das normas regulatórias.</w:t>
      </w:r>
    </w:p>
    <w:p>
      <w:pPr>
        <w:pStyle w:val="Nvel02"/>
        <w:spacing w:before="0" w:after="1600"/>
      </w:pPr>
      <w:r>
        <w:rPr>
          <w:b w:val="0"/>
          <w:i w:val="0"/>
          <w:color w:val="0000FF"/>
        </w:rPr>
        <w:t>Preencher no Anexo I os endereços, as matrículas, as economias e demais dados de cada unidade consumidora.</w:t>
      </w:r>
    </w:p>
    <w:p>
      <w:pPr>
        <w:pStyle w:val="Nivel01"/>
        <w:spacing w:before="3400" w:after="1600"/>
      </w:pPr>
      <w:r>
        <w:rPr>
          <w:b/>
          <w:i w:val="0"/>
        </w:rPr>
        <w:t>MODELO DE GESTÃO DO CONTRATO</w:t>
      </w:r>
    </w:p>
    <w:p>
      <w:pPr>
        <w:pStyle w:val="Nvel02"/>
        <w:spacing w:before="0" w:after="1800"/>
      </w:pPr>
      <w:r>
        <w:rPr>
          <w:b w:val="0"/>
          <w:i w:val="0"/>
          <w:color w:val="FF0000"/>
        </w:rPr>
        <w:t>A execução será acompanhada e fiscalizada por servidores formalmente designados pelo Colégio Pedro II, nos termos do art. 117 da Lei nº 14.133/2021.</w:t>
      </w:r>
    </w:p>
    <w:p>
      <w:pPr>
        <w:pStyle w:val="Nvel02"/>
        <w:spacing w:before="0" w:after="1600"/>
      </w:pPr>
      <w:r>
        <w:rPr>
          <w:b w:val="0"/>
          <w:i w:val="0"/>
          <w:color w:val="0000FF"/>
        </w:rPr>
        <w:t>Gestor: [nome, SIAPE e unidade]. Fiscal técnico/requisitante: [nome, SIAPE e unidade]. Fiscal substituto: [nome, SIAPE e unidade].</w:t>
      </w:r>
    </w:p>
    <w:p>
      <w:pPr>
        <w:pStyle w:val="Nivel01"/>
        <w:spacing w:before="3400" w:after="1600"/>
      </w:pPr>
      <w:r>
        <w:rPr>
          <w:b/>
          <w:i w:val="0"/>
        </w:rPr>
        <w:t>CRITÉRIOS DE MEDIÇÃO E DE PAGAMENTO</w:t>
      </w:r>
    </w:p>
    <w:p>
      <w:pPr>
        <w:pStyle w:val="Nvel02"/>
        <w:spacing w:before="0" w:after="1800"/>
      </w:pPr>
      <w:r>
        <w:rPr>
          <w:b w:val="0"/>
          <w:i w:val="0"/>
          <w:color w:val="FF0000"/>
        </w:rPr>
        <w:t>A medição será mensal, com base no consumo efetivamente registrado nas matrículas constantes do Anexo I e nas tarifas públicas/regulatórias vigentes. O pagamento será efetuado após o ateste da fatura pelo fiscal competente, observado o valor efetivamente devido no período.</w:t>
      </w:r>
    </w:p>
    <w:p>
      <w:pPr>
        <w:pStyle w:val="Nvel02"/>
        <w:spacing w:before="0" w:after="1800"/>
      </w:pPr>
      <w:r>
        <w:rPr>
          <w:b w:val="0"/>
          <w:i w:val="0"/>
          <w:color w:val="FF0000"/>
        </w:rPr>
        <w:t>A estimativa anual não estabelece consumo mínimo ou pagamento fixo; constitui teto estimativo para a contratação. Reajustes tarifários homologados deverão ser comprovados e conferidos nos autos.</w:t>
      </w:r>
    </w:p>
    <w:p>
      <w:pPr>
        <w:pStyle w:val="Nivel01"/>
        <w:spacing w:before="3400" w:after="1600"/>
      </w:pPr>
      <w:r>
        <w:rPr>
          <w:b/>
          <w:i w:val="0"/>
        </w:rPr>
        <w:t>FORMA E CRITÉRIOS DE SELEÇÃO DO FORNECEDOR</w:t>
      </w:r>
    </w:p>
    <w:p>
      <w:pPr>
        <w:pStyle w:val="Nvel02"/>
        <w:spacing w:before="0" w:after="1800"/>
      </w:pPr>
      <w:r>
        <w:rPr>
          <w:b w:val="0"/>
          <w:i w:val="0"/>
          <w:color w:val="FF0000"/>
        </w:rPr>
        <w:t>A seleção ocorrerá por contratação direta, mediante inexigibilidade de licitação, com fundamento no art. 74, inciso I, da Lei nº 14.133/2021, condicionada à comprovação documental da inviabilidade de competição e da exclusividade territorial da concessionária para as unidades do CPII.</w:t>
      </w:r>
    </w:p>
    <w:p>
      <w:pPr>
        <w:pStyle w:val="Nvel02"/>
        <w:spacing w:before="0" w:after="1800"/>
      </w:pPr>
      <w:r>
        <w:rPr>
          <w:b w:val="0"/>
          <w:i w:val="0"/>
          <w:color w:val="FF0000"/>
        </w:rPr>
        <w:t>Antes da contratação, deverão ser juntados o Formulário de Enquadramento, o documento de concessão e/ou declaração atual que vincule as matrículas/endereço à concessionária, a habilitação e a regularidade aplicáveis, a razão da escolha e a justificativa do preço.</w:t>
      </w:r>
    </w:p>
    <w:p>
      <w:pPr>
        <w:pStyle w:val="Nivel01"/>
        <w:spacing w:before="3400" w:after="1600"/>
      </w:pPr>
      <w:r>
        <w:rPr>
          <w:b/>
          <w:i w:val="0"/>
        </w:rPr>
        <w:t>ESTIMATIVAS DO VALOR DA CONTRATAÇÃO</w:t>
      </w:r>
    </w:p>
    <w:p>
      <w:pPr>
        <w:pStyle w:val="Nvel02"/>
        <w:spacing w:before="0" w:after="1800"/>
      </w:pPr>
      <w:r>
        <w:rPr>
          <w:b w:val="0"/>
          <w:i w:val="0"/>
          <w:color w:val="FF0000"/>
        </w:rPr>
        <w:t>O valor anual estimado é de R$ 1.180.116,40 (um milhão, cento e oitenta mil, cento e dezesseis reais e quarenta centavos), conforme a Nota Técnica de Justificativa de Preços, formada a partir do histórico das faturas das duas matrículas consumidoras.</w:t>
      </w:r>
    </w:p>
    <w:p>
      <w:pPr>
        <w:pStyle w:val="Nvel02"/>
        <w:spacing w:before="0" w:after="1800"/>
      </w:pPr>
      <w:r>
        <w:rPr>
          <w:b w:val="0"/>
          <w:i w:val="0"/>
          <w:color w:val="FF0000"/>
        </w:rPr>
        <w:t>A justificativa do preço observará as tarifas reguladas e as faturas de suporte. Não se aplica pesquisa competitiva de mercado, pois não há pluralidade de fornecedores para a área atendida; a estimativa e a justificativa do preço permanecem obrigatórias.</w:t>
      </w:r>
    </w:p>
    <w:p>
      <w:pPr>
        <w:pStyle w:val="Nivel01"/>
        <w:spacing w:before="3400" w:after="1600"/>
      </w:pPr>
      <w:r>
        <w:rPr>
          <w:b/>
          <w:i w:val="0"/>
        </w:rPr>
        <w:t>ADEQUAÇÃO ORÇAMENTÁRIA</w:t>
      </w:r>
    </w:p>
    <w:p>
      <w:pPr>
        <w:pStyle w:val="Nvel02"/>
        <w:spacing w:before="0" w:after="1600"/>
      </w:pPr>
      <w:r>
        <w:rPr>
          <w:b w:val="0"/>
          <w:i w:val="0"/>
          <w:color w:val="0000FF"/>
        </w:rPr>
        <w:t>As despesas correrão à conta da dotação orçamentária: [programa de trabalho, natureza da despesa, fonte, plano interno e declaração de disponibilidade].</w:t>
      </w:r>
    </w:p>
    <w:p>
      <w:pPr>
        <w:pStyle w:val="Nivel01"/>
        <w:spacing w:before="3400" w:after="1600"/>
      </w:pPr>
      <w:r>
        <w:rPr>
          <w:b/>
          <w:i w:val="0"/>
        </w:rPr>
        <w:t>ANEXO I — UNIDADES CONSUMIDORAS</w:t>
      </w:r>
    </w:p>
    <w:p>
      <w:pPr>
        <w:pStyle w:val="Nvel02"/>
        <w:spacing w:before="0" w:after="1600"/>
      </w:pPr>
      <w:r>
        <w:rPr>
          <w:b w:val="0"/>
          <w:i w:val="0"/>
          <w:color w:val="0000FF"/>
        </w:rPr>
        <w:t>Unidade 1: [endereço completo]; matrícula: [número]; economias: [quantidade].</w:t>
      </w:r>
    </w:p>
    <w:p>
      <w:pPr>
        <w:pStyle w:val="Nvel02"/>
        <w:spacing w:before="0" w:after="1600"/>
      </w:pPr>
      <w:r>
        <w:rPr>
          <w:b w:val="0"/>
          <w:i w:val="0"/>
          <w:color w:val="0000FF"/>
        </w:rPr>
        <w:t>Unidade 2: [endereço completo]; matrícula: [número]; economias: [quantidade].</w:t>
      </w:r>
    </w:p>
    <w:p>
      <w:pPr>
        <w:spacing w:before="0" w:after="4600"/>
      </w:pPr>
      <w:r>
        <w:rPr>
          <w:b/>
          <w:i w:val="0"/>
        </w:rPr>
        <w:t xml:space="preserve">Elaborado por: </w:t>
      </w:r>
      <w:r>
        <w:rPr>
          <w:b w:val="0"/>
          <w:i w:val="0"/>
          <w:color w:val="0000FF"/>
        </w:rPr>
        <w:t>[nome, cargo, SIAPE e unidade]</w:t>
      </w:r>
    </w:p>
    <w:p>
      <w:pPr>
        <w:spacing w:before="0" w:after="4600"/>
      </w:pPr>
      <w:r>
        <w:rPr>
          <w:b/>
          <w:i w:val="0"/>
        </w:rPr>
        <w:t xml:space="preserve">Integrante requisitante/técnico: </w:t>
      </w:r>
      <w:r>
        <w:rPr>
          <w:b w:val="0"/>
          <w:i w:val="0"/>
          <w:color w:val="0000FF"/>
        </w:rPr>
        <w:t>[nome, cargo, SIAPE e unidade]</w:t>
      </w:r>
    </w:p>
    <w:p>
      <w:pPr>
        <w:spacing w:before="0" w:after="1000"/>
      </w:pPr>
      <w:r>
        <w:rPr>
          <w:b/>
          <w:i w:val="0"/>
        </w:rPr>
        <w:t xml:space="preserve">Aprovado por: </w:t>
      </w:r>
      <w:r>
        <w:rPr>
          <w:b w:val="0"/>
          <w:i w:val="0"/>
          <w:color w:val="0000FF"/>
        </w:rPr>
        <w:t>[autoridade competente]</w:t>
      </w:r>
    </w:p>
    <w:sectPr w:rsidR="00F62745" w:rsidRPr="001A77CA" w:rsidSect="00272763">
      <w:footerReference w:type="default" r:id="rId17"/>
      <w:pgSz w:w="11906" w:h="16838" w:code="9"/>
      <w:pgMar w:top="1418" w:right="1134" w:bottom="1418" w:left="113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Autor" w:initials="A">
    <w:p w14:paraId="571F036E" w14:textId="77777777" w:rsidR="000A0C55" w:rsidRDefault="00E80392" w:rsidP="000A0C55">
      <w:pPr>
        <w:pStyle w:val="Textodecomentrio"/>
      </w:pPr>
      <w:r>
        <w:rPr>
          <w:rStyle w:val="Refdecomentrio"/>
        </w:rPr>
        <w:annotationRef/>
      </w:r>
      <w:r w:rsidR="000A0C55">
        <w:rPr>
          <w:b/>
          <w:bCs/>
          <w:i/>
          <w:iCs/>
          <w:color w:val="000000"/>
        </w:rPr>
        <w:t>ORIENTAÇÕES PARA USO DO MODELO – LEITURA OBRIGATÓRIA</w:t>
      </w:r>
    </w:p>
    <w:p w14:paraId="5BD36A1A" w14:textId="77777777" w:rsidR="000A0C55" w:rsidRDefault="000A0C55" w:rsidP="000A0C55">
      <w:pPr>
        <w:pStyle w:val="Textodecomentrio"/>
      </w:pPr>
      <w:r>
        <w:rPr>
          <w:b/>
          <w:bCs/>
          <w:i/>
          <w:iCs/>
          <w:color w:val="000000"/>
        </w:rPr>
        <w:t xml:space="preserve">1) </w:t>
      </w:r>
      <w:r>
        <w:rPr>
          <w:i/>
          <w:iCs/>
          <w:color w:val="000000"/>
        </w:rPr>
        <w:t xml:space="preserve">O presente modelo de Termo de Referência procura fornecer um ponto de partida para a definição do objeto e condições da contratação. </w:t>
      </w:r>
      <w:r>
        <w:rPr>
          <w:b/>
          <w:bCs/>
          <w:i/>
          <w:iCs/>
          <w:color w:val="000000"/>
        </w:rPr>
        <w:t>Este é o documento que mais terá variação de conteúdo, de acordo com as peculiaridades da demanda da Administração e do objeto a ser contratado.</w:t>
      </w:r>
      <w:r>
        <w:rPr>
          <w:i/>
          <w:iCs/>
          <w:color w:val="000000"/>
        </w:rPr>
        <w:t xml:space="preserve"> </w:t>
      </w:r>
      <w:r>
        <w:rPr>
          <w:i/>
          <w:iCs/>
          <w:color w:val="000000"/>
          <w:highlight w:val="white"/>
        </w:rPr>
        <w:t>Assim, a adaptação do texto deverá ser feita à luz dos pontos fundamentais da contratação, sempre de forma clara e objetiva.</w:t>
      </w:r>
      <w:r>
        <w:rPr>
          <w:i/>
          <w:iCs/>
          <w:color w:val="000000"/>
        </w:rPr>
        <w:t xml:space="preserve"> </w:t>
      </w:r>
    </w:p>
    <w:p w14:paraId="589A4ACD" w14:textId="77777777" w:rsidR="000A0C55" w:rsidRDefault="000A0C55" w:rsidP="000A0C55">
      <w:pPr>
        <w:pStyle w:val="Textodecomentrio"/>
      </w:pPr>
      <w:r>
        <w:rPr>
          <w:b/>
          <w:bCs/>
          <w:i/>
          <w:iCs/>
          <w:color w:val="000000"/>
        </w:rPr>
        <w:t xml:space="preserve">2) </w:t>
      </w:r>
      <w:r>
        <w:rPr>
          <w:i/>
          <w:iCs/>
          <w:color w:val="000000"/>
        </w:rPr>
        <w:t xml:space="preserve">A redação em preto consiste no que se espera ser invariável. Ela até pode sofrer modificações a depender do caso concreto, mas não são disposições feitas para variar. Por essa razão, </w:t>
      </w:r>
      <w:r>
        <w:rPr>
          <w:b/>
          <w:bCs/>
          <w:i/>
          <w:iCs/>
          <w:color w:val="000000"/>
        </w:rPr>
        <w:t>quaisquer modificações nas partes em preto, sem marcação de itálico, devem necessariamente ser justificadas nos autos</w:t>
      </w:r>
      <w:r>
        <w:rPr>
          <w:i/>
          <w:iCs/>
          <w:color w:val="000000"/>
        </w:rPr>
        <w:t>, sem prejuízo de eventual consulta ao órgão de assessoramento jurídico respectivo, a depender da matéria.</w:t>
      </w:r>
    </w:p>
    <w:p w14:paraId="32346EC5" w14:textId="77777777" w:rsidR="000A0C55" w:rsidRDefault="000A0C55" w:rsidP="000A0C55">
      <w:pPr>
        <w:pStyle w:val="Textodecomentrio"/>
      </w:pPr>
      <w:r>
        <w:rPr>
          <w:b/>
          <w:bCs/>
          <w:i/>
          <w:iCs/>
          <w:color w:val="000000"/>
        </w:rPr>
        <w:t>3) Os itens deste modelo destacados em vermelho itálico devem ser preenchidos ou adotados pelo órgão ou entidade pública contratante segundo critérios de oportunidade e conveniência</w:t>
      </w:r>
      <w:r>
        <w:rPr>
          <w:i/>
          <w:iCs/>
          <w:color w:val="000000"/>
        </w:rPr>
        <w:t>, de acordo com as peculiaridades do objeto e cuidando-se para que sejam reproduzidas as mesmas definições nos demais instrumentos da contratação (minuta de Edital e de Contrato), para que não conflitem. São previsões feitas para variarem. Eventuais justificativas podem ser exigidas a depender do caso.</w:t>
      </w:r>
    </w:p>
    <w:p w14:paraId="208A3C4F" w14:textId="77777777" w:rsidR="000A0C55" w:rsidRDefault="000A0C55" w:rsidP="000A0C55">
      <w:pPr>
        <w:pStyle w:val="Textodecomentrio"/>
      </w:pPr>
      <w:r>
        <w:rPr>
          <w:b/>
          <w:bCs/>
          <w:i/>
          <w:iCs/>
          <w:color w:val="000000"/>
        </w:rPr>
        <w:t>4) Alguns itens receberam notas explicativas, destacadas para compreensão do agente ou setor responsável pela elaboração do Termo de Referência</w:t>
      </w:r>
      <w:r>
        <w:rPr>
          <w:i/>
          <w:iCs/>
          <w:color w:val="000000"/>
        </w:rPr>
        <w:t>, que deverão ser devidamente suprimidas ao se finalizar o documento na versão original.</w:t>
      </w:r>
    </w:p>
    <w:p w14:paraId="723853C6" w14:textId="77777777" w:rsidR="000A0C55" w:rsidRDefault="000A0C55" w:rsidP="000A0C55">
      <w:pPr>
        <w:pStyle w:val="Textodecomentrio"/>
      </w:pPr>
      <w:r>
        <w:rPr>
          <w:b/>
          <w:bCs/>
          <w:i/>
          <w:iCs/>
          <w:color w:val="000000"/>
        </w:rPr>
        <w:t xml:space="preserve">5) </w:t>
      </w:r>
      <w:r>
        <w:rPr>
          <w:i/>
          <w:iCs/>
          <w:color w:val="000000"/>
        </w:rPr>
        <w:t xml:space="preserve">Os destaques por cores de realce utilizados ao longo deste modelo possuem os seguintes significados: (i) </w:t>
      </w:r>
      <w:r>
        <w:rPr>
          <w:i/>
          <w:iCs/>
          <w:color w:val="000000"/>
          <w:highlight w:val="yellow"/>
        </w:rPr>
        <w:t>amarelo — alterações efetuadas em relação à versão anterior do modelo</w:t>
      </w:r>
      <w:r>
        <w:rPr>
          <w:i/>
          <w:iCs/>
          <w:color w:val="000000"/>
        </w:rPr>
        <w:t xml:space="preserve">; (ii) </w:t>
      </w:r>
      <w:r>
        <w:rPr>
          <w:i/>
          <w:iCs/>
          <w:color w:val="000000"/>
          <w:highlight w:val="cyan"/>
        </w:rPr>
        <w:t>turquesa — disposições aplicáveis exclusivamente ao Sistema de Registro de Preços (SRP)</w:t>
      </w:r>
      <w:r>
        <w:rPr>
          <w:i/>
          <w:iCs/>
          <w:color w:val="000000"/>
        </w:rPr>
        <w:t xml:space="preserve">; (iii) </w:t>
      </w:r>
      <w:r>
        <w:rPr>
          <w:i/>
          <w:iCs/>
          <w:color w:val="000000"/>
          <w:highlight w:val="green"/>
        </w:rPr>
        <w:t>verde brilhante — cláusulas referentes à margem de preferência</w:t>
      </w:r>
      <w:r>
        <w:rPr>
          <w:i/>
          <w:iCs/>
          <w:color w:val="000000"/>
        </w:rPr>
        <w:t xml:space="preserve">; (iv) </w:t>
      </w:r>
      <w:r>
        <w:rPr>
          <w:i/>
          <w:iCs/>
          <w:color w:val="000000"/>
          <w:highlight w:val="magenta"/>
        </w:rPr>
        <w:t>rosa — disposições atinentes a serviços com dedicação exclusiva de mão de obra</w:t>
      </w:r>
      <w:r>
        <w:rPr>
          <w:i/>
          <w:iCs/>
          <w:color w:val="000000"/>
        </w:rPr>
        <w:t xml:space="preserve">; e (v) </w:t>
      </w:r>
      <w:r>
        <w:rPr>
          <w:i/>
          <w:iCs/>
          <w:color w:val="000000"/>
          <w:highlight w:val="darkCyan"/>
        </w:rPr>
        <w:t>azul-petróleo — cláusulas pertinentes a obras e serviços de engenharia</w:t>
      </w:r>
      <w:r>
        <w:rPr>
          <w:i/>
          <w:iCs/>
          <w:color w:val="000000"/>
        </w:rPr>
        <w:t>. Os trechos destacados com essas cores deverão ser mantidos ou suprimidos conforme a adequação ao objeto da contratação específica, e as notas de realce deverão ser removidas na versão final do documento.</w:t>
      </w:r>
    </w:p>
    <w:p w14:paraId="75F2D228" w14:textId="77777777" w:rsidR="000A0C55" w:rsidRDefault="000A0C55" w:rsidP="000A0C55">
      <w:pPr>
        <w:pStyle w:val="Textodecomentrio"/>
      </w:pPr>
      <w:r>
        <w:rPr>
          <w:b/>
          <w:bCs/>
          <w:i/>
          <w:iCs/>
          <w:color w:val="000000"/>
        </w:rPr>
        <w:t>6) Recomenda-se indicar no processo a versão (mês e ano) utilizada para elaboração da minuta</w:t>
      </w:r>
      <w:r>
        <w:rPr>
          <w:i/>
          <w:iCs/>
          <w:color w:val="000000"/>
        </w:rPr>
        <w:t>, em especial ao encaminhar o feito para análise jurídica. Tal informação consta no rodapé do documento. Essa indicação pode ocorrer expressamente no despacho de encaminhamento ou mantendo-se o rodapé na minuta encaminhada, conforme o caso. É um dado importante já que indica qual o parâmetro a ser utilizado em eventual checagem.</w:t>
      </w:r>
    </w:p>
    <w:p w14:paraId="7F7532DA" w14:textId="77777777" w:rsidR="000A0C55" w:rsidRDefault="000A0C55" w:rsidP="000A0C55">
      <w:pPr>
        <w:pStyle w:val="Textodecomentrio"/>
      </w:pPr>
      <w:r>
        <w:rPr>
          <w:b/>
          <w:bCs/>
          <w:i/>
          <w:iCs/>
          <w:color w:val="000000"/>
        </w:rPr>
        <w:t xml:space="preserve">7) </w:t>
      </w:r>
      <w:r>
        <w:rPr>
          <w:i/>
          <w:iCs/>
          <w:color w:val="000000"/>
        </w:rPr>
        <w:t xml:space="preserve">O Termo de Referência deve ser elaborado também no Sistema TR Digital ou em ferramenta informatizada própria (art. 4º da </w:t>
      </w:r>
      <w:r>
        <w:rPr>
          <w:i/>
          <w:iCs/>
        </w:rPr>
        <w:t>IN Seges/ME nº 81, de 25 de novembro de 2022).</w:t>
      </w:r>
    </w:p>
    <w:p w14:paraId="4E2CCBCE" w14:textId="77777777" w:rsidR="000A0C55" w:rsidRDefault="000A0C55" w:rsidP="000A0C55">
      <w:pPr>
        <w:pStyle w:val="Textodecomentrio"/>
      </w:pPr>
      <w:r>
        <w:rPr>
          <w:b/>
          <w:bCs/>
          <w:i/>
          <w:iCs/>
          <w:color w:val="000000"/>
        </w:rPr>
        <w:t xml:space="preserve">8) </w:t>
      </w:r>
      <w:r>
        <w:rPr>
          <w:i/>
          <w:iCs/>
          <w:color w:val="000000"/>
        </w:rPr>
        <w:t>A elaboração do TR deve levar em conta o art. 3º, inciso I, da</w:t>
      </w:r>
      <w:r>
        <w:rPr>
          <w:i/>
          <w:iCs/>
        </w:rPr>
        <w:t xml:space="preserve"> IN Seges/ME nº 81, de 2022, </w:t>
      </w:r>
      <w:r>
        <w:rPr>
          <w:i/>
          <w:iCs/>
          <w:color w:val="000000"/>
        </w:rPr>
        <w:t>que traz a seguinte definição de TR: “documento necessário para a contratação de bens e serviços, que deve conter os parâmetros e elementos descritivos estabelecidos no art. 9º, sendo documento constitutivo da fase preparatória da instrução do processo de licitação”.</w:t>
      </w:r>
    </w:p>
    <w:p w14:paraId="27938C5B" w14:textId="77777777" w:rsidR="000A0C55" w:rsidRDefault="000A0C55" w:rsidP="000A0C55">
      <w:pPr>
        <w:pStyle w:val="Textodecomentrio"/>
      </w:pPr>
      <w:r>
        <w:rPr>
          <w:b/>
          <w:bCs/>
          <w:i/>
          <w:iCs/>
          <w:color w:val="000000"/>
        </w:rPr>
        <w:t xml:space="preserve">9) </w:t>
      </w:r>
      <w:r>
        <w:rPr>
          <w:i/>
          <w:iCs/>
          <w:color w:val="000000"/>
        </w:rPr>
        <w:t xml:space="preserve">A não utilização dos modelos de TR instituídos pela Secretaria de Gestão e Inovação, do Ministério da Gestão e da Inovação em Serviços Públicos deve ser justificada por escrito, com anexação ao respectivo processo de contratação, conforme art. 19, §2º, da Lei nº 14.133, de 2021 e art. 9º, §3º da </w:t>
      </w:r>
      <w:r>
        <w:rPr>
          <w:i/>
          <w:iCs/>
        </w:rPr>
        <w:t xml:space="preserve">IN </w:t>
      </w:r>
      <w:r>
        <w:rPr>
          <w:i/>
          <w:iCs/>
          <w:color w:val="000000"/>
        </w:rPr>
        <w:t>Seges/ME nº 81, de 2022.</w:t>
      </w:r>
    </w:p>
    <w:p w14:paraId="627C55D3" w14:textId="77777777" w:rsidR="000A0C55" w:rsidRDefault="000A0C55" w:rsidP="000A0C55">
      <w:pPr>
        <w:pStyle w:val="Textodecomentrio"/>
      </w:pPr>
      <w:r>
        <w:rPr>
          <w:b/>
          <w:bCs/>
          <w:i/>
          <w:iCs/>
          <w:color w:val="000000"/>
        </w:rPr>
        <w:t xml:space="preserve">10) </w:t>
      </w:r>
      <w:r>
        <w:rPr>
          <w:i/>
          <w:iCs/>
          <w:color w:val="000000"/>
        </w:rPr>
        <w:t>A fim de aprimorar as atividades da Administração, a elaboração dos estudos preliminares e do TR deve levar em conta o relatório final com informações de contratação anterior, nos termos da alínea “d” do inciso VI do § 3º do art. 174 da Lei nº 14.133, de 20</w:t>
      </w:r>
      <w:r>
        <w:rPr>
          <w:i/>
          <w:iCs/>
        </w:rPr>
        <w:t>21 e inciso VI do art. 21 do Decreto nº 11.246, de 27 de outubro de 2022. Caso referido rel</w:t>
      </w:r>
      <w:r>
        <w:rPr>
          <w:i/>
          <w:iCs/>
          <w:color w:val="000000"/>
        </w:rPr>
        <w:t>atório não tenha sido elaborado, o processo deve ser enriquecido com essa informação, devendo o gestor do contrato cuidar de elaborá-lo ao fim da contratação que será efetivada.</w:t>
      </w:r>
    </w:p>
    <w:p w14:paraId="56F56687" w14:textId="77777777" w:rsidR="000A0C55" w:rsidRDefault="000A0C55" w:rsidP="000A0C55">
      <w:pPr>
        <w:pStyle w:val="Textodecomentrio"/>
      </w:pPr>
      <w:r>
        <w:rPr>
          <w:b/>
          <w:bCs/>
          <w:i/>
          <w:iCs/>
          <w:color w:val="000000"/>
        </w:rPr>
        <w:t>11)</w:t>
      </w:r>
      <w:r>
        <w:rPr>
          <w:i/>
          <w:iCs/>
          <w:color w:val="000000"/>
        </w:rPr>
        <w:t>. Este modelo poderá ser adotado por todos os entes federados, conforme estabelece o inciso IV do art. 19 da Lei nº 14.133, de 1º de abril de 2021, com a realização das adequações eventualmente necessárias, sobretudo em virtude da possível existência de normas locais específicas, que poderão ser consideradas no caso concreto.</w:t>
      </w:r>
    </w:p>
    <w:p w14:paraId="28825049" w14:textId="77777777" w:rsidR="000A0C55" w:rsidRDefault="000A0C55" w:rsidP="000A0C55">
      <w:pPr>
        <w:pStyle w:val="Textodecomentrio"/>
      </w:pPr>
      <w:r>
        <w:rPr>
          <w:b/>
          <w:bCs/>
          <w:i/>
          <w:iCs/>
          <w:color w:val="000000"/>
        </w:rPr>
        <w:t xml:space="preserve">12) </w:t>
      </w:r>
      <w:r>
        <w:rPr>
          <w:i/>
          <w:iCs/>
          <w:color w:val="000000"/>
        </w:rPr>
        <w:t xml:space="preserve">Quaisquer sugestões de alteração poderão ser encaminhadas ao e-mail: </w:t>
      </w:r>
      <w:hyperlink r:id="rId1" w:history="1">
        <w:r w:rsidRPr="006B60F1">
          <w:rPr>
            <w:rStyle w:val="Hyperlink"/>
            <w:i/>
            <w:iCs/>
          </w:rPr>
          <w:t>cgu.modeloscontratacao@agu.gov.br</w:t>
        </w:r>
      </w:hyperlink>
      <w:r>
        <w:rPr>
          <w:i/>
          <w:iCs/>
          <w:color w:val="000000"/>
        </w:rPr>
        <w:t>.</w:t>
      </w:r>
    </w:p>
  </w:comment>
  <w:comment w:id="1" w:author="Autor" w:initials="A">
    <w:p w14:paraId="3A06C888" w14:textId="6E67CFC7" w:rsidR="008E3870" w:rsidRDefault="00326F5C" w:rsidP="008E3870">
      <w:pPr>
        <w:pStyle w:val="Textodecomentrio"/>
      </w:pPr>
      <w:r>
        <w:rPr>
          <w:rStyle w:val="Refdecomentrio"/>
        </w:rPr>
        <w:annotationRef/>
      </w:r>
      <w:r w:rsidR="008E3870">
        <w:rPr>
          <w:b/>
          <w:bCs/>
          <w:i/>
          <w:iCs/>
        </w:rPr>
        <w:t xml:space="preserve">Nota Explicativa: </w:t>
      </w:r>
      <w:r w:rsidR="008E3870">
        <w:rPr>
          <w:i/>
          <w:iCs/>
        </w:rPr>
        <w:t xml:space="preserve">Considerando que este Termo de Referência contempla tanto as hipóteses de contratações diretas quanto de contratações decorrentes de licitação, a expressão "fornecedor" ou "interessado", utilizada ao longo do texto, abrange contratados e licitantes, conforme o caso. </w:t>
      </w:r>
    </w:p>
    <w:p w14:paraId="3147EDF6" w14:textId="77777777" w:rsidR="008E3870" w:rsidRDefault="008E3870" w:rsidP="008E3870">
      <w:pPr>
        <w:pStyle w:val="Textodecomentrio"/>
      </w:pPr>
    </w:p>
    <w:p w14:paraId="2F80C711" w14:textId="77777777" w:rsidR="008E3870" w:rsidRDefault="008E3870" w:rsidP="008E3870">
      <w:pPr>
        <w:pStyle w:val="Textodecomentrio"/>
      </w:pPr>
      <w:r>
        <w:rPr>
          <w:b/>
          <w:bCs/>
          <w:i/>
          <w:iCs/>
        </w:rPr>
        <w:t>Nota Explicativa 2:</w:t>
      </w:r>
      <w:r>
        <w:rPr>
          <w:i/>
          <w:iCs/>
        </w:rPr>
        <w:t xml:space="preserve"> Os trechos </w:t>
      </w:r>
      <w:r>
        <w:rPr>
          <w:i/>
          <w:iCs/>
          <w:highlight w:val="green"/>
        </w:rPr>
        <w:t>destacados em verde</w:t>
      </w:r>
      <w:r>
        <w:rPr>
          <w:i/>
          <w:iCs/>
        </w:rPr>
        <w:t xml:space="preserve"> devem ser utilizados para a contratação de obras ou serviços de engenharia. </w:t>
      </w:r>
    </w:p>
    <w:p w14:paraId="7A61A2B3" w14:textId="77777777" w:rsidR="008E3870" w:rsidRDefault="008E3870" w:rsidP="008E3870">
      <w:pPr>
        <w:pStyle w:val="Textodecomentrio"/>
      </w:pPr>
    </w:p>
    <w:p w14:paraId="7BE42B47" w14:textId="77777777" w:rsidR="008E3870" w:rsidRDefault="008E3870" w:rsidP="008E3870">
      <w:pPr>
        <w:pStyle w:val="Textodecomentrio"/>
      </w:pPr>
      <w:r>
        <w:rPr>
          <w:b/>
          <w:bCs/>
          <w:i/>
          <w:iCs/>
        </w:rPr>
        <w:t>Nota Explicativa 3:</w:t>
      </w:r>
      <w:r>
        <w:rPr>
          <w:i/>
          <w:iCs/>
        </w:rPr>
        <w:t xml:space="preserve"> Os trechos </w:t>
      </w:r>
      <w:r>
        <w:rPr>
          <w:i/>
          <w:iCs/>
          <w:highlight w:val="lightGray"/>
        </w:rPr>
        <w:t xml:space="preserve">destacados em cinza </w:t>
      </w:r>
      <w:r>
        <w:rPr>
          <w:i/>
          <w:iCs/>
        </w:rPr>
        <w:t xml:space="preserve">devem ser utilizados em caso de contratação de serviços executados com dedicação exclusiva de mão de obra. </w:t>
      </w:r>
    </w:p>
  </w:comment>
  <w:comment w:id="5" w:author="Autor" w:initials="A">
    <w:p w14:paraId="71A519FE" w14:textId="77777777" w:rsidR="008E3870" w:rsidRDefault="00DD3062" w:rsidP="008E3870">
      <w:pPr>
        <w:pStyle w:val="Textodecomentrio"/>
      </w:pPr>
      <w:r>
        <w:rPr>
          <w:rStyle w:val="Refdecomentrio"/>
        </w:rPr>
        <w:annotationRef/>
      </w:r>
      <w:r w:rsidR="008E3870">
        <w:rPr>
          <w:b/>
          <w:bCs/>
          <w:i/>
          <w:iCs/>
        </w:rPr>
        <w:t xml:space="preserve">Nota Explicativa: </w:t>
      </w:r>
      <w:r w:rsidR="008E3870">
        <w:rPr>
          <w:i/>
          <w:iCs/>
        </w:rPr>
        <w:t xml:space="preserve">Adequar a redação do item conforme a natureza do objeto (obra, serviço contínuo, serviço de engenharia, serviço com dedicação exclusiva de mão de obra etc.). </w:t>
      </w:r>
    </w:p>
  </w:comment>
  <w:comment w:id="6" w:author="Autor" w:initials="A">
    <w:p w14:paraId="4C9627C3" w14:textId="77777777" w:rsidR="00CE17A6" w:rsidRDefault="008217C2" w:rsidP="00CE17A6">
      <w:pPr>
        <w:pStyle w:val="Textodecomentrio"/>
      </w:pPr>
      <w:r>
        <w:rPr>
          <w:rStyle w:val="Refdecomentrio"/>
        </w:rPr>
        <w:annotationRef/>
      </w:r>
      <w:r w:rsidR="00CE17A6">
        <w:rPr>
          <w:b/>
          <w:bCs/>
          <w:i/>
          <w:iCs/>
          <w:color w:val="000000"/>
        </w:rPr>
        <w:t xml:space="preserve">Nota Explicativa 1: </w:t>
      </w:r>
      <w:r w:rsidR="00CE17A6">
        <w:rPr>
          <w:i/>
          <w:iCs/>
          <w:color w:val="000000"/>
        </w:rPr>
        <w:t>A tabela acima é meramente ilustrativa, podendo ser livremente alterada conforme o caso concreto.</w:t>
      </w:r>
    </w:p>
    <w:p w14:paraId="378048B2" w14:textId="77777777" w:rsidR="00CE17A6" w:rsidRDefault="00CE17A6" w:rsidP="00CE17A6">
      <w:pPr>
        <w:pStyle w:val="Textodecomentrio"/>
      </w:pPr>
    </w:p>
    <w:p w14:paraId="4F719ADF" w14:textId="77777777" w:rsidR="00CE17A6" w:rsidRDefault="00CE17A6" w:rsidP="00CE17A6">
      <w:pPr>
        <w:pStyle w:val="Textodecomentrio"/>
      </w:pPr>
      <w:r>
        <w:rPr>
          <w:b/>
          <w:bCs/>
          <w:i/>
          <w:iCs/>
          <w:color w:val="000000"/>
        </w:rPr>
        <w:t xml:space="preserve">Nota Explicativa 2: </w:t>
      </w:r>
      <w:r>
        <w:rPr>
          <w:i/>
          <w:iCs/>
          <w:color w:val="000000"/>
        </w:rPr>
        <w:t>A justificativa para o parcelamento ou não do objeto deve constar do Estudo Técnico Preliminar (</w:t>
      </w:r>
      <w:hyperlink r:id="rId2" w:anchor="art18§1" w:history="1">
        <w:r w:rsidRPr="00B8374F">
          <w:rPr>
            <w:rStyle w:val="Hyperlink"/>
            <w:i/>
            <w:iCs/>
          </w:rPr>
          <w:t>art. 18, §1º, inciso VIII, da Lei nº 14.133, de 2021</w:t>
        </w:r>
      </w:hyperlink>
      <w:r>
        <w:rPr>
          <w:i/>
          <w:iCs/>
          <w:color w:val="000000"/>
        </w:rPr>
        <w:t xml:space="preserve">, e </w:t>
      </w:r>
      <w:hyperlink r:id="rId3" w:anchor="art9" w:history="1">
        <w:r w:rsidRPr="00B8374F">
          <w:rPr>
            <w:rStyle w:val="Hyperlink"/>
            <w:i/>
            <w:iCs/>
          </w:rPr>
          <w:t>art. 9º, inciso VII, da Instrução Normativa SEGES nº 58, de 8 de agosto de 2022</w:t>
        </w:r>
      </w:hyperlink>
      <w:r>
        <w:rPr>
          <w:i/>
          <w:iCs/>
          <w:color w:val="000000"/>
        </w:rPr>
        <w:t>). Os serviços, como regra, devem atender ao parcelamento quando for tecnicamente viável e economicamente vantajoso (</w:t>
      </w:r>
      <w:hyperlink r:id="rId4" w:anchor="art47" w:history="1">
        <w:r w:rsidRPr="00B8374F">
          <w:rPr>
            <w:rStyle w:val="Hyperlink"/>
            <w:i/>
            <w:iCs/>
          </w:rPr>
          <w:t>art. 47, inciso II, da Lei n. 14.133, de 2021</w:t>
        </w:r>
      </w:hyperlink>
      <w:r>
        <w:rPr>
          <w:i/>
          <w:iCs/>
          <w:color w:val="000000"/>
        </w:rPr>
        <w:t xml:space="preserve">). Devem também ser observadas as regras do </w:t>
      </w:r>
      <w:hyperlink r:id="rId5" w:anchor="art47§1" w:history="1">
        <w:r w:rsidRPr="00B8374F">
          <w:rPr>
            <w:rStyle w:val="Hyperlink"/>
            <w:i/>
            <w:iCs/>
          </w:rPr>
          <w:t>artigo 47, § 1º, da Lei n. 14.133, de 2021</w:t>
        </w:r>
      </w:hyperlink>
      <w:r>
        <w:rPr>
          <w:i/>
          <w:iCs/>
          <w:color w:val="000000"/>
        </w:rPr>
        <w:t>, que trata de aspectos a serem considerados na aplicação do princípio do parcelamento.</w:t>
      </w:r>
    </w:p>
    <w:p w14:paraId="544F3E6B" w14:textId="77777777" w:rsidR="00CE17A6" w:rsidRDefault="00CE17A6" w:rsidP="00CE17A6">
      <w:pPr>
        <w:pStyle w:val="Textodecomentrio"/>
      </w:pPr>
    </w:p>
    <w:p w14:paraId="7F1A6DCD" w14:textId="77777777" w:rsidR="00CE17A6" w:rsidRDefault="00CE17A6" w:rsidP="00CE17A6">
      <w:pPr>
        <w:pStyle w:val="Textodecomentrio"/>
      </w:pPr>
      <w:r>
        <w:rPr>
          <w:b/>
          <w:bCs/>
          <w:i/>
          <w:iCs/>
        </w:rPr>
        <w:t>Nota Explicativa 3</w:t>
      </w:r>
      <w:r>
        <w:rPr>
          <w:i/>
          <w:iCs/>
        </w:rPr>
        <w:t>: O parcelamento não é ponto verificado usualmente em contratações diretas, já que estas não são feitas em regime competitivo. No entanto, no caso de se tratar de dispensa de pequeno valor feita pelo sistema de dispensa eletrônica ou qualquer outro caso de dispensa submetida a algum regime competitivo, a análise sobre o parcelamento deverá ocorrer nos moldes acima.</w:t>
      </w:r>
    </w:p>
    <w:p w14:paraId="33F356FF" w14:textId="77777777" w:rsidR="00CE17A6" w:rsidRDefault="00CE17A6" w:rsidP="00CE17A6">
      <w:pPr>
        <w:pStyle w:val="Textodecomentrio"/>
      </w:pPr>
    </w:p>
    <w:p w14:paraId="195D427D" w14:textId="77777777" w:rsidR="00CE17A6" w:rsidRDefault="00CE17A6" w:rsidP="00CE17A6">
      <w:pPr>
        <w:pStyle w:val="Textodecomentrio"/>
      </w:pPr>
      <w:r>
        <w:rPr>
          <w:b/>
          <w:bCs/>
          <w:i/>
          <w:iCs/>
          <w:color w:val="000000"/>
        </w:rPr>
        <w:t xml:space="preserve">Nota Explicativa 4: </w:t>
      </w:r>
      <w:r>
        <w:rPr>
          <w:i/>
          <w:iCs/>
          <w:color w:val="000000"/>
        </w:rPr>
        <w:t xml:space="preserve">Em contratação de itens de valor correspondente a até R$ 80.000,00 deve ser garantida a participação exclusiva de Microempresa e Empresa de Pequeno Porte (ME e EPP), conforme </w:t>
      </w:r>
      <w:hyperlink r:id="rId6" w:anchor="art48" w:history="1">
        <w:r w:rsidRPr="00B8374F">
          <w:rPr>
            <w:rStyle w:val="Hyperlink"/>
            <w:i/>
            <w:iCs/>
          </w:rPr>
          <w:t>artigo 48, inciso I, da Lei Complementar nº 123, de 14 de dezembro de 2006</w:t>
        </w:r>
      </w:hyperlink>
      <w:r>
        <w:rPr>
          <w:i/>
          <w:iCs/>
          <w:color w:val="000000"/>
        </w:rPr>
        <w:t xml:space="preserve">, e </w:t>
      </w:r>
      <w:hyperlink r:id="rId7" w:anchor="art6" w:history="1">
        <w:r w:rsidRPr="00B8374F">
          <w:rPr>
            <w:rStyle w:val="Hyperlink"/>
            <w:i/>
            <w:iCs/>
          </w:rPr>
          <w:t>artigo 6º do Decreto nº 8.538, de 06 de outubro de 2015).</w:t>
        </w:r>
      </w:hyperlink>
    </w:p>
    <w:p w14:paraId="29CC84B0" w14:textId="77777777" w:rsidR="00CE17A6" w:rsidRDefault="00CE17A6" w:rsidP="00CE17A6">
      <w:pPr>
        <w:pStyle w:val="Textodecomentrio"/>
      </w:pPr>
    </w:p>
    <w:p w14:paraId="260B0E29" w14:textId="77777777" w:rsidR="00CE17A6" w:rsidRDefault="00CE17A6" w:rsidP="00CE17A6">
      <w:pPr>
        <w:pStyle w:val="Textodecomentrio"/>
      </w:pPr>
      <w:r>
        <w:rPr>
          <w:b/>
          <w:bCs/>
          <w:i/>
          <w:iCs/>
          <w:color w:val="000000"/>
        </w:rPr>
        <w:t>Nota Explicativa 5:</w:t>
      </w:r>
      <w:r>
        <w:rPr>
          <w:i/>
          <w:iCs/>
          <w:color w:val="000000"/>
        </w:rPr>
        <w:t xml:space="preserve"> Building Information Modelling – BIM: O Decreto nº 10.306/2020 trata da utilização do Building Information Modelling (BIM) na execução direta ou indireta de obras e serviços de engenharia realizados pelos órgãos e pelas entidades da administração pública federal, conforme Estratégia BIM BR, instituída pelo </w:t>
      </w:r>
      <w:r>
        <w:rPr>
          <w:i/>
          <w:iCs/>
        </w:rPr>
        <w:t>Decreto nº 11.888, de 22 de janeiro de 2024</w:t>
      </w:r>
      <w:r>
        <w:rPr>
          <w:i/>
          <w:iCs/>
          <w:color w:val="000000"/>
        </w:rPr>
        <w:t>.  Building Information Modelling - BIM ou Modelagem da Informação da Construção corresponde ao “conjunto de tecnologias e processos integrados que permite a criação, a utilização e a atualização de modelos digitais de uma construção, de modo colaborativo, que sirva a todos os participantes do empreendimento, em qualquer etapa do ciclo de vida da construção” (art. 3º, inciso II, do Decreto nº 10.306/2020).</w:t>
      </w:r>
    </w:p>
    <w:p w14:paraId="7E20F313" w14:textId="77777777" w:rsidR="00CE17A6" w:rsidRDefault="00CE17A6" w:rsidP="00CE17A6">
      <w:pPr>
        <w:pStyle w:val="Textodecomentrio"/>
      </w:pPr>
      <w:r>
        <w:rPr>
          <w:i/>
          <w:iCs/>
          <w:color w:val="000000"/>
        </w:rPr>
        <w:t>De acordo com o artigo 2º do referido Decreto, alguns Ministérios, Secretarias e Autarquias foram desde logo vinculados à ação de disseminação do BIM. Desse modo, se for o caso, deverá a Administração efetuar o planejamento da contratação com base nas diretrizes estabelecidas no Decreto nº 10.306/2020, em especial por conta da previsão do artigo 19, §3º, da Lei nº 14.133/2021, que estabelece que, nas licitações de obras e serviços de engenharia e arquitetura, sempre que adequada ao objeto contratual, será preferencialmente adotada a Modelagem da Informação da Construção (Building Information Modelling - BIM) ou tecnologias e processos integrados similares ou mais avançados que venham a substituí-la.</w:t>
      </w:r>
    </w:p>
  </w:comment>
  <w:comment w:id="7" w:author="Autor" w:initials="A">
    <w:p w14:paraId="57B22B4D" w14:textId="37CDDB43" w:rsidR="00662F78" w:rsidRDefault="00AD2DCD" w:rsidP="00364821">
      <w:pPr>
        <w:pStyle w:val="Textodecomentrio"/>
      </w:pPr>
      <w:r>
        <w:rPr>
          <w:rStyle w:val="Refdecomentrio"/>
        </w:rPr>
        <w:annotationRef/>
      </w:r>
      <w:r w:rsidR="00662F78">
        <w:rPr>
          <w:b/>
          <w:bCs/>
          <w:i/>
          <w:iCs/>
        </w:rPr>
        <w:t xml:space="preserve">Nota Explicativa: </w:t>
      </w:r>
      <w:r w:rsidR="00662F78">
        <w:rPr>
          <w:i/>
          <w:iCs/>
        </w:rPr>
        <w:t xml:space="preserve">Não preencher as colunas indicativas de valores quando se tratar de orçamento sigiloso. </w:t>
      </w:r>
    </w:p>
  </w:comment>
  <w:comment w:id="9" w:author="Autor" w:initials="A">
    <w:p w14:paraId="53BA91F4" w14:textId="77777777" w:rsidR="008E3870" w:rsidRDefault="008217C2" w:rsidP="008E3870">
      <w:pPr>
        <w:pStyle w:val="Textodecomentrio"/>
      </w:pPr>
      <w:r>
        <w:rPr>
          <w:rStyle w:val="Refdecomentrio"/>
        </w:rPr>
        <w:annotationRef/>
      </w:r>
      <w:r w:rsidR="008E3870">
        <w:rPr>
          <w:b/>
          <w:bCs/>
          <w:i/>
          <w:iCs/>
          <w:color w:val="000000"/>
        </w:rPr>
        <w:t>Nota Explicativa 1:</w:t>
      </w:r>
      <w:r w:rsidR="008E3870">
        <w:rPr>
          <w:i/>
          <w:iCs/>
          <w:color w:val="000000"/>
        </w:rPr>
        <w:t xml:space="preserve"> Sobre a natureza do objeto, deve-se ter em mente o disposto na </w:t>
      </w:r>
      <w:hyperlink r:id="rId8" w:history="1">
        <w:r w:rsidR="008E3870" w:rsidRPr="00FF6954">
          <w:rPr>
            <w:rStyle w:val="Hyperlink"/>
            <w:i/>
            <w:iCs/>
          </w:rPr>
          <w:t>Orientação Normativa AGU nº 54/2014</w:t>
        </w:r>
      </w:hyperlink>
      <w:r w:rsidR="008E3870">
        <w:rPr>
          <w:i/>
          <w:iCs/>
          <w:color w:val="000000"/>
        </w:rPr>
        <w:t>: Compete ao agente ou setor técnico da administração declarar que o objeto licitatório é de natureza comum para efeito de utilização da modalidade pregão e definir se o objeto corresponde a obra ou serviço de engenharia, sendo atribuição do órgão jurídico analisar o devido enquadramento da modalidade licitatória aplicável.</w:t>
      </w:r>
    </w:p>
    <w:p w14:paraId="377E2C50" w14:textId="77777777" w:rsidR="008E3870" w:rsidRDefault="008E3870" w:rsidP="008E3870">
      <w:pPr>
        <w:pStyle w:val="Textodecomentrio"/>
      </w:pPr>
    </w:p>
    <w:p w14:paraId="7B9761E0" w14:textId="77777777" w:rsidR="008E3870" w:rsidRDefault="008E3870" w:rsidP="008E3870">
      <w:pPr>
        <w:pStyle w:val="Textodecomentrio"/>
      </w:pPr>
      <w:r>
        <w:rPr>
          <w:b/>
          <w:bCs/>
          <w:i/>
          <w:iCs/>
          <w:color w:val="000000"/>
        </w:rPr>
        <w:t>Nota Explicativa 2:</w:t>
      </w:r>
      <w:r>
        <w:rPr>
          <w:i/>
          <w:iCs/>
          <w:color w:val="000000"/>
        </w:rPr>
        <w:t xml:space="preserve"> Deve a Administração atentar para as definições de obras, serviços comuns e serviços especiais, inclusive de engenharia, constantes do art. 6º, incisos XII, XIII, XIV e XXI, "a" e "b"Lei n.º 14.133, de 2021, respectivamente. </w:t>
      </w:r>
    </w:p>
  </w:comment>
  <w:comment w:id="11" w:author="Autor" w:initials="A">
    <w:p w14:paraId="45F04D6E" w14:textId="2B66C90E" w:rsidR="00690839" w:rsidRDefault="00484732">
      <w:pPr>
        <w:pStyle w:val="Textodecomentrio"/>
      </w:pPr>
      <w:r>
        <w:rPr>
          <w:rStyle w:val="Refdecomentrio"/>
        </w:rPr>
        <w:annotationRef/>
      </w:r>
      <w:r w:rsidR="00690839">
        <w:rPr>
          <w:b/>
          <w:bCs/>
          <w:i/>
          <w:iCs/>
          <w:color w:val="000000"/>
        </w:rPr>
        <w:t xml:space="preserve">Nota Explicativa 1: </w:t>
      </w:r>
      <w:r w:rsidR="00690839">
        <w:rPr>
          <w:i/>
          <w:iCs/>
          <w:color w:val="000000"/>
          <w:u w:val="single"/>
        </w:rPr>
        <w:t>Enquadramento da Contratação para fins de vigência -</w:t>
      </w:r>
      <w:r w:rsidR="00690839">
        <w:rPr>
          <w:i/>
          <w:iCs/>
          <w:color w:val="000000"/>
        </w:rPr>
        <w:t xml:space="preserve"> Há três tipos de contratação para fornecimento/execução de serviços, no que tange à vigência: </w:t>
      </w:r>
    </w:p>
    <w:p w14:paraId="2ED746DC" w14:textId="77777777" w:rsidR="00690839" w:rsidRDefault="00690839">
      <w:pPr>
        <w:pStyle w:val="Textodecomentrio"/>
      </w:pPr>
      <w:r>
        <w:rPr>
          <w:i/>
          <w:iCs/>
          <w:color w:val="000000"/>
        </w:rPr>
        <w:t xml:space="preserve">a) Há </w:t>
      </w:r>
      <w:r>
        <w:rPr>
          <w:b/>
          <w:bCs/>
          <w:i/>
          <w:iCs/>
          <w:color w:val="000000"/>
        </w:rPr>
        <w:t xml:space="preserve">serviços não contínuos </w:t>
      </w:r>
      <w:r>
        <w:rPr>
          <w:i/>
          <w:iCs/>
          <w:color w:val="000000"/>
        </w:rPr>
        <w:t xml:space="preserve">quando se trata de um serviço sem que haja uma demanda de caráter permanente. Uma vez finalizado, resolve-se a necessidade que deu azo ao contrato. Estes usam o </w:t>
      </w:r>
      <w:hyperlink r:id="rId9" w:anchor="art105" w:history="1">
        <w:r w:rsidRPr="0079440B">
          <w:rPr>
            <w:rStyle w:val="Hyperlink"/>
            <w:i/>
            <w:iCs/>
          </w:rPr>
          <w:t>art.105 da Lei nº 14.133, de 2021</w:t>
        </w:r>
      </w:hyperlink>
      <w:r>
        <w:rPr>
          <w:b/>
          <w:bCs/>
          <w:i/>
          <w:iCs/>
          <w:color w:val="000000"/>
        </w:rPr>
        <w:t>,</w:t>
      </w:r>
      <w:r>
        <w:rPr>
          <w:i/>
          <w:iCs/>
          <w:color w:val="000000"/>
        </w:rPr>
        <w:t xml:space="preserve"> como fundamento e partem apenas de créditos do exercício corrente, salvo se inscritos no Plano Plurianual.</w:t>
      </w:r>
    </w:p>
    <w:p w14:paraId="13C62DDB" w14:textId="77777777" w:rsidR="00690839" w:rsidRDefault="00690839">
      <w:pPr>
        <w:pStyle w:val="Textodecomentrio"/>
      </w:pPr>
      <w:r>
        <w:rPr>
          <w:i/>
          <w:iCs/>
          <w:color w:val="000000"/>
        </w:rPr>
        <w:t xml:space="preserve">b) Há </w:t>
      </w:r>
      <w:r>
        <w:rPr>
          <w:b/>
          <w:bCs/>
          <w:i/>
          <w:iCs/>
          <w:color w:val="000000"/>
        </w:rPr>
        <w:t xml:space="preserve">serviços contínuos </w:t>
      </w:r>
      <w:r>
        <w:rPr>
          <w:i/>
          <w:iCs/>
          <w:color w:val="000000"/>
        </w:rPr>
        <w:t xml:space="preserve">quando o serviço é uma necessidade permanente. É o caso, por exemplo, de serviços de limpeza e segurança essenciais para o funcionamento do órgão público. Nessas situações, findado o contrato, haverá sua substituição por um novo e assim, sucessivamente, pois a necessidade em si é permanente. Contratações dessa natureza são atendidas pelo </w:t>
      </w:r>
      <w:hyperlink r:id="rId10" w:anchor="art106" w:history="1">
        <w:r w:rsidRPr="0079440B">
          <w:rPr>
            <w:rStyle w:val="Hyperlink"/>
            <w:i/>
            <w:iCs/>
          </w:rPr>
          <w:t>art. 106 da Lei nº 14.133, de 2021</w:t>
        </w:r>
      </w:hyperlink>
      <w:r>
        <w:rPr>
          <w:i/>
          <w:iCs/>
          <w:color w:val="000000"/>
        </w:rPr>
        <w:t>.</w:t>
      </w:r>
    </w:p>
    <w:p w14:paraId="34D9EC6C" w14:textId="77777777" w:rsidR="00690839" w:rsidRDefault="00690839">
      <w:pPr>
        <w:pStyle w:val="Textodecomentrio"/>
      </w:pPr>
      <w:r>
        <w:rPr>
          <w:i/>
          <w:iCs/>
          <w:color w:val="000000"/>
        </w:rPr>
        <w:t xml:space="preserve">c) Em caso de </w:t>
      </w:r>
      <w:r>
        <w:rPr>
          <w:b/>
          <w:bCs/>
          <w:i/>
          <w:iCs/>
          <w:color w:val="000000"/>
        </w:rPr>
        <w:t xml:space="preserve">contratação emergencial, </w:t>
      </w:r>
      <w:r>
        <w:rPr>
          <w:i/>
          <w:iCs/>
          <w:color w:val="000000"/>
        </w:rPr>
        <w:t>a vigência é regida pelo art. 75, VIII, estando limitada a um ano da emergência e não sendo passível de prorrogação.</w:t>
      </w:r>
    </w:p>
    <w:p w14:paraId="274FB81D" w14:textId="77777777" w:rsidR="00690839" w:rsidRDefault="00690839">
      <w:pPr>
        <w:pStyle w:val="Textodecomentrio"/>
      </w:pPr>
      <w:r>
        <w:rPr>
          <w:i/>
          <w:iCs/>
          <w:color w:val="000000"/>
        </w:rPr>
        <w:t>Incumbe à área que elabora o Termo de Referência enquadrar a contratação como não-contínua ou contínua (ou emergencial, se for o caso). Reputando-a contínua, deve apor a justificativa para tal enquadramento, conforme orientações no item específico abaixo.</w:t>
      </w:r>
    </w:p>
    <w:p w14:paraId="3856F1F3" w14:textId="77777777" w:rsidR="00690839" w:rsidRDefault="00690839">
      <w:pPr>
        <w:pStyle w:val="Textodecomentrio"/>
      </w:pPr>
    </w:p>
    <w:p w14:paraId="7A8CC0B4" w14:textId="77777777" w:rsidR="00690839" w:rsidRDefault="00690839">
      <w:pPr>
        <w:pStyle w:val="Textodecomentrio"/>
      </w:pPr>
      <w:r>
        <w:rPr>
          <w:b/>
          <w:bCs/>
          <w:i/>
          <w:iCs/>
          <w:color w:val="000000"/>
        </w:rPr>
        <w:t xml:space="preserve">Nota Explicativa 2: </w:t>
      </w:r>
      <w:r>
        <w:rPr>
          <w:i/>
          <w:iCs/>
          <w:color w:val="000000"/>
          <w:u w:val="single"/>
        </w:rPr>
        <w:t xml:space="preserve">Prazo de Vigência e Empenho - </w:t>
      </w:r>
      <w:hyperlink r:id="rId11" w:anchor="art105" w:history="1">
        <w:r w:rsidRPr="0079440B">
          <w:rPr>
            <w:rStyle w:val="Hyperlink"/>
            <w:i/>
            <w:iCs/>
          </w:rPr>
          <w:t>art. 105 da Lei nº 14.133, de 2021</w:t>
        </w:r>
      </w:hyperlink>
      <w:r>
        <w:rPr>
          <w:i/>
          <w:iCs/>
          <w:color w:val="000000"/>
          <w:u w:val="single"/>
        </w:rPr>
        <w:t xml:space="preserve"> – Serviço Não-Contínuo:</w:t>
      </w:r>
      <w:r>
        <w:rPr>
          <w:b/>
          <w:bCs/>
          <w:i/>
          <w:iCs/>
          <w:color w:val="000000"/>
        </w:rPr>
        <w:t xml:space="preserve"> </w:t>
      </w:r>
      <w:r>
        <w:rPr>
          <w:i/>
          <w:iCs/>
          <w:color w:val="000000"/>
        </w:rPr>
        <w:t xml:space="preserve">Em caso de serviço não contínuo, o prazo de vigência deve ser o suficiente para a finalização do objeto e adoção das providências previstas no contrato, sendo a contratação limitada pelos respectivos créditos orçamentários. </w:t>
      </w:r>
    </w:p>
    <w:p w14:paraId="04C9B9E6" w14:textId="77777777" w:rsidR="00690839" w:rsidRDefault="00690839">
      <w:pPr>
        <w:pStyle w:val="Textodecomentrio"/>
      </w:pPr>
      <w:r>
        <w:rPr>
          <w:i/>
          <w:iCs/>
          <w:color w:val="000000"/>
        </w:rPr>
        <w:t xml:space="preserve">Uma contratação que não tenha previsão no Plano Plurianual deve ter a sua integralidade empenhada antes ou de modo concomitante à celebração, conforme </w:t>
      </w:r>
      <w:hyperlink r:id="rId12" w:history="1">
        <w:r w:rsidRPr="0079440B">
          <w:rPr>
            <w:rStyle w:val="Hyperlink"/>
            <w:i/>
            <w:iCs/>
          </w:rPr>
          <w:t>Lei nº 4.320, de 17 de março 1964</w:t>
        </w:r>
      </w:hyperlink>
      <w:r>
        <w:rPr>
          <w:i/>
          <w:iCs/>
          <w:color w:val="000000"/>
        </w:rPr>
        <w:t xml:space="preserve">, e </w:t>
      </w:r>
      <w:hyperlink r:id="rId13" w:history="1">
        <w:r w:rsidRPr="0079440B">
          <w:rPr>
            <w:rStyle w:val="Hyperlink"/>
            <w:i/>
            <w:iCs/>
          </w:rPr>
          <w:t>Decreto nº 93.872, de 23 de dezembro de 1986</w:t>
        </w:r>
      </w:hyperlink>
      <w:r>
        <w:rPr>
          <w:i/>
          <w:iCs/>
          <w:color w:val="000000"/>
        </w:rPr>
        <w:t>, e a partir de tal empenho ter a vigência necessária prevista, utilizando-se de restos a pagar, se for o caso (</w:t>
      </w:r>
      <w:hyperlink r:id="rId14" w:anchor="art30§2" w:history="1">
        <w:r w:rsidRPr="0079440B">
          <w:rPr>
            <w:rStyle w:val="Hyperlink"/>
            <w:i/>
            <w:iCs/>
          </w:rPr>
          <w:t>art. 30, §2º do Decreto nº 93.872, de 1986</w:t>
        </w:r>
      </w:hyperlink>
      <w:r>
        <w:rPr>
          <w:i/>
          <w:iCs/>
          <w:color w:val="000000"/>
        </w:rPr>
        <w:t>). Já a contratação prevista no Plano Plurianual pode ter empenhos em anos distintos, considerando a despesa de cada exercício, apenas quanto ao período abrangido pelo PPA.</w:t>
      </w:r>
    </w:p>
    <w:p w14:paraId="49ED4D73" w14:textId="77777777" w:rsidR="00690839" w:rsidRDefault="00690839">
      <w:pPr>
        <w:pStyle w:val="Textodecomentrio"/>
      </w:pPr>
    </w:p>
    <w:p w14:paraId="2FC104A7" w14:textId="77777777" w:rsidR="00690839" w:rsidRDefault="00690839">
      <w:pPr>
        <w:pStyle w:val="Textodecomentrio"/>
      </w:pPr>
      <w:r>
        <w:rPr>
          <w:b/>
          <w:bCs/>
          <w:i/>
          <w:iCs/>
          <w:color w:val="000000"/>
        </w:rPr>
        <w:t xml:space="preserve">Nota Explicativa 3: </w:t>
      </w:r>
      <w:r>
        <w:rPr>
          <w:i/>
          <w:iCs/>
          <w:color w:val="000000"/>
          <w:u w:val="single"/>
        </w:rPr>
        <w:t xml:space="preserve">Prazo de Vigência – </w:t>
      </w:r>
      <w:hyperlink r:id="rId15" w:anchor="art106" w:history="1">
        <w:r w:rsidRPr="0079440B">
          <w:rPr>
            <w:rStyle w:val="Hyperlink"/>
            <w:i/>
            <w:iCs/>
          </w:rPr>
          <w:t>arts. 106 e 107</w:t>
        </w:r>
      </w:hyperlink>
      <w:r>
        <w:rPr>
          <w:i/>
          <w:iCs/>
          <w:color w:val="000000"/>
          <w:u w:val="single"/>
        </w:rPr>
        <w:t xml:space="preserve"> – Serviço Contínuo:</w:t>
      </w:r>
      <w:r>
        <w:rPr>
          <w:b/>
          <w:bCs/>
          <w:i/>
          <w:iCs/>
          <w:color w:val="000000"/>
        </w:rPr>
        <w:t xml:space="preserve"> </w:t>
      </w:r>
      <w:r>
        <w:rPr>
          <w:i/>
          <w:iCs/>
          <w:color w:val="000000"/>
        </w:rPr>
        <w:t xml:space="preserve">A definição de serviço contínuo consta no </w:t>
      </w:r>
      <w:hyperlink r:id="rId16" w:anchor="art6" w:history="1">
        <w:r w:rsidRPr="0079440B">
          <w:rPr>
            <w:rStyle w:val="Hyperlink"/>
            <w:i/>
            <w:iCs/>
          </w:rPr>
          <w:t>art. 6º, XV da Lei nº 14.133, de 2021</w:t>
        </w:r>
      </w:hyperlink>
      <w:r>
        <w:rPr>
          <w:i/>
          <w:iCs/>
          <w:color w:val="000000"/>
        </w:rPr>
        <w:t>, sendo os “serviços contratados para a manutenção da atividade administrativa, decorrentes de necessidades permanentes ou prolongadas”.</w:t>
      </w:r>
    </w:p>
    <w:p w14:paraId="1ADC4646" w14:textId="77777777" w:rsidR="00690839" w:rsidRDefault="00690839">
      <w:pPr>
        <w:pStyle w:val="Textodecomentrio"/>
      </w:pPr>
      <w:r>
        <w:rPr>
          <w:i/>
          <w:iCs/>
          <w:color w:val="000000"/>
        </w:rPr>
        <w:t xml:space="preserve">A utilização do prazo de vigência plurianual no caso de fornecimento contínuo é condicionada ao ateste de maior vantagem econômica, a ser feita pela autoridade competente no processo respectivo, conforme </w:t>
      </w:r>
      <w:hyperlink r:id="rId17" w:anchor="art106" w:history="1">
        <w:r w:rsidRPr="0079440B">
          <w:rPr>
            <w:rStyle w:val="Hyperlink"/>
            <w:i/>
            <w:iCs/>
          </w:rPr>
          <w:t>art. 106, I da Lei nº 14.133, de 2021.</w:t>
        </w:r>
      </w:hyperlink>
      <w:r>
        <w:rPr>
          <w:i/>
          <w:iCs/>
          <w:color w:val="000000"/>
        </w:rPr>
        <w:t xml:space="preserve"> </w:t>
      </w:r>
    </w:p>
    <w:p w14:paraId="0F80A979" w14:textId="77777777" w:rsidR="00690839" w:rsidRDefault="00690839">
      <w:pPr>
        <w:pStyle w:val="Textodecomentrio"/>
      </w:pPr>
      <w:r>
        <w:rPr>
          <w:i/>
          <w:iCs/>
          <w:color w:val="000000"/>
        </w:rPr>
        <w:t xml:space="preserve">De acordo com o </w:t>
      </w:r>
      <w:hyperlink r:id="rId18" w:anchor="art107" w:history="1">
        <w:r w:rsidRPr="0079440B">
          <w:rPr>
            <w:rStyle w:val="Hyperlink"/>
            <w:i/>
            <w:iCs/>
          </w:rPr>
          <w:t>artigo 107 da Lei nº 14.133, de 2021</w:t>
        </w:r>
      </w:hyperlink>
      <w:r>
        <w:rPr>
          <w:i/>
          <w:iCs/>
          <w:color w:val="000000"/>
        </w:rPr>
        <w:t>, será possível que contratos de serviço contínuo sejam prorrogados por até 10 anos, desde que haja previsão no edital/aviso e/ou contrato e que a autoridade competente ateste que as condições e os preços permanecem vantajosos para a Administração, permitida a negociação com o contratado ou a extinção contratual sem ônus para qualquer das partes.</w:t>
      </w:r>
    </w:p>
    <w:p w14:paraId="55F249B8" w14:textId="77777777" w:rsidR="00690839" w:rsidRDefault="00690839">
      <w:pPr>
        <w:pStyle w:val="Textodecomentrio"/>
      </w:pPr>
    </w:p>
    <w:p w14:paraId="4B02EB9D" w14:textId="77777777" w:rsidR="00690839" w:rsidRDefault="00690839">
      <w:pPr>
        <w:pStyle w:val="Textodecomentrio"/>
      </w:pPr>
      <w:r>
        <w:rPr>
          <w:b/>
          <w:bCs/>
          <w:i/>
          <w:iCs/>
        </w:rPr>
        <w:t>Nota Explicativa 4:</w:t>
      </w:r>
      <w:r>
        <w:rPr>
          <w:i/>
          <w:iCs/>
        </w:rPr>
        <w:t xml:space="preserve"> </w:t>
      </w:r>
      <w:r>
        <w:rPr>
          <w:i/>
          <w:iCs/>
          <w:u w:val="single"/>
        </w:rPr>
        <w:t>Prazo de Vigência – art. 75, VIII</w:t>
      </w:r>
      <w:r>
        <w:rPr>
          <w:i/>
          <w:iCs/>
        </w:rPr>
        <w:t xml:space="preserve"> – </w:t>
      </w:r>
      <w:r>
        <w:rPr>
          <w:i/>
          <w:iCs/>
          <w:u w:val="single"/>
        </w:rPr>
        <w:t>Dispensa Emergencial</w:t>
      </w:r>
      <w:r>
        <w:rPr>
          <w:i/>
          <w:iCs/>
        </w:rPr>
        <w:t xml:space="preserve">: Independentemente de ter como objeto serviço de natureza contínua ou por escopo, a dispensa emergencial ou por calamidade baseada no art. 75, inciso VIII, da Lei n.º 14.133, de 2021, é limitada a um ano, sem a possibilidade de prorrogação. Inobstante se possa arguir a possibilidade de celebrar o contrato em prazo menor e prorrogar sua vigência até o limite de um ano, recomenda-se, por cautela, face à redação literal, já firmar o contrato por um prazo estimado, considerando a inviabilidade de prorrogação. </w:t>
      </w:r>
    </w:p>
    <w:p w14:paraId="4A15C2B9" w14:textId="77777777" w:rsidR="00690839" w:rsidRDefault="00690839">
      <w:pPr>
        <w:pStyle w:val="Textodecomentrio"/>
      </w:pPr>
      <w:r>
        <w:rPr>
          <w:i/>
          <w:iCs/>
        </w:rPr>
        <w:t xml:space="preserve">Deve-se atentar, por fim, para a vedação de recontratação de empresa já contratada com base no disposto neste inciso e para a necessidade de se adotarem as providências necessárias para a conclusão do processo licitatório, sem prejuízo de apuração de responsabilidade dos agentes públicos que deram causa à situação emergencial, conforme previsão legal. </w:t>
      </w:r>
    </w:p>
    <w:p w14:paraId="3FDC0122" w14:textId="77777777" w:rsidR="00690839" w:rsidRDefault="00690839">
      <w:pPr>
        <w:pStyle w:val="Textodecomentrio"/>
      </w:pPr>
    </w:p>
    <w:p w14:paraId="76244B97" w14:textId="77777777" w:rsidR="00690839" w:rsidRDefault="00690839">
      <w:pPr>
        <w:pStyle w:val="Textodecomentrio"/>
      </w:pPr>
      <w:r>
        <w:rPr>
          <w:b/>
          <w:bCs/>
          <w:i/>
          <w:iCs/>
        </w:rPr>
        <w:t>Nota Explicativa 5:</w:t>
      </w:r>
      <w:r>
        <w:rPr>
          <w:i/>
          <w:iCs/>
        </w:rPr>
        <w:t xml:space="preserve"> </w:t>
      </w:r>
      <w:r>
        <w:rPr>
          <w:i/>
          <w:iCs/>
          <w:u w:val="single"/>
        </w:rPr>
        <w:t>Vigência X Valores para fins de Dispensa de pequeno valor:</w:t>
      </w:r>
      <w:r>
        <w:rPr>
          <w:i/>
          <w:iCs/>
        </w:rPr>
        <w:t xml:space="preserve"> Atentar para o disposto no art. 75, §1º segundo o qual serão observados para os fins de aferição dos valores para a dispensa do art. 75, I e II o “somatório do que for despendido no exercício financeiro pela respectiva unidade gestora”. Desse modo, o referencial temporal passa a ser o gasto efetivo no período anual. </w:t>
      </w:r>
    </w:p>
    <w:p w14:paraId="37F65C2E" w14:textId="77777777" w:rsidR="00690839" w:rsidRDefault="00690839" w:rsidP="00625AFC">
      <w:pPr>
        <w:pStyle w:val="Textodecomentrio"/>
      </w:pPr>
      <w:r>
        <w:rPr>
          <w:i/>
          <w:iCs/>
        </w:rPr>
        <w:t>Deve-se observar o quanto foi efetivamente despendido no exercício financeiro com objetos na mesma natureza (75, §1º, II) pela Unidade Gestora e então somar com o que se espera gastar, efetivamente, com o contrato. Tal somatório não pode ultrapassar o limite de dispensa para que seja possível o seu uso. Tal cálculo permite, por exemplo, contratos de cinco anos com valor total muito maior do que o limite para dispensa, desde que o dispêndio anual não o seja.</w:t>
      </w:r>
    </w:p>
  </w:comment>
  <w:comment w:id="12" w:author="Autor" w:initials="A">
    <w:p w14:paraId="08204BAB" w14:textId="44290CBF" w:rsidR="008217C2" w:rsidRDefault="008217C2" w:rsidP="007E253C">
      <w:pPr>
        <w:pStyle w:val="Textodecomentrio"/>
      </w:pPr>
      <w:r>
        <w:rPr>
          <w:rStyle w:val="Refdecomentrio"/>
        </w:rPr>
        <w:annotationRef/>
      </w:r>
      <w:r>
        <w:rPr>
          <w:b/>
          <w:bCs/>
          <w:i/>
          <w:iCs/>
          <w:color w:val="000000"/>
        </w:rPr>
        <w:t>Nota Explicativa</w:t>
      </w:r>
      <w:r>
        <w:rPr>
          <w:i/>
          <w:iCs/>
          <w:color w:val="000000"/>
        </w:rPr>
        <w:t xml:space="preserve">: De acordo com o </w:t>
      </w:r>
      <w:hyperlink r:id="rId19" w:anchor="art6" w:history="1">
        <w:r w:rsidRPr="003B134A">
          <w:rPr>
            <w:rStyle w:val="Hyperlink"/>
            <w:i/>
            <w:iCs/>
          </w:rPr>
          <w:t>artigo 6º, inciso XXIII, alínea ‘c’, da Lei nº 14.133, de 2021</w:t>
        </w:r>
      </w:hyperlink>
      <w:r>
        <w:rPr>
          <w:i/>
          <w:iCs/>
          <w:color w:val="000000"/>
        </w:rPr>
        <w:t xml:space="preserve">, a fundamentação da contratação é realizada mediante “referência aos estudos técnicos preliminares correspondentes ou, quando não for possível divulgar esses estudos, no extrato das partes que não contiverem informações sigilosas”. A </w:t>
      </w:r>
      <w:hyperlink r:id="rId20" w:history="1">
        <w:r w:rsidRPr="003B134A">
          <w:rPr>
            <w:rStyle w:val="Hyperlink"/>
            <w:i/>
            <w:iCs/>
          </w:rPr>
          <w:t>Instrução Normativa SEGES/ME nº 58, de 8 de agosto de 2022</w:t>
        </w:r>
      </w:hyperlink>
      <w:r>
        <w:rPr>
          <w:i/>
          <w:iCs/>
          <w:color w:val="000000"/>
        </w:rPr>
        <w:t xml:space="preserve">, dispõe sobre a “elaboração do ETP, para a aquisição de bens e a contratação de serviços e obras, no âmbito da administração pública federal direta, autárquica e fundacional, e sobre o Sistema ETP digital”. No mesmo sentido é a previsão do </w:t>
      </w:r>
      <w:hyperlink r:id="rId21" w:anchor="art9" w:history="1">
        <w:r w:rsidRPr="003B134A">
          <w:rPr>
            <w:rStyle w:val="Hyperlink"/>
            <w:i/>
            <w:iCs/>
          </w:rPr>
          <w:t>art. 9º, inciso II, da Instrução Normativa Seges/ME nº 81, de 2022</w:t>
        </w:r>
      </w:hyperlink>
      <w:r>
        <w:rPr>
          <w:i/>
          <w:iCs/>
          <w:color w:val="000000"/>
        </w:rPr>
        <w:t>.</w:t>
      </w:r>
    </w:p>
  </w:comment>
  <w:comment w:id="14" w:author="Autor" w:initials="A">
    <w:p w14:paraId="52BC837B" w14:textId="77777777" w:rsidR="00CE17A6" w:rsidRDefault="008217C2" w:rsidP="00CE17A6">
      <w:pPr>
        <w:pStyle w:val="Textodecomentrio"/>
      </w:pPr>
      <w:r>
        <w:rPr>
          <w:rStyle w:val="Refdecomentrio"/>
        </w:rPr>
        <w:annotationRef/>
      </w:r>
      <w:r w:rsidR="00CE17A6">
        <w:rPr>
          <w:b/>
          <w:bCs/>
          <w:i/>
          <w:iCs/>
          <w:color w:val="000000"/>
        </w:rPr>
        <w:t>Nota Explicativa 1:</w:t>
      </w:r>
      <w:r w:rsidR="00CE17A6">
        <w:rPr>
          <w:i/>
          <w:iCs/>
          <w:color w:val="000000"/>
        </w:rPr>
        <w:t xml:space="preserve"> O </w:t>
      </w:r>
      <w:hyperlink r:id="rId22" w:anchor="art18§1" w:history="1">
        <w:r w:rsidR="00CE17A6" w:rsidRPr="004C60E9">
          <w:rPr>
            <w:rStyle w:val="Hyperlink"/>
            <w:i/>
            <w:iCs/>
          </w:rPr>
          <w:t>artigo 18, §1º, da Lei nº 14.133, de 2021</w:t>
        </w:r>
      </w:hyperlink>
      <w:r w:rsidR="00CE17A6">
        <w:rPr>
          <w:i/>
          <w:iCs/>
          <w:color w:val="000000"/>
        </w:rPr>
        <w:t>, dispõe:</w:t>
      </w:r>
    </w:p>
    <w:p w14:paraId="250CE239" w14:textId="77777777" w:rsidR="00CE17A6" w:rsidRDefault="00CE17A6" w:rsidP="00CE17A6">
      <w:pPr>
        <w:pStyle w:val="Textodecomentrio"/>
      </w:pPr>
      <w:r>
        <w:rPr>
          <w:i/>
          <w:iCs/>
          <w:color w:val="000000"/>
        </w:rPr>
        <w:t xml:space="preserve">§ 1º O estudo técnico preliminar a que se refere o inciso I do caput deste artigo deverá evidenciar o problema a ser resolvido e a sua melhor solução, de modo a permitir a avaliação da viabilidade técnica e econômica da contratação, e conterá os seguintes elementos: </w:t>
      </w:r>
    </w:p>
    <w:p w14:paraId="7A4F64B1" w14:textId="77777777" w:rsidR="00CE17A6" w:rsidRDefault="00CE17A6" w:rsidP="00CE17A6">
      <w:pPr>
        <w:pStyle w:val="Textodecomentrio"/>
      </w:pPr>
      <w:r>
        <w:rPr>
          <w:i/>
          <w:iCs/>
          <w:color w:val="000000"/>
        </w:rPr>
        <w:t>(...)</w:t>
      </w:r>
    </w:p>
    <w:p w14:paraId="52D6DF26" w14:textId="77777777" w:rsidR="00CE17A6" w:rsidRDefault="00CE17A6" w:rsidP="00CE17A6">
      <w:pPr>
        <w:pStyle w:val="Textodecomentrio"/>
      </w:pPr>
      <w:r>
        <w:rPr>
          <w:i/>
          <w:iCs/>
          <w:color w:val="000000"/>
        </w:rPr>
        <w:t>VII - descrição da solução como um todo, inclusive das exigências relacionadas à manutenção e à assistência técnica, quando for o caso.</w:t>
      </w:r>
    </w:p>
    <w:p w14:paraId="183B9098" w14:textId="77777777" w:rsidR="00CE17A6" w:rsidRDefault="00CE17A6" w:rsidP="00CE17A6">
      <w:pPr>
        <w:pStyle w:val="Textodecomentrio"/>
      </w:pPr>
      <w:r>
        <w:rPr>
          <w:i/>
          <w:iCs/>
          <w:color w:val="000000"/>
        </w:rPr>
        <w:t xml:space="preserve">Ver também </w:t>
      </w:r>
      <w:hyperlink r:id="rId23" w:history="1">
        <w:r w:rsidRPr="004C60E9">
          <w:rPr>
            <w:rStyle w:val="Hyperlink"/>
            <w:i/>
            <w:iCs/>
          </w:rPr>
          <w:t>Instrução Normativa SEGES/ME nº 58, de 08 de agosto de 2022</w:t>
        </w:r>
      </w:hyperlink>
      <w:r>
        <w:rPr>
          <w:i/>
          <w:iCs/>
          <w:color w:val="000000"/>
        </w:rPr>
        <w:t xml:space="preserve"> (ETP), art. 3º, inciso I e art. 6º.</w:t>
      </w:r>
    </w:p>
    <w:p w14:paraId="4026DE40" w14:textId="77777777" w:rsidR="00CE17A6" w:rsidRDefault="00CE17A6" w:rsidP="00CE17A6">
      <w:pPr>
        <w:pStyle w:val="Textodecomentrio"/>
      </w:pPr>
      <w:r>
        <w:rPr>
          <w:i/>
          <w:iCs/>
          <w:color w:val="000000"/>
        </w:rPr>
        <w:t xml:space="preserve">Caso haja a necessidade de modificação da descrição em relação à originalmente feita nos estudos </w:t>
      </w:r>
      <w:r>
        <w:rPr>
          <w:i/>
          <w:iCs/>
        </w:rPr>
        <w:t>técnicos preliminares, recomenda-se ajustar a redação deste dispositivo, para que passe a contemplar essa alteração.</w:t>
      </w:r>
    </w:p>
    <w:p w14:paraId="2E291E95" w14:textId="77777777" w:rsidR="00CE17A6" w:rsidRDefault="00CE17A6" w:rsidP="00CE17A6">
      <w:pPr>
        <w:pStyle w:val="Textodecomentrio"/>
      </w:pPr>
      <w:r>
        <w:rPr>
          <w:i/>
          <w:iCs/>
          <w:color w:val="000000"/>
        </w:rPr>
        <w:t xml:space="preserve">A </w:t>
      </w:r>
      <w:hyperlink r:id="rId24" w:history="1">
        <w:r w:rsidRPr="004C60E9">
          <w:rPr>
            <w:rStyle w:val="Hyperlink"/>
            <w:i/>
            <w:iCs/>
          </w:rPr>
          <w:t>Instrução Normativa Seges/ME nº 81, de 2022</w:t>
        </w:r>
      </w:hyperlink>
      <w:r>
        <w:rPr>
          <w:i/>
          <w:iCs/>
          <w:color w:val="000000"/>
        </w:rPr>
        <w:t>, também trata da necessidade de descrição da solução como um todo, considerado todo o ciclo de vida do objeto, com preferência a arranjos inovadores em sede de economia circular, conforme seu artigo 9º, inciso III. Tal orientação deve ser adotada naquilo em que compatível com a contratação de serviços.</w:t>
      </w:r>
    </w:p>
    <w:p w14:paraId="7A871217" w14:textId="77777777" w:rsidR="00CE17A6" w:rsidRDefault="00CE17A6" w:rsidP="00CE17A6">
      <w:pPr>
        <w:pStyle w:val="Textodecomentrio"/>
      </w:pPr>
    </w:p>
    <w:p w14:paraId="2ACE0600" w14:textId="77777777" w:rsidR="00CE17A6" w:rsidRDefault="00CE17A6" w:rsidP="00CE17A6">
      <w:pPr>
        <w:pStyle w:val="Textodecomentrio"/>
      </w:pPr>
      <w:r>
        <w:rPr>
          <w:b/>
          <w:bCs/>
          <w:i/>
          <w:iCs/>
          <w:color w:val="000000"/>
        </w:rPr>
        <w:t>Nota Explicativa 2</w:t>
      </w:r>
      <w:r>
        <w:rPr>
          <w:i/>
          <w:iCs/>
          <w:color w:val="000000"/>
        </w:rPr>
        <w:t xml:space="preserve">: A </w:t>
      </w:r>
      <w:hyperlink r:id="rId25" w:history="1">
        <w:r w:rsidRPr="004C60E9">
          <w:rPr>
            <w:rStyle w:val="Hyperlink"/>
            <w:i/>
            <w:iCs/>
          </w:rPr>
          <w:t>Instrução Normativa SEGES/ME nº 73, de 30 de setembro de 2022</w:t>
        </w:r>
      </w:hyperlink>
      <w:r>
        <w:rPr>
          <w:i/>
          <w:iCs/>
          <w:color w:val="000000"/>
        </w:rPr>
        <w:t xml:space="preserve">, em seu art. 9º, §1º, estabelece que os custos indiretos, relacionados às despesas de manutenção, utilização, reposição, depreciação e impacto ambiental, entre outros fatores vinculados ao seu ciclo de vida, poderão ser considerados para a definição do menor dispêndio, sempre que objetivamente mensuráveis, conforme parâmetros definidos em regulamento, de acordo com o </w:t>
      </w:r>
      <w:hyperlink r:id="rId26" w:anchor="art34§1" w:history="1">
        <w:r w:rsidRPr="004C60E9">
          <w:rPr>
            <w:rStyle w:val="Hyperlink"/>
            <w:i/>
            <w:iCs/>
          </w:rPr>
          <w:t>§ 1º do art. 34 da Lei nº 14.133, de 2021</w:t>
        </w:r>
      </w:hyperlink>
      <w:r>
        <w:rPr>
          <w:i/>
          <w:iCs/>
          <w:color w:val="000000"/>
        </w:rPr>
        <w:t>. Logo, a definição do menor dispêndio para Administração deve levar em consideração esse aspecto.</w:t>
      </w:r>
    </w:p>
    <w:p w14:paraId="3CC8FB67" w14:textId="77777777" w:rsidR="00CE17A6" w:rsidRDefault="00CE17A6" w:rsidP="00CE17A6">
      <w:pPr>
        <w:pStyle w:val="Textodecomentrio"/>
      </w:pPr>
    </w:p>
    <w:p w14:paraId="05616A40" w14:textId="77777777" w:rsidR="00CE17A6" w:rsidRDefault="00CE17A6" w:rsidP="00CE17A6">
      <w:pPr>
        <w:pStyle w:val="Textodecomentrio"/>
      </w:pPr>
      <w:r>
        <w:rPr>
          <w:b/>
          <w:bCs/>
          <w:i/>
          <w:iCs/>
          <w:color w:val="000000"/>
        </w:rPr>
        <w:t>Nota Explicativa 3:</w:t>
      </w:r>
      <w:r>
        <w:rPr>
          <w:i/>
          <w:iCs/>
          <w:color w:val="000000"/>
        </w:rPr>
        <w:t xml:space="preserve"> O objeto deve ser descrito de forma detalhada, com todas as especificações necessárias e suficientes para garantir a qualidade da contratação, cuidando-se para que não sejam admitidas, previstas ou incluídas condições impertinentes ou irrelevantes para o específico objeto do contrato. Deve-se levar em consideração as normas técnicas eventualmente existentes, elaboradas pela Associação Brasileira de Normas Técnicas – ABNT, quanto a requisitos mínimos de qualidade, utilidade, resistência e segurança, nos termos da </w:t>
      </w:r>
      <w:hyperlink r:id="rId27" w:anchor=":~:text=LEI%20N%C2%BA%204.150%2C%20DE%2021,T%C3%A9cnicas%20e%20d%C3%A1%20outras%20provid%C3%AAncias." w:history="1">
        <w:r w:rsidRPr="004C60E9">
          <w:rPr>
            <w:rStyle w:val="Hyperlink"/>
            <w:i/>
            <w:iCs/>
          </w:rPr>
          <w:t>Lei n° 4.150, de 21 de novembro de 1962</w:t>
        </w:r>
      </w:hyperlink>
      <w:r>
        <w:rPr>
          <w:i/>
          <w:iCs/>
          <w:color w:val="000000"/>
        </w:rPr>
        <w:t>.</w:t>
      </w:r>
    </w:p>
    <w:p w14:paraId="0535C5D6" w14:textId="77777777" w:rsidR="00CE17A6" w:rsidRDefault="00CE17A6" w:rsidP="00CE17A6">
      <w:pPr>
        <w:pStyle w:val="Textodecomentrio"/>
      </w:pPr>
    </w:p>
    <w:p w14:paraId="7AF35923" w14:textId="77777777" w:rsidR="00CE17A6" w:rsidRDefault="00CE17A6" w:rsidP="00CE17A6">
      <w:pPr>
        <w:pStyle w:val="Textodecomentrio"/>
      </w:pPr>
      <w:r>
        <w:rPr>
          <w:b/>
          <w:bCs/>
          <w:i/>
          <w:iCs/>
          <w:color w:val="000000"/>
        </w:rPr>
        <w:t xml:space="preserve">Nota Explicativa 4: </w:t>
      </w:r>
      <w:r>
        <w:rPr>
          <w:i/>
          <w:iCs/>
          <w:color w:val="000000"/>
        </w:rPr>
        <w:t xml:space="preserve">O </w:t>
      </w:r>
      <w:hyperlink r:id="rId28" w:anchor="art6" w:history="1">
        <w:r w:rsidRPr="004C60E9">
          <w:rPr>
            <w:rStyle w:val="Hyperlink"/>
            <w:i/>
            <w:iCs/>
          </w:rPr>
          <w:t>art. 6º, XXIII, “c”, da Lei nº 14.133, de 2021</w:t>
        </w:r>
      </w:hyperlink>
      <w:r>
        <w:rPr>
          <w:i/>
          <w:iCs/>
          <w:color w:val="000000"/>
        </w:rPr>
        <w:t xml:space="preserve">, e o </w:t>
      </w:r>
      <w:hyperlink r:id="rId29" w:history="1">
        <w:r w:rsidRPr="004C60E9">
          <w:rPr>
            <w:rStyle w:val="Hyperlink"/>
            <w:i/>
            <w:iCs/>
          </w:rPr>
          <w:t>art. 9º, IIII, da Instrução Normativa Seges/ME nº 81, de 2022</w:t>
        </w:r>
      </w:hyperlink>
      <w:r>
        <w:rPr>
          <w:i/>
          <w:iCs/>
          <w:color w:val="000000"/>
        </w:rPr>
        <w:t>, dispõem que a descrição da solução como um todo deve considerar todo o ciclo de vida do objeto. “Ciclo de Vida” é definido no art. 3º da Lei nº 12.305, de 02 de agosto de 2010, como sendo “série de etapas que envolvem o desenvolvimento do produto, a obtenção de matérias-primas e insumos, o processo produtivo, o consumo e a disposição final”. Desse modo, a descrição da solução deve considerar não só suas características intrínsecas ao uso em si, mas também eventual sustentabilidade de sua produção, duração de seu consumo (se é menos ou mais durável) até a destinação final. Reitere-se: se a descrição contida no ETP não contiver esse ponto, deve ser complementada neste TR. A preocupação com o ciclo de vida é mais comum para bens, porém, não se afasta, em princípio, analisar eventual cabimento desse aspecto no planejamento do serviço que envolver o emprego de bens, como ocorre em manutenção de veículos ou elevadores, por exemplo.</w:t>
      </w:r>
    </w:p>
    <w:p w14:paraId="64AF8EF8" w14:textId="77777777" w:rsidR="00CE17A6" w:rsidRDefault="00CE17A6" w:rsidP="00CE17A6">
      <w:pPr>
        <w:pStyle w:val="Textodecomentrio"/>
      </w:pPr>
    </w:p>
    <w:p w14:paraId="3E0CB8A7" w14:textId="77777777" w:rsidR="00CE17A6" w:rsidRDefault="00CE17A6" w:rsidP="00CE17A6">
      <w:pPr>
        <w:pStyle w:val="Textodecomentrio"/>
      </w:pPr>
      <w:r>
        <w:rPr>
          <w:b/>
          <w:bCs/>
          <w:i/>
          <w:iCs/>
          <w:color w:val="000000"/>
        </w:rPr>
        <w:t>Nota Explicativa 5:</w:t>
      </w:r>
      <w:r>
        <w:rPr>
          <w:i/>
          <w:iCs/>
          <w:color w:val="000000"/>
        </w:rPr>
        <w:t xml:space="preserve"> O </w:t>
      </w:r>
      <w:hyperlink r:id="rId30" w:anchor="art47" w:history="1">
        <w:r w:rsidRPr="004C60E9">
          <w:rPr>
            <w:rStyle w:val="Hyperlink"/>
            <w:i/>
            <w:iCs/>
          </w:rPr>
          <w:t>art. 47, I, da Lei nº 14.133, de 2021,</w:t>
        </w:r>
      </w:hyperlink>
      <w:r>
        <w:rPr>
          <w:i/>
          <w:iCs/>
          <w:color w:val="000000"/>
        </w:rPr>
        <w:t xml:space="preserve"> e o </w:t>
      </w:r>
      <w:hyperlink r:id="rId31" w:history="1">
        <w:r w:rsidRPr="004C60E9">
          <w:rPr>
            <w:rStyle w:val="Hyperlink"/>
            <w:i/>
            <w:iCs/>
          </w:rPr>
          <w:t>art. 9º, inciso I, alínea b, da Instrução Normativa Seges/ME nº 81, de 2022</w:t>
        </w:r>
      </w:hyperlink>
      <w:r>
        <w:rPr>
          <w:i/>
          <w:iCs/>
          <w:color w:val="000000"/>
        </w:rPr>
        <w:t xml:space="preserve">, estabelecem que deve ser feita a especificação do produto/bem/serviço, preferencialmente conforme catálogo eletrônico de padronização, observados os requisitos de qualidade, rendimento, durabilidade e segurança considerada a compatibilidade de especificações estéticas, técnicas ou de desempenho. A </w:t>
      </w:r>
      <w:hyperlink r:id="rId32" w:history="1">
        <w:r w:rsidRPr="004C60E9">
          <w:rPr>
            <w:rStyle w:val="Hyperlink"/>
            <w:i/>
            <w:iCs/>
          </w:rPr>
          <w:t>Portaria SEGES/ME nº 938, de 02 de fevereiro de 2022</w:t>
        </w:r>
      </w:hyperlink>
      <w:r>
        <w:rPr>
          <w:i/>
          <w:iCs/>
          <w:color w:val="000000"/>
        </w:rPr>
        <w:t xml:space="preserve">, instituiu o catálogo eletrônico de padronização, o qual deverá ser consultado para verificar se a contratação almejada está contemplada em seus termos, em caso de licitação cujo critério de julgamento seja o de menor preço ou o de maior desconto, bem como nas contratações diretas de que tratam os </w:t>
      </w:r>
      <w:hyperlink r:id="rId33" w:anchor="art74" w:history="1">
        <w:r w:rsidRPr="004C60E9">
          <w:rPr>
            <w:rStyle w:val="Hyperlink"/>
            <w:i/>
            <w:iCs/>
          </w:rPr>
          <w:t>incisos I do art. 74 e os incisos I e II do art. 75 da Lei nº 14.133, de 2021</w:t>
        </w:r>
      </w:hyperlink>
      <w:r>
        <w:rPr>
          <w:i/>
          <w:iCs/>
          <w:color w:val="000000"/>
        </w:rPr>
        <w:t>. Em existindo padronização aprovada, ela deve ser considerada e eventual não-uso justificado nos autos.</w:t>
      </w:r>
    </w:p>
    <w:p w14:paraId="0914C27A" w14:textId="77777777" w:rsidR="00CE17A6" w:rsidRDefault="00CE17A6" w:rsidP="00CE17A6">
      <w:pPr>
        <w:pStyle w:val="Textodecomentrio"/>
      </w:pPr>
    </w:p>
    <w:p w14:paraId="7C7573B2" w14:textId="77777777" w:rsidR="00CE17A6" w:rsidRDefault="00CE17A6" w:rsidP="00CE17A6">
      <w:pPr>
        <w:pStyle w:val="Textodecomentrio"/>
      </w:pPr>
      <w:r>
        <w:rPr>
          <w:b/>
          <w:bCs/>
          <w:i/>
          <w:iCs/>
          <w:color w:val="000000"/>
        </w:rPr>
        <w:t>Nota Explicativa 6:</w:t>
      </w:r>
      <w:r>
        <w:rPr>
          <w:i/>
          <w:iCs/>
          <w:color w:val="000000"/>
        </w:rPr>
        <w:t xml:space="preserve"> O </w:t>
      </w:r>
      <w:hyperlink r:id="rId34" w:anchor="art6" w:history="1">
        <w:r w:rsidRPr="004C60E9">
          <w:rPr>
            <w:rStyle w:val="Hyperlink"/>
            <w:i/>
            <w:iCs/>
          </w:rPr>
          <w:t>art. 6º, XXIII, “c”, da Lei nº 14.133, de 2021</w:t>
        </w:r>
      </w:hyperlink>
      <w:r>
        <w:rPr>
          <w:i/>
          <w:iCs/>
          <w:color w:val="000000"/>
        </w:rPr>
        <w:t xml:space="preserve">, e o </w:t>
      </w:r>
      <w:hyperlink r:id="rId35" w:anchor="art9" w:history="1">
        <w:r w:rsidRPr="004C60E9">
          <w:rPr>
            <w:rStyle w:val="Hyperlink"/>
            <w:i/>
            <w:iCs/>
          </w:rPr>
          <w:t>art. 9º, IIII, da Instrução Normativa Seges/ME nº 81, de 2022</w:t>
        </w:r>
      </w:hyperlink>
      <w:r>
        <w:rPr>
          <w:i/>
          <w:iCs/>
          <w:color w:val="000000"/>
        </w:rPr>
        <w:t>, dispõem que a descrição da solução como um todo deve considerar todo o ciclo de vida do objeto. “Ciclo de Vida” é definido no art. 3º da Lei nº 12.305, de 2010 como sendo “série de etapas que envolvem o desenvolvimento do produto, a obtenção de matérias-primas e insumos, o processo produtivo, o consumo e a disposição final”. Desse modo, a descrição da solução deve considerar não só suas características intrínsecas ao uso em si, mas também eventual sustentabilidade de sua produção, duração de seu consumo (se é menos ou mais durável) até a destinação final. Reitere-se: se a descrição contida no ETP não contiver esse ponto, deve ser complementada neste documento. A preocupação com o ciclo de vida é mais comum para bens, porém, não se afasta, em princípio, analisar eventual cabimento desse aspecto no planejamento do serviço, principalmente em serviços que envolvam fornecimento de bens e materiais.</w:t>
      </w:r>
    </w:p>
    <w:p w14:paraId="40E46867" w14:textId="77777777" w:rsidR="00CE17A6" w:rsidRDefault="00CE17A6" w:rsidP="00CE17A6">
      <w:pPr>
        <w:pStyle w:val="Textodecomentrio"/>
      </w:pPr>
    </w:p>
    <w:p w14:paraId="15861143" w14:textId="77777777" w:rsidR="00CE17A6" w:rsidRDefault="00CE17A6" w:rsidP="00CE17A6">
      <w:pPr>
        <w:pStyle w:val="Textodecomentrio"/>
      </w:pPr>
      <w:r>
        <w:rPr>
          <w:b/>
          <w:bCs/>
          <w:i/>
          <w:iCs/>
          <w:color w:val="000000"/>
        </w:rPr>
        <w:t>Nota Explicativa 7:</w:t>
      </w:r>
      <w:r>
        <w:rPr>
          <w:i/>
          <w:iCs/>
          <w:color w:val="000000"/>
        </w:rPr>
        <w:t xml:space="preserve"> Em havendo elementos de sustentabilidade inerentes ao objeto contratual, estes devem constar na solução como um todo de modo específico e concreto, evitando-se descrições genéricas, de difícil aferição e controle. Recomenda-se destacar em tópicos específicos da descrição do objeto seus elementos atinentes a aspectos de sustentabilidade. Sugere-se consultar o </w:t>
      </w:r>
      <w:hyperlink r:id="rId36" w:history="1">
        <w:r w:rsidRPr="004C60E9">
          <w:rPr>
            <w:rStyle w:val="Hyperlink"/>
            <w:i/>
            <w:iCs/>
          </w:rPr>
          <w:t>Guia Nacional de Contratações Sustentáveis da AGU</w:t>
        </w:r>
      </w:hyperlink>
      <w:r>
        <w:rPr>
          <w:i/>
          <w:iCs/>
          <w:color w:val="000000"/>
        </w:rPr>
        <w:t xml:space="preserve"> para tal fim. Caso o Estudo Técnico Preliminar seja silente ou insuficiente a esse respeito, recomenda-se abrir tópico específico nesta seção sobre a matéria.</w:t>
      </w:r>
    </w:p>
    <w:p w14:paraId="7CF45C2A" w14:textId="77777777" w:rsidR="00CE17A6" w:rsidRDefault="00CE17A6" w:rsidP="00CE17A6">
      <w:pPr>
        <w:pStyle w:val="Textodecomentrio"/>
      </w:pPr>
      <w:r>
        <w:rPr>
          <w:i/>
          <w:iCs/>
          <w:color w:val="000000"/>
        </w:rPr>
        <w:t>Vale registrar que a sustentabilidade pode incidir a partir de características do próprio objeto a ser contratado como também de outros modos, compilados no tópico “requisitos da contratação” deste TR.</w:t>
      </w:r>
    </w:p>
  </w:comment>
  <w:comment w:id="15" w:author="Autor" w:initials="A">
    <w:p w14:paraId="0E17E41C" w14:textId="6113D3B1" w:rsidR="003A4E15" w:rsidRDefault="008217C2" w:rsidP="003A4E15">
      <w:pPr>
        <w:pStyle w:val="Textodecomentrio"/>
      </w:pPr>
      <w:r>
        <w:rPr>
          <w:rStyle w:val="Refdecomentrio"/>
        </w:rPr>
        <w:annotationRef/>
      </w:r>
      <w:r w:rsidR="003A4E15">
        <w:rPr>
          <w:b/>
          <w:bCs/>
          <w:i/>
          <w:iCs/>
          <w:color w:val="000000"/>
        </w:rPr>
        <w:t xml:space="preserve">Nota Explicativa 1: </w:t>
      </w:r>
      <w:r w:rsidR="003A4E15">
        <w:rPr>
          <w:i/>
          <w:iCs/>
          <w:color w:val="000000"/>
        </w:rPr>
        <w:t xml:space="preserve">Os requisitos da contratação deverão ser registrados nos Sistemas TR DIGITAL e ETP DIGITAL, nos </w:t>
      </w:r>
      <w:r w:rsidR="003A4E15">
        <w:rPr>
          <w:i/>
          <w:iCs/>
        </w:rPr>
        <w:t xml:space="preserve">termos do </w:t>
      </w:r>
      <w:hyperlink r:id="rId37" w:history="1">
        <w:r w:rsidR="003A4E15" w:rsidRPr="002102A8">
          <w:rPr>
            <w:rStyle w:val="Hyperlink"/>
            <w:i/>
            <w:iCs/>
          </w:rPr>
          <w:t>art. 9º, inciso IV da IN Seges/ME nº 81, de 2022</w:t>
        </w:r>
      </w:hyperlink>
      <w:r w:rsidR="003A4E15">
        <w:rPr>
          <w:i/>
          <w:iCs/>
        </w:rPr>
        <w:t xml:space="preserve"> </w:t>
      </w:r>
      <w:r w:rsidR="003A4E15">
        <w:rPr>
          <w:i/>
          <w:iCs/>
          <w:color w:val="000000"/>
        </w:rPr>
        <w:t xml:space="preserve">e </w:t>
      </w:r>
      <w:hyperlink r:id="rId38" w:history="1">
        <w:r w:rsidR="003A4E15" w:rsidRPr="002102A8">
          <w:rPr>
            <w:rStyle w:val="Hyperlink"/>
            <w:i/>
            <w:iCs/>
          </w:rPr>
          <w:t>art. 9º, II, da Instrução Normativa Seges/ME nº 58, de 2022.</w:t>
        </w:r>
      </w:hyperlink>
    </w:p>
    <w:p w14:paraId="4596B514" w14:textId="77777777" w:rsidR="003A4E15" w:rsidRDefault="003A4E15" w:rsidP="003A4E15">
      <w:pPr>
        <w:pStyle w:val="Textodecomentrio"/>
      </w:pPr>
    </w:p>
    <w:p w14:paraId="407EB1D8" w14:textId="77777777" w:rsidR="003A4E15" w:rsidRDefault="003A4E15" w:rsidP="003A4E15">
      <w:pPr>
        <w:pStyle w:val="Textodecomentrio"/>
      </w:pPr>
      <w:r>
        <w:rPr>
          <w:b/>
          <w:bCs/>
          <w:i/>
          <w:iCs/>
          <w:color w:val="000000"/>
        </w:rPr>
        <w:t xml:space="preserve">Nota Explicativa 2: </w:t>
      </w:r>
      <w:r>
        <w:rPr>
          <w:i/>
          <w:iCs/>
          <w:color w:val="000000"/>
        </w:rPr>
        <w:t>Alguns requisitos de contratação tratados na lei foram abordados neste tópico do Termo de Referência. Isso não impede que outros requisitos de contratação, de caráter técnico, sejam inseridos pela área competente. Registre-se, apenas, que a documentação de habilitação técnica é objeto de tópico específico deste TR (CRITÉRIOS DE SELEÇÃO DO FORNECEDOR) de modo que sua inclusão aqui seria redundante.</w:t>
      </w:r>
    </w:p>
  </w:comment>
  <w:comment w:id="16" w:author="Autor" w:initials="A">
    <w:p w14:paraId="5B5373C6" w14:textId="77777777" w:rsidR="00BC2060" w:rsidRDefault="008217C2">
      <w:pPr>
        <w:pStyle w:val="Textodecomentrio"/>
      </w:pPr>
      <w:r>
        <w:rPr>
          <w:rStyle w:val="Refdecomentrio"/>
        </w:rPr>
        <w:annotationRef/>
      </w:r>
      <w:r w:rsidR="00BC2060">
        <w:rPr>
          <w:b/>
          <w:bCs/>
          <w:i/>
          <w:iCs/>
          <w:color w:val="000000"/>
        </w:rPr>
        <w:t xml:space="preserve">Nota Explicativa 1: </w:t>
      </w:r>
      <w:r w:rsidR="00BC2060">
        <w:rPr>
          <w:i/>
          <w:iCs/>
          <w:color w:val="000000"/>
        </w:rPr>
        <w:t xml:space="preserve">O Termo de Referência e os Estudos Técnicos Preliminares deverão estar alinhados com o Plano Diretor de </w:t>
      </w:r>
      <w:r w:rsidR="00BC2060">
        <w:rPr>
          <w:i/>
          <w:iCs/>
        </w:rPr>
        <w:t>Logística Sustentável, Plano de Contratações Anual, além de outros instrumentos de planejamento da Administração,</w:t>
      </w:r>
      <w:r w:rsidR="00BC2060">
        <w:rPr>
          <w:b/>
          <w:bCs/>
          <w:i/>
          <w:iCs/>
        </w:rPr>
        <w:t xml:space="preserve"> </w:t>
      </w:r>
      <w:r w:rsidR="00BC2060">
        <w:rPr>
          <w:i/>
          <w:iCs/>
        </w:rPr>
        <w:t xml:space="preserve">de acordo com o </w:t>
      </w:r>
      <w:hyperlink r:id="rId39" w:history="1">
        <w:r w:rsidR="00BC2060" w:rsidRPr="005E3FB3">
          <w:rPr>
            <w:rStyle w:val="Hyperlink"/>
            <w:i/>
            <w:iCs/>
          </w:rPr>
          <w:t>art. 7º da IN Seges/ME nº 81, de 2022</w:t>
        </w:r>
      </w:hyperlink>
      <w:r w:rsidR="00BC2060">
        <w:rPr>
          <w:i/>
          <w:iCs/>
        </w:rPr>
        <w:t xml:space="preserve">, e </w:t>
      </w:r>
      <w:hyperlink r:id="rId40" w:history="1">
        <w:r w:rsidR="00BC2060" w:rsidRPr="005E3FB3">
          <w:rPr>
            <w:rStyle w:val="Hyperlink"/>
            <w:i/>
            <w:iCs/>
          </w:rPr>
          <w:t>art. 7º da Instrução Normativa Seges/ME nº 58, de 2022</w:t>
        </w:r>
      </w:hyperlink>
      <w:r w:rsidR="00BC2060">
        <w:rPr>
          <w:i/>
          <w:iCs/>
        </w:rPr>
        <w:t xml:space="preserve">. </w:t>
      </w:r>
    </w:p>
    <w:p w14:paraId="2B8D4713" w14:textId="77777777" w:rsidR="00BC2060" w:rsidRDefault="00BC2060">
      <w:pPr>
        <w:pStyle w:val="Textodecomentrio"/>
      </w:pPr>
      <w:r>
        <w:rPr>
          <w:b/>
          <w:bCs/>
          <w:i/>
          <w:iCs/>
        </w:rPr>
        <w:t>Nota Explicativa 2:</w:t>
      </w:r>
      <w:r>
        <w:rPr>
          <w:i/>
          <w:iCs/>
        </w:rPr>
        <w:t xml:space="preserve"> Nos termos da </w:t>
      </w:r>
      <w:hyperlink r:id="rId41" w:history="1">
        <w:r w:rsidRPr="005E3FB3">
          <w:rPr>
            <w:rStyle w:val="Hyperlink"/>
            <w:i/>
            <w:iCs/>
          </w:rPr>
          <w:t>Portaria SEGES/ME nº 8.678, de 19 de julho de 2021</w:t>
        </w:r>
      </w:hyperlink>
      <w:r>
        <w:rPr>
          <w:i/>
          <w:iCs/>
          <w:color w:val="000000"/>
        </w:rPr>
        <w:t xml:space="preserve">, o  Plano Diretor de Logística Sustentável é </w:t>
      </w:r>
      <w:r>
        <w:rPr>
          <w:i/>
          <w:iCs/>
          <w:color w:val="555555"/>
        </w:rPr>
        <w:t> </w:t>
      </w:r>
      <w:r>
        <w:rPr>
          <w:i/>
          <w:iCs/>
          <w:color w:val="000000"/>
        </w:rPr>
        <w:t>instrumento de governança, vinculado ao planejamento estratégico do órgão ou entidade, ou instrumento equivalente, e às leis orçamentárias, que estabelece a estratégia das contratações e da logística no âmbito do órgão ou entidade, considerando objetivos e ações referentes a critérios e a práticas de sustentabilidade, nas dimensões econômica, social, ambiental e cultural.</w:t>
      </w:r>
    </w:p>
    <w:p w14:paraId="65EC7D11" w14:textId="77777777" w:rsidR="00BC2060" w:rsidRDefault="00BC2060">
      <w:pPr>
        <w:pStyle w:val="Textodecomentrio"/>
      </w:pPr>
      <w:r>
        <w:rPr>
          <w:i/>
          <w:iCs/>
          <w:color w:val="000000"/>
        </w:rPr>
        <w:t xml:space="preserve">Destaque-se ainda que, de acordo com o </w:t>
      </w:r>
      <w:hyperlink r:id="rId42" w:anchor="art8" w:history="1">
        <w:r w:rsidRPr="005E3FB3">
          <w:rPr>
            <w:rStyle w:val="Hyperlink"/>
            <w:i/>
            <w:iCs/>
          </w:rPr>
          <w:t>artigo 8º, §1º, III, da Portaria SEGES/ME nº 8.678, de 2021</w:t>
        </w:r>
      </w:hyperlink>
      <w:r>
        <w:rPr>
          <w:i/>
          <w:iCs/>
          <w:color w:val="000000"/>
        </w:rPr>
        <w:t xml:space="preserve">, o Plano Diretor de Logística Sustentável deverá nortear a elaboração dos anteprojetos, dos projetos básicos ou dos termos de referência de cada contratação. </w:t>
      </w:r>
    </w:p>
    <w:p w14:paraId="3C86D4DC" w14:textId="77777777" w:rsidR="00BC2060" w:rsidRDefault="00BC2060">
      <w:pPr>
        <w:pStyle w:val="Textodecomentrio"/>
      </w:pPr>
      <w:r>
        <w:rPr>
          <w:b/>
          <w:bCs/>
          <w:i/>
          <w:iCs/>
          <w:color w:val="000000"/>
        </w:rPr>
        <w:t xml:space="preserve">Nota Explicativa 3: </w:t>
      </w:r>
      <w:r>
        <w:rPr>
          <w:i/>
          <w:iCs/>
        </w:rPr>
        <w:t xml:space="preserve">Os preceitos do desenvolvimento sustentável devem ser observados na fase preparatória da contratação, em suas dimensões econômica, social, ambiental e cultural, no mínimo, com base nos planos de gestão de logística sustentável dos órgãos e das entidades, conforme prevê o parágrafo único do </w:t>
      </w:r>
      <w:hyperlink r:id="rId43" w:anchor="art11" w:history="1">
        <w:r w:rsidRPr="005E3FB3">
          <w:rPr>
            <w:rStyle w:val="Hyperlink"/>
            <w:i/>
            <w:iCs/>
          </w:rPr>
          <w:t>artigo 11 da Instrução Normativa SEGES/ME nº 73, de 2022</w:t>
        </w:r>
      </w:hyperlink>
      <w:r>
        <w:rPr>
          <w:i/>
          <w:iCs/>
        </w:rPr>
        <w:t>.</w:t>
      </w:r>
    </w:p>
    <w:p w14:paraId="1BA0D40A" w14:textId="77777777" w:rsidR="00BC2060" w:rsidRDefault="00BC2060">
      <w:pPr>
        <w:pStyle w:val="Textodecomentrio"/>
      </w:pPr>
      <w:r>
        <w:rPr>
          <w:b/>
          <w:bCs/>
          <w:i/>
          <w:iCs/>
          <w:color w:val="000000"/>
        </w:rPr>
        <w:t>Nota Explicativa 4:</w:t>
      </w:r>
      <w:r>
        <w:rPr>
          <w:i/>
          <w:iCs/>
          <w:color w:val="000000"/>
        </w:rPr>
        <w:t xml:space="preserve"> Os critérios e práticas de sustentabilidade deverão ser registrados no sistema de ETP Digital, conforme previsão do </w:t>
      </w:r>
      <w:hyperlink r:id="rId44" w:anchor="art9" w:history="1">
        <w:r w:rsidRPr="005E3FB3">
          <w:rPr>
            <w:rStyle w:val="Hyperlink"/>
            <w:i/>
            <w:iCs/>
          </w:rPr>
          <w:t>Art. 9º, II, da Instrução Normativa SEGES/ME nº 58, de 2022</w:t>
        </w:r>
      </w:hyperlink>
      <w:r>
        <w:rPr>
          <w:i/>
          <w:iCs/>
          <w:color w:val="000000"/>
        </w:rPr>
        <w:t xml:space="preserve">. </w:t>
      </w:r>
    </w:p>
    <w:p w14:paraId="03F34E7D" w14:textId="77777777" w:rsidR="00BC2060" w:rsidRDefault="00BC2060">
      <w:pPr>
        <w:pStyle w:val="Textodecomentrio"/>
      </w:pPr>
      <w:r>
        <w:rPr>
          <w:i/>
          <w:iCs/>
          <w:color w:val="000000"/>
        </w:rPr>
        <w:t xml:space="preserve">Soma-se a essa previsão, o </w:t>
      </w:r>
      <w:hyperlink r:id="rId45" w:history="1">
        <w:r w:rsidRPr="005E3FB3">
          <w:rPr>
            <w:rStyle w:val="Hyperlink"/>
            <w:i/>
            <w:iCs/>
          </w:rPr>
          <w:t xml:space="preserve">Parecer n. </w:t>
        </w:r>
      </w:hyperlink>
      <w:r>
        <w:rPr>
          <w:i/>
          <w:iCs/>
          <w:color w:val="000080"/>
          <w:u w:val="single"/>
        </w:rPr>
        <w:t>00001/2021/CNS/CGU/AGU, da Consultoria –Geral da União aprovado nos termos do DESPACHO n. 00525/2021/GAB/CGU/AGU (NUP: 00688.000723/2019-45)</w:t>
      </w:r>
      <w:r>
        <w:rPr>
          <w:i/>
          <w:iCs/>
          <w:color w:val="000000"/>
        </w:rPr>
        <w:t xml:space="preserve"> que consolidou o entendimento de que a “administração pública é obrigada a adotar critérios e práticas de sustentabilidade socioambiental e de acessibilidade nas contratações públicas, nas fases de planejamento, seleção de fornecedor, execução contratual, fiscalização e na gestão dos resíduos sólidos.” </w:t>
      </w:r>
    </w:p>
    <w:p w14:paraId="2816D67F" w14:textId="77777777" w:rsidR="00BC2060" w:rsidRDefault="00BC2060">
      <w:pPr>
        <w:pStyle w:val="Textodecomentrio"/>
      </w:pPr>
      <w:r>
        <w:rPr>
          <w:i/>
          <w:iCs/>
          <w:color w:val="000000"/>
        </w:rPr>
        <w:t xml:space="preserve">Dessa forma, a sustentabilidade deve ser considerada pelo gestor público: a) na fase de planejamento da contratação, b) na elaboração das minutas, com consulta ao Guia, c) na fase de execução contratual e d) na adequada destinação ambiental dos resíduos decorrentes dos serviços prestados, levando em conta as diretrizes estabelecidas pela </w:t>
      </w:r>
      <w:hyperlink r:id="rId46" w:history="1">
        <w:r w:rsidRPr="005E3FB3">
          <w:rPr>
            <w:rStyle w:val="Hyperlink"/>
            <w:i/>
            <w:iCs/>
          </w:rPr>
          <w:t>Lei 12.305/2010</w:t>
        </w:r>
      </w:hyperlink>
      <w:r>
        <w:rPr>
          <w:i/>
          <w:iCs/>
          <w:color w:val="000000"/>
        </w:rPr>
        <w:t xml:space="preserve"> - Política Nacional de Resíduos Sólidos. Ainda que não constante do termo de referência, destaque-se que as contratações mediante pregão eletrônico deverão estar alinhadas com o Plano de Gestão e Logística Sustentável do órgão.</w:t>
      </w:r>
    </w:p>
    <w:p w14:paraId="0F2F8BC0" w14:textId="77777777" w:rsidR="00BC2060" w:rsidRDefault="00BC2060">
      <w:pPr>
        <w:pStyle w:val="Textodecomentrio"/>
      </w:pPr>
      <w:r>
        <w:rPr>
          <w:b/>
          <w:bCs/>
          <w:i/>
          <w:iCs/>
          <w:color w:val="000000"/>
        </w:rPr>
        <w:t xml:space="preserve">Nota Explicativa 5: </w:t>
      </w:r>
      <w:r>
        <w:rPr>
          <w:i/>
          <w:iCs/>
          <w:color w:val="000000"/>
        </w:rPr>
        <w:t xml:space="preserve">A impossibilidade de adoção de critérios e práticas de sustentabilidade nas contratações públicas deverá ser justificada pelo gestor competente nos Estudos Técnicos Preliminares ou nos autos do processo administrativo, com a indicação das pertinentes razões de fato e/ou direito, conforme o </w:t>
      </w:r>
      <w:hyperlink r:id="rId47" w:history="1">
        <w:r w:rsidRPr="005E3FB3">
          <w:rPr>
            <w:rStyle w:val="Hyperlink"/>
            <w:i/>
            <w:iCs/>
          </w:rPr>
          <w:t>Parecer n. 00001/2021/CNS/CGU/AGU</w:t>
        </w:r>
      </w:hyperlink>
      <w:r>
        <w:rPr>
          <w:i/>
          <w:iCs/>
          <w:color w:val="000000"/>
        </w:rPr>
        <w:t xml:space="preserve"> e previsão do </w:t>
      </w:r>
      <w:hyperlink r:id="rId48" w:anchor="art9§1" w:history="1">
        <w:r w:rsidRPr="005E3FB3">
          <w:rPr>
            <w:rStyle w:val="Hyperlink"/>
            <w:i/>
            <w:iCs/>
          </w:rPr>
          <w:t>§1º do art. 9º da Instrução Normativa SEGES/ME nº 58, de 2022</w:t>
        </w:r>
      </w:hyperlink>
      <w:r>
        <w:rPr>
          <w:i/>
          <w:iCs/>
          <w:color w:val="000000"/>
        </w:rPr>
        <w:t xml:space="preserve">, que dispõe sobre a elaboração dos Estudos Técnicos Preliminares - ETP.   </w:t>
      </w:r>
    </w:p>
    <w:p w14:paraId="2E10EE69" w14:textId="77777777" w:rsidR="00BC2060" w:rsidRDefault="00BC2060">
      <w:pPr>
        <w:pStyle w:val="Textodecomentrio"/>
      </w:pPr>
      <w:r>
        <w:rPr>
          <w:i/>
          <w:iCs/>
          <w:color w:val="000000"/>
        </w:rPr>
        <w:t xml:space="preserve">Se houver justificativa nos autos para a não-adoção de critérios de sustentabilidade (e apenas nesse caso), deverá haver a supressão dos dispositivos específicos acima. </w:t>
      </w:r>
    </w:p>
    <w:p w14:paraId="5A970BAF" w14:textId="77777777" w:rsidR="00BC2060" w:rsidRDefault="00BC2060">
      <w:pPr>
        <w:pStyle w:val="Textodecomentrio"/>
      </w:pPr>
      <w:r>
        <w:rPr>
          <w:b/>
          <w:bCs/>
          <w:i/>
          <w:iCs/>
          <w:color w:val="000000"/>
        </w:rPr>
        <w:t xml:space="preserve">Nota Explicativa 6: </w:t>
      </w:r>
      <w:r>
        <w:rPr>
          <w:i/>
          <w:iCs/>
          <w:color w:val="000000"/>
        </w:rPr>
        <w:t xml:space="preserve">Aos agentes da administração pública federal encarregados de realizar contratações públicas, recomenda-se que, no exercício de suas atribuições funcionais, consultem o  Guia Nacional de Contratações Sustentáveis da Advocacia-Geral da União, disponibilizado pela Consultoria-Geral da União no sítio eletrônico da AGU. </w:t>
      </w:r>
    </w:p>
    <w:p w14:paraId="6FA814BC" w14:textId="77777777" w:rsidR="00BC2060" w:rsidRDefault="00BC2060">
      <w:pPr>
        <w:pStyle w:val="Textodecomentrio"/>
      </w:pPr>
      <w:r>
        <w:rPr>
          <w:b/>
          <w:bCs/>
          <w:i/>
          <w:iCs/>
          <w:color w:val="000000"/>
        </w:rPr>
        <w:t xml:space="preserve">Nota Explicativa 7: </w:t>
      </w:r>
      <w:r>
        <w:rPr>
          <w:i/>
          <w:iCs/>
          <w:color w:val="000000"/>
        </w:rPr>
        <w:t xml:space="preserve">De acordo com o </w:t>
      </w:r>
      <w:hyperlink r:id="rId49" w:history="1">
        <w:r w:rsidRPr="005E3FB3">
          <w:rPr>
            <w:rStyle w:val="Hyperlink"/>
            <w:i/>
            <w:iCs/>
          </w:rPr>
          <w:t>Guia Nacional de Contratações Sustentáveis da AGU</w:t>
        </w:r>
      </w:hyperlink>
      <w:r>
        <w:rPr>
          <w:i/>
          <w:iCs/>
          <w:color w:val="000000"/>
        </w:rPr>
        <w:t>, a inclusão de critérios de sustentabilidade deve ser feita de modo claro e objetivo. Deve-se evitar a transcrição literal e automática das previsões legais ou normativas, sem efetuar o exame da incidência real e efetiva delas na contratação em apreço.</w:t>
      </w:r>
    </w:p>
    <w:p w14:paraId="1E305A2C" w14:textId="77777777" w:rsidR="00BC2060" w:rsidRDefault="00BC2060">
      <w:pPr>
        <w:pStyle w:val="Textodecomentrio"/>
      </w:pPr>
      <w:r>
        <w:rPr>
          <w:i/>
          <w:iCs/>
          <w:color w:val="000000"/>
        </w:rPr>
        <w:t>Assim, uma vez exigido qualquer requisito ambiental na especificação do objeto e/ou edital, e/ou contrato, deve ser prevista a forma objetiva de comprovação. É preciso saber quais critérios de sustentabilidade devem ser incluídos nos artefatos da contratação, como fazer essas exigências e de que forma as pretendidas contratadas devem comprovar o cumprimento desses critérios de sustentabilidade exigidos pela Administração. (</w:t>
      </w:r>
      <w:hyperlink r:id="rId50" w:anchor="art9" w:history="1">
        <w:r w:rsidRPr="005E3FB3">
          <w:rPr>
            <w:rStyle w:val="Hyperlink"/>
            <w:i/>
            <w:iCs/>
          </w:rPr>
          <w:t>artigo 9, inciso XII, da Instrução Normativa SEGES/ME nº 58, de 2022</w:t>
        </w:r>
      </w:hyperlink>
      <w:r>
        <w:rPr>
          <w:i/>
          <w:iCs/>
          <w:color w:val="000000"/>
        </w:rPr>
        <w:t>, que dispõe sobre a elaboração dos Estudos Técnicos Preliminares - ETP)</w:t>
      </w:r>
    </w:p>
    <w:p w14:paraId="400016C9" w14:textId="77777777" w:rsidR="00BC2060" w:rsidRDefault="00BC2060">
      <w:pPr>
        <w:pStyle w:val="Textodecomentrio"/>
      </w:pPr>
      <w:r>
        <w:rPr>
          <w:b/>
          <w:bCs/>
          <w:i/>
          <w:iCs/>
          <w:color w:val="000000"/>
        </w:rPr>
        <w:t xml:space="preserve">Nota Explicativa 8: </w:t>
      </w:r>
      <w:r>
        <w:rPr>
          <w:i/>
          <w:iCs/>
          <w:color w:val="000000"/>
        </w:rPr>
        <w:t>Nas aquisições e contratações governamentais, deve ser dada prioridade para produtos reciclados e recicláveis e para bens, serviços e obras que considerem critérios compatíveis com padrões de consumo sustentáveis (</w:t>
      </w:r>
      <w:hyperlink r:id="rId51" w:anchor="art7" w:history="1">
        <w:r w:rsidRPr="005E3FB3">
          <w:rPr>
            <w:rStyle w:val="Hyperlink"/>
            <w:i/>
            <w:iCs/>
          </w:rPr>
          <w:t>artigo 7º, XI, da Lei nº 12.305, de 2010</w:t>
        </w:r>
      </w:hyperlink>
      <w:r>
        <w:rPr>
          <w:i/>
          <w:iCs/>
          <w:color w:val="000000"/>
        </w:rPr>
        <w:t xml:space="preserve"> – Política Nacional de Resíduos Sólidos). Deve-se observar, também, a regulamentação a ser editada a luz da nova legislação.</w:t>
      </w:r>
    </w:p>
    <w:p w14:paraId="59FB2C1F" w14:textId="77777777" w:rsidR="00BC2060" w:rsidRDefault="00BC2060" w:rsidP="008C3D59">
      <w:pPr>
        <w:pStyle w:val="Textodecomentrio"/>
      </w:pPr>
      <w:r>
        <w:rPr>
          <w:b/>
          <w:bCs/>
          <w:i/>
          <w:iCs/>
          <w:color w:val="000000"/>
        </w:rPr>
        <w:t xml:space="preserve">Nota Explicativa 9: </w:t>
      </w:r>
      <w:r>
        <w:rPr>
          <w:i/>
          <w:iCs/>
          <w:color w:val="000000"/>
        </w:rPr>
        <w:t xml:space="preserve">Recomenda-se, igualmente, consulta ao Catálogo de Materiais Sustentáveis (CATMAT Sustentável), bem como consulta prévia ao site governamental </w:t>
      </w:r>
      <w:hyperlink r:id="rId52" w:history="1">
        <w:r w:rsidRPr="005E3FB3">
          <w:rPr>
            <w:rStyle w:val="Hyperlink"/>
            <w:i/>
            <w:iCs/>
          </w:rPr>
          <w:t>https://doacoes.gov.br</w:t>
        </w:r>
      </w:hyperlink>
      <w:r>
        <w:rPr>
          <w:i/>
          <w:iCs/>
          <w:color w:val="000000"/>
        </w:rPr>
        <w:t>/, solução desenvolvida pelo Ministério da Gestão e da Inovação em Serviços Públicos, que oferta bens móveis e serviços para a administração pública, disponibilizados pelos próprios órgãos de governo ou oferecidos por particulares de forma não onerosa, otimizando a gestão do recurso público com consumo consciente e sustentável.</w:t>
      </w:r>
    </w:p>
  </w:comment>
  <w:comment w:id="17" w:author="Autor" w:initials="A">
    <w:p w14:paraId="43661366" w14:textId="77777777" w:rsidR="00EF3296" w:rsidRDefault="008217C2">
      <w:pPr>
        <w:pStyle w:val="Textodecomentrio"/>
      </w:pPr>
      <w:r>
        <w:rPr>
          <w:rStyle w:val="Refdecomentrio"/>
        </w:rPr>
        <w:annotationRef/>
      </w:r>
      <w:r w:rsidR="00EF3296">
        <w:rPr>
          <w:b/>
          <w:bCs/>
          <w:i/>
          <w:iCs/>
          <w:color w:val="000000"/>
        </w:rPr>
        <w:t>Nota Explicativa 1:</w:t>
      </w:r>
      <w:r w:rsidR="00EF3296">
        <w:rPr>
          <w:i/>
          <w:iCs/>
          <w:color w:val="000000"/>
        </w:rPr>
        <w:t xml:space="preserve"> Embora a contratação seja de serviços, é possível que a Administração indique marcas ou modelos de eventuais bens necessários à execução do objeto da contratação.</w:t>
      </w:r>
    </w:p>
    <w:p w14:paraId="3E02FF54" w14:textId="77777777" w:rsidR="00EF3296" w:rsidRDefault="00EF3296">
      <w:pPr>
        <w:pStyle w:val="Textodecomentrio"/>
      </w:pPr>
    </w:p>
    <w:p w14:paraId="140A1A1A" w14:textId="77777777" w:rsidR="00EF3296" w:rsidRDefault="00EF3296">
      <w:pPr>
        <w:pStyle w:val="Textodecomentrio"/>
      </w:pPr>
      <w:r>
        <w:rPr>
          <w:b/>
          <w:bCs/>
          <w:i/>
          <w:iCs/>
          <w:color w:val="000000"/>
        </w:rPr>
        <w:t xml:space="preserve">Nota Explicativa 2: </w:t>
      </w:r>
      <w:r>
        <w:rPr>
          <w:i/>
          <w:iCs/>
          <w:color w:val="000000"/>
        </w:rPr>
        <w:t>Marca - Excepcionalmente será permitida a indicação de uma ou mais marcas ou modelos, desde que justificada tecnicamente no processo, nas hipóteses descritas no art. 41, inciso I, alíneas a, b, c e d da Lei nº 14.133, de 2021.</w:t>
      </w:r>
    </w:p>
    <w:p w14:paraId="62981017" w14:textId="77777777" w:rsidR="00EF3296" w:rsidRDefault="00EF3296">
      <w:pPr>
        <w:pStyle w:val="Textodecomentrio"/>
      </w:pPr>
    </w:p>
    <w:p w14:paraId="7EAE287B" w14:textId="77777777" w:rsidR="00EF3296" w:rsidRDefault="00EF3296">
      <w:pPr>
        <w:pStyle w:val="Textodecomentrio"/>
      </w:pPr>
      <w:r>
        <w:rPr>
          <w:b/>
          <w:bCs/>
          <w:i/>
          <w:iCs/>
          <w:color w:val="000000"/>
        </w:rPr>
        <w:t xml:space="preserve">Nota Explicativa 3: </w:t>
      </w:r>
      <w:r>
        <w:rPr>
          <w:i/>
          <w:iCs/>
          <w:color w:val="000000"/>
          <w:highlight w:val="yellow"/>
          <w:u w:val="single"/>
        </w:rPr>
        <w:t>Similaridade</w:t>
      </w:r>
      <w:r>
        <w:rPr>
          <w:i/>
          <w:iCs/>
          <w:color w:val="000000"/>
          <w:highlight w:val="yellow"/>
        </w:rPr>
        <w:t xml:space="preserve"> </w:t>
      </w:r>
      <w:r>
        <w:rPr>
          <w:b/>
          <w:bCs/>
          <w:i/>
          <w:iCs/>
          <w:color w:val="000000"/>
          <w:highlight w:val="yellow"/>
        </w:rPr>
        <w:t>-</w:t>
      </w:r>
      <w:r>
        <w:rPr>
          <w:i/>
          <w:iCs/>
          <w:color w:val="000000"/>
          <w:highlight w:val="yellow"/>
        </w:rPr>
        <w:t xml:space="preserve"> Quando necessária a indicação, no edital ou aviso de contratação direta, de marca como referência de qualidade ou facilitação da descrição do objeto, ela deverá ser seguida das expressões “ou equivalente”, “ou similar” e “ou de melhor qualidade”, hipótese em que a Administração poderá exigir que o interessado comprove desempenho, qualidade e produtividade compatíveis com o produto similar ou equivalente à marca de referência mencionada, por meio dos procedimentos de prova de qualidade estabelecidos no art. 42 da Lei n.º 14.133, de 2021. </w:t>
      </w:r>
    </w:p>
    <w:p w14:paraId="6A91318A" w14:textId="77777777" w:rsidR="00EF3296" w:rsidRDefault="00EF3296" w:rsidP="008C3D59">
      <w:pPr>
        <w:pStyle w:val="Textodecomentrio"/>
      </w:pPr>
      <w:r>
        <w:rPr>
          <w:i/>
          <w:iCs/>
          <w:color w:val="000000"/>
        </w:rPr>
        <w:t xml:space="preserve">Deve a Administração, ainda, observar o princípio da padronização considerada a compatibilidade de especificações estéticas, técnicas ou de desempenho, nos termos do </w:t>
      </w:r>
      <w:hyperlink r:id="rId53" w:anchor="art43" w:history="1">
        <w:r w:rsidRPr="00F84B49">
          <w:rPr>
            <w:rStyle w:val="Hyperlink"/>
            <w:i/>
            <w:iCs/>
          </w:rPr>
          <w:t>art. 43 da Lei nº 14.133, de 2021</w:t>
        </w:r>
      </w:hyperlink>
      <w:r>
        <w:rPr>
          <w:i/>
          <w:iCs/>
          <w:color w:val="000000"/>
        </w:rPr>
        <w:t xml:space="preserve">, e do </w:t>
      </w:r>
      <w:hyperlink r:id="rId54" w:history="1">
        <w:r w:rsidRPr="00F84B49">
          <w:rPr>
            <w:rStyle w:val="Hyperlink"/>
            <w:i/>
            <w:iCs/>
          </w:rPr>
          <w:t>art. 9º, inciso I, alínea b, da IN Seges/ME nº 81, de 2022</w:t>
        </w:r>
      </w:hyperlink>
      <w:r>
        <w:rPr>
          <w:i/>
          <w:iCs/>
        </w:rPr>
        <w:t>. T</w:t>
      </w:r>
      <w:r>
        <w:rPr>
          <w:i/>
          <w:iCs/>
          <w:color w:val="000000"/>
        </w:rPr>
        <w:t>ambém deverá ser observada a Portaria SEGES/ME n. 938, de 2022, que institui o catálogo eletrônico de padronização de compras, serviços e obras, no âmbito da Administração Pública federal direta, autárquica e fundacional.</w:t>
      </w:r>
    </w:p>
  </w:comment>
  <w:comment w:id="18" w:author="Autor" w:initials="A">
    <w:p w14:paraId="28438ADB" w14:textId="7FC37059" w:rsidR="002B6280" w:rsidRDefault="008217C2" w:rsidP="002B6280">
      <w:pPr>
        <w:pStyle w:val="Textodecomentrio"/>
      </w:pPr>
      <w:r>
        <w:rPr>
          <w:rStyle w:val="Refdecomentrio"/>
        </w:rPr>
        <w:annotationRef/>
      </w:r>
      <w:r w:rsidR="002B6280">
        <w:rPr>
          <w:b/>
          <w:bCs/>
          <w:i/>
          <w:iCs/>
          <w:color w:val="000000"/>
        </w:rPr>
        <w:t>Nota Explicativa 1:</w:t>
      </w:r>
      <w:r w:rsidR="002B6280">
        <w:rPr>
          <w:i/>
          <w:iCs/>
          <w:color w:val="000000"/>
        </w:rPr>
        <w:t xml:space="preserve"> Embora a contratação seja de serviços, é possível que a Administração vede o emprego de marca ou produto de bens empregados em sua execução, com base em experiência prévia, registrada em processo administrativo, conforme art. 41, III, da Lei nº 14.133, de 2021.</w:t>
      </w:r>
    </w:p>
    <w:p w14:paraId="4232AF20" w14:textId="77777777" w:rsidR="002B6280" w:rsidRDefault="002B6280" w:rsidP="002B6280">
      <w:pPr>
        <w:pStyle w:val="Textodecomentrio"/>
      </w:pPr>
    </w:p>
    <w:p w14:paraId="1BBB19A5" w14:textId="77777777" w:rsidR="002B6280" w:rsidRDefault="002B6280" w:rsidP="002B6280">
      <w:pPr>
        <w:pStyle w:val="Textodecomentrio"/>
      </w:pPr>
      <w:r>
        <w:rPr>
          <w:b/>
          <w:bCs/>
          <w:i/>
          <w:iCs/>
          <w:color w:val="000000"/>
        </w:rPr>
        <w:t>Nota Explicativa 2:</w:t>
      </w:r>
      <w:r>
        <w:rPr>
          <w:i/>
          <w:iCs/>
          <w:color w:val="000000"/>
        </w:rPr>
        <w:t xml:space="preserve"> O artigo 41, inciso III, da Lei nº 14.133, de 2021, prevê a possibilidade de a Administração vedar a contratação de marca ou produto, quando, mediante processo administrativo, restar comprovado que produtos adquiridos e utilizados anteriormente não atendem a requisitos indispensáveis ao pleno adimplemento da obrigação contratual. A Administração</w:t>
      </w:r>
      <w:r>
        <w:rPr>
          <w:i/>
          <w:iCs/>
        </w:rPr>
        <w:t xml:space="preserve"> </w:t>
      </w:r>
      <w:r>
        <w:rPr>
          <w:i/>
          <w:iCs/>
          <w:color w:val="000000"/>
        </w:rPr>
        <w:t xml:space="preserve">na condição de contratante, </w:t>
      </w:r>
      <w:r>
        <w:rPr>
          <w:i/>
          <w:iCs/>
          <w:u w:val="single"/>
        </w:rPr>
        <w:t xml:space="preserve">espelhando o que foi definido no </w:t>
      </w:r>
      <w:hyperlink r:id="rId55" w:history="1">
        <w:r w:rsidRPr="00287E0A">
          <w:rPr>
            <w:rStyle w:val="Hyperlink"/>
            <w:i/>
            <w:iCs/>
          </w:rPr>
          <w:t>artigo 10, inciso III, da Instrução Normativa SEGES/ME nº 58, de 2022</w:t>
        </w:r>
      </w:hyperlink>
      <w:r>
        <w:rPr>
          <w:i/>
          <w:iCs/>
          <w:u w:val="single"/>
        </w:rPr>
        <w:t xml:space="preserve">, que trata do ETP, </w:t>
      </w:r>
      <w:r>
        <w:rPr>
          <w:i/>
          <w:iCs/>
          <w:color w:val="000000"/>
        </w:rPr>
        <w:t xml:space="preserve">deve aproveitar sua experiência para aperfeiçoar seu processo de contratação, por meio da adoção de providências que evitem a repetição de compras malsucedidas. Para tanto, deve considerar também o relatório final de que trata a </w:t>
      </w:r>
      <w:hyperlink r:id="rId56" w:anchor="art174" w:history="1">
        <w:r w:rsidRPr="00287E0A">
          <w:rPr>
            <w:rStyle w:val="Hyperlink"/>
            <w:i/>
            <w:iCs/>
          </w:rPr>
          <w:t>alínea “d” do inciso VI do § 3º do art. 174 da Lei nº 14.133, de 2021</w:t>
        </w:r>
      </w:hyperlink>
      <w:r>
        <w:rPr>
          <w:i/>
          <w:iCs/>
          <w:color w:val="000000"/>
        </w:rPr>
        <w:t>. Além do preço, elementos como qualidade do produto e da assistência técnica assim como durabilidade do bem e custos com manutenção são essenciais para que se conclua que um objeto atende ou não a necessidade administrativa. Diferentemente do mercado privado, em que basta a vontade do particular de não efetuar nova contratação, no âmbito das contratações públicas é necessária a existência de justo motivo, que a lei vincula à existência de processo administrativo prévio, cujo resultado tenha culminado com a conclusão de que determinado produto ou marca não atendem aos requisitos mínimos para que sejam adquiridas pela Administração. O caput do artigo 41 deixa claro que essa deve ser uma medida excepcional, que terá cabimento quando houver necessidade. Somente será possível vedar a aquisição de produto ou marca se houver processo administrativo prévio no qual as razões administrativas tenham sido expostas, com possibilidade de participação do particular envolvido, a fim de que a exclusão de marca ou produto não constitua um ato arbitrário. As razões para a vedação devem ser apresentadas no Estudo Técnico Preliminar, inclusive com citação de trechos do processo administrativo em que se consolidou a vedação, se for o caso.</w:t>
      </w:r>
    </w:p>
  </w:comment>
  <w:comment w:id="19" w:author="Autor" w:initials="A">
    <w:p w14:paraId="35B13295" w14:textId="07570423" w:rsidR="008217C2" w:rsidRDefault="008217C2">
      <w:r w:rsidRPr="13810967">
        <w:rPr>
          <w:b/>
          <w:bCs/>
          <w:i/>
          <w:iCs/>
        </w:rPr>
        <w:t>Nota Explicativa:</w:t>
      </w:r>
      <w:r w:rsidRPr="13810967">
        <w:rPr>
          <w:i/>
          <w:iCs/>
        </w:rPr>
        <w:t xml:space="preserve"> Embora se trate de prestação de serviço, é possível que o conjunto de obrigações da contratação envolva fornecimento de algum bem ou execução específica de serviço autorizado, situação na qual a exigência de carta de solidariedade pode se revelar possível.</w:t>
      </w:r>
      <w:r>
        <w:annotationRef/>
      </w:r>
    </w:p>
    <w:p w14:paraId="013B4508" w14:textId="3EC7CACD" w:rsidR="008217C2" w:rsidRDefault="008217C2" w:rsidP="00CE17A6">
      <w:r w:rsidRPr="13810967">
        <w:rPr>
          <w:i/>
          <w:iCs/>
        </w:rPr>
        <w:t>Em razão de seu potencial de restringir a competitividade do certame, a exigência de carta de solidariedade somente se justificará em situações excepcionais e devidamente motivadas.</w:t>
      </w:r>
    </w:p>
  </w:comment>
  <w:comment w:id="20" w:author="Autor" w:initials="A">
    <w:p w14:paraId="07B8C3DE" w14:textId="77777777" w:rsidR="00CE17A6" w:rsidRDefault="00D62468" w:rsidP="00CE17A6">
      <w:pPr>
        <w:pStyle w:val="Textodecomentrio"/>
      </w:pPr>
      <w:r>
        <w:rPr>
          <w:rStyle w:val="Refdecomentrio"/>
        </w:rPr>
        <w:annotationRef/>
      </w:r>
      <w:r w:rsidR="00CE17A6">
        <w:rPr>
          <w:b/>
          <w:bCs/>
          <w:i/>
          <w:iCs/>
          <w:color w:val="000000"/>
        </w:rPr>
        <w:t>Nota Explicativa 1:</w:t>
      </w:r>
      <w:r w:rsidR="00CE17A6">
        <w:rPr>
          <w:i/>
          <w:iCs/>
          <w:color w:val="000000"/>
        </w:rPr>
        <w:t xml:space="preserve"> A subcontratação deve ser avaliada à luz do </w:t>
      </w:r>
      <w:hyperlink r:id="rId57" w:anchor="art122" w:history="1">
        <w:r w:rsidR="00CE17A6" w:rsidRPr="00393042">
          <w:rPr>
            <w:rStyle w:val="Hyperlink"/>
            <w:i/>
            <w:iCs/>
          </w:rPr>
          <w:t>artigo 122 da Lei nº 14.133, de 2021</w:t>
        </w:r>
      </w:hyperlink>
      <w:r w:rsidR="00CE17A6">
        <w:rPr>
          <w:i/>
          <w:iCs/>
        </w:rPr>
        <w:t>.</w:t>
      </w:r>
    </w:p>
    <w:p w14:paraId="563EC04A" w14:textId="77777777" w:rsidR="00CE17A6" w:rsidRDefault="00CE17A6" w:rsidP="00CE17A6">
      <w:pPr>
        <w:pStyle w:val="Textodecomentrio"/>
      </w:pPr>
      <w:r>
        <w:rPr>
          <w:i/>
          <w:iCs/>
          <w:color w:val="000000"/>
        </w:rPr>
        <w:t>“Art. 122. Na execução do contrato e sem prejuízo das responsabilidades contratuais e legais, o contratado poderá subcontratar partes da obra, do serviço ou do fornecimento até o limite autorizado, em cada caso, pela Administração.</w:t>
      </w:r>
    </w:p>
    <w:p w14:paraId="4063A9E7" w14:textId="77777777" w:rsidR="00CE17A6" w:rsidRDefault="00CE17A6" w:rsidP="00CE17A6">
      <w:pPr>
        <w:pStyle w:val="Textodecomentrio"/>
      </w:pPr>
      <w:r>
        <w:rPr>
          <w:i/>
          <w:iCs/>
          <w:color w:val="000000"/>
        </w:rPr>
        <w:t>§ 1º O contratado apresentará à Administração documentação que comprove a capacidade técnica do subcontratado, que será avaliada e juntada aos autos do processo correspondente.</w:t>
      </w:r>
    </w:p>
    <w:p w14:paraId="4A79E6A6" w14:textId="77777777" w:rsidR="00CE17A6" w:rsidRDefault="00CE17A6" w:rsidP="00CE17A6">
      <w:pPr>
        <w:pStyle w:val="Textodecomentrio"/>
      </w:pPr>
      <w:r>
        <w:rPr>
          <w:i/>
          <w:iCs/>
          <w:color w:val="000000"/>
        </w:rPr>
        <w:t>§ 2º Regulamento ou edital de licitação poderão vedar, restringir ou estabelecer condições para a subcontratação.</w:t>
      </w:r>
    </w:p>
    <w:p w14:paraId="41923F14" w14:textId="77777777" w:rsidR="00CE17A6" w:rsidRDefault="00CE17A6" w:rsidP="00CE17A6">
      <w:pPr>
        <w:pStyle w:val="Textodecomentrio"/>
      </w:pPr>
      <w:r>
        <w:rPr>
          <w:i/>
          <w:iCs/>
          <w:color w:val="000000"/>
        </w:rPr>
        <w:t>§ 3º Será vedada a subcontratação de pessoa física ou jurídica, se aquela ou os dirigentes desta mantiverem vínculo de natureza técnica, comercial, econômica, financeira, trabalhista ou civil com dirigente do órgão ou entidade contratante ou com agente público que desempenhe função na licitação ou atue na fiscalização ou na gestão do contrato, ou se deles forem cônjuge, companheiro ou parente em linha reta, colateral, ou por afinidade, até o terceiro grau, devendo essa proibição constar expressamente do edital de licitação.”</w:t>
      </w:r>
    </w:p>
    <w:p w14:paraId="228AB4C4" w14:textId="77777777" w:rsidR="00CE17A6" w:rsidRDefault="00CE17A6" w:rsidP="00CE17A6">
      <w:pPr>
        <w:pStyle w:val="Textodecomentrio"/>
      </w:pPr>
    </w:p>
    <w:p w14:paraId="3E457628" w14:textId="77777777" w:rsidR="00CE17A6" w:rsidRDefault="00CE17A6" w:rsidP="00CE17A6">
      <w:pPr>
        <w:pStyle w:val="Textodecomentrio"/>
      </w:pPr>
      <w:r>
        <w:rPr>
          <w:b/>
          <w:bCs/>
          <w:i/>
          <w:iCs/>
        </w:rPr>
        <w:t>Nota Explicativa 2</w:t>
      </w:r>
      <w:r>
        <w:rPr>
          <w:i/>
          <w:iCs/>
        </w:rPr>
        <w:t>: É vedada a subcontratação completa ou da parcela principal da obrigação. Ademais, é vedada qualquer subcontratação ou a atuação de profissionais distintos daqueles que tenham justificado a inexigibilidade de licitação para contratação direta dos serviços técnicos especializados de natureza predominantemente intelectual, nos casos previstos no art. 74, III, da Lei n. 14.133/21.</w:t>
      </w:r>
    </w:p>
    <w:p w14:paraId="09D2A3CB" w14:textId="77777777" w:rsidR="00CE17A6" w:rsidRDefault="00CE17A6" w:rsidP="00CE17A6">
      <w:pPr>
        <w:pStyle w:val="Textodecomentrio"/>
      </w:pPr>
    </w:p>
    <w:p w14:paraId="70E24C41" w14:textId="77777777" w:rsidR="00CE17A6" w:rsidRDefault="00CE17A6" w:rsidP="00CE17A6">
      <w:pPr>
        <w:pStyle w:val="Textodecomentrio"/>
      </w:pPr>
      <w:r>
        <w:rPr>
          <w:b/>
          <w:bCs/>
          <w:i/>
          <w:iCs/>
        </w:rPr>
        <w:t>Nota Explicativa 3:</w:t>
      </w:r>
      <w:r>
        <w:rPr>
          <w:i/>
          <w:iCs/>
        </w:rPr>
        <w:t xml:space="preserve"> Nas contratações de serviços e obras, é possível à Administração exigir do futuro contratado a subcontratação de microempresas ou empresas de pequeno porte, nos termos do art. 48, inciso II, da Lei Complementar n. 123, de 2006, e do art. 7º, do Decreto n.º 8.538, de 2015. Nesse caso, recomenda-se a inclusão, neste item do Termo de Referência, das disposições a seguir: </w:t>
      </w:r>
    </w:p>
    <w:p w14:paraId="34944B95" w14:textId="77777777" w:rsidR="00CE17A6" w:rsidRDefault="00CE17A6" w:rsidP="00CE17A6">
      <w:pPr>
        <w:pStyle w:val="Textodecomentrio"/>
      </w:pPr>
    </w:p>
    <w:p w14:paraId="3824513F" w14:textId="77777777" w:rsidR="00CE17A6" w:rsidRDefault="00CE17A6" w:rsidP="00CE17A6">
      <w:pPr>
        <w:pStyle w:val="Textodecomentrio"/>
      </w:pPr>
      <w:r>
        <w:rPr>
          <w:i/>
          <w:iCs/>
        </w:rPr>
        <w:t>4.13.</w:t>
      </w:r>
      <w:r>
        <w:rPr>
          <w:i/>
          <w:iCs/>
        </w:rPr>
        <w:tab/>
        <w:t>Deverá haver subcontratação de microempresas ou empresas de pequeno porte (art. 48, II, da Lei Complementar n. 123, de 2006, e art. 7º, do Decreto n.º 8.538, de 2015), com observância das seguintes disposições específicas:</w:t>
      </w:r>
    </w:p>
    <w:p w14:paraId="644DA79D" w14:textId="77777777" w:rsidR="00CE17A6" w:rsidRDefault="00CE17A6" w:rsidP="00CE17A6">
      <w:pPr>
        <w:pStyle w:val="Textodecomentrio"/>
      </w:pPr>
    </w:p>
    <w:p w14:paraId="1224280D" w14:textId="77777777" w:rsidR="00CE17A6" w:rsidRDefault="00CE17A6" w:rsidP="00CE17A6">
      <w:pPr>
        <w:pStyle w:val="Textodecomentrio"/>
      </w:pPr>
      <w:r>
        <w:rPr>
          <w:i/>
          <w:iCs/>
        </w:rPr>
        <w:t>4.14.</w:t>
      </w:r>
      <w:r>
        <w:rPr>
          <w:i/>
          <w:iCs/>
        </w:rPr>
        <w:tab/>
        <w:t xml:space="preserve">A subcontratação deverá observar o percentual mínimo de </w:t>
      </w:r>
      <w:r>
        <w:rPr>
          <w:i/>
          <w:iCs/>
          <w:color w:val="FF0000"/>
        </w:rPr>
        <w:t xml:space="preserve">XX% (xxxxx por cento) </w:t>
      </w:r>
      <w:r>
        <w:rPr>
          <w:i/>
          <w:iCs/>
        </w:rPr>
        <w:t xml:space="preserve">e o máximo de </w:t>
      </w:r>
      <w:r>
        <w:rPr>
          <w:i/>
          <w:iCs/>
          <w:color w:val="FF0000"/>
        </w:rPr>
        <w:t>XX% (xxxxx por cento)</w:t>
      </w:r>
      <w:r>
        <w:rPr>
          <w:i/>
          <w:iCs/>
        </w:rPr>
        <w:t xml:space="preserve"> do valor da contratação, abrangendo as seguintes parcelas do objeto:</w:t>
      </w:r>
    </w:p>
    <w:p w14:paraId="1021316C" w14:textId="77777777" w:rsidR="00CE17A6" w:rsidRDefault="00CE17A6" w:rsidP="00CE17A6">
      <w:pPr>
        <w:pStyle w:val="Textodecomentrio"/>
      </w:pPr>
      <w:r>
        <w:rPr>
          <w:i/>
          <w:iCs/>
        </w:rPr>
        <w:t>4.14.1</w:t>
      </w:r>
      <w:r>
        <w:rPr>
          <w:i/>
          <w:iCs/>
        </w:rPr>
        <w:tab/>
      </w:r>
      <w:r>
        <w:rPr>
          <w:i/>
          <w:iCs/>
          <w:color w:val="FF0000"/>
        </w:rPr>
        <w:t>[...];</w:t>
      </w:r>
      <w:r>
        <w:rPr>
          <w:i/>
          <w:iCs/>
        </w:rPr>
        <w:t xml:space="preserve"> e</w:t>
      </w:r>
    </w:p>
    <w:p w14:paraId="6471C6A3" w14:textId="77777777" w:rsidR="00CE17A6" w:rsidRDefault="00CE17A6" w:rsidP="00CE17A6">
      <w:pPr>
        <w:pStyle w:val="Textodecomentrio"/>
      </w:pPr>
      <w:r>
        <w:rPr>
          <w:i/>
          <w:iCs/>
        </w:rPr>
        <w:t>4.14.2</w:t>
      </w:r>
      <w:r>
        <w:rPr>
          <w:i/>
          <w:iCs/>
        </w:rPr>
        <w:tab/>
      </w:r>
      <w:r>
        <w:rPr>
          <w:i/>
          <w:iCs/>
          <w:color w:val="FF0000"/>
        </w:rPr>
        <w:t>[...].</w:t>
      </w:r>
    </w:p>
    <w:p w14:paraId="7BDE4336" w14:textId="77777777" w:rsidR="00CE17A6" w:rsidRDefault="00CE17A6" w:rsidP="00CE17A6">
      <w:pPr>
        <w:pStyle w:val="Textodecomentrio"/>
      </w:pPr>
    </w:p>
    <w:p w14:paraId="18C57351" w14:textId="77777777" w:rsidR="00CE17A6" w:rsidRDefault="00CE17A6" w:rsidP="00CE17A6">
      <w:pPr>
        <w:pStyle w:val="Textodecomentrio"/>
      </w:pPr>
      <w:r>
        <w:rPr>
          <w:i/>
          <w:iCs/>
        </w:rPr>
        <w:t>4.15.</w:t>
      </w:r>
      <w:r>
        <w:rPr>
          <w:i/>
          <w:iCs/>
        </w:rPr>
        <w:tab/>
        <w:t>O Contratado deverá apresentar, ao longo da vigência contratual, sempre que solicitada, a documentação de regularidade fiscal das microempresas e empresas de pequeno porte subcontratadas, sob pena de rescisão, aplicando-se o prazo para regularização previsto no § 1º do art. 4º do Decreto nº 8.538, de 2015;</w:t>
      </w:r>
    </w:p>
    <w:p w14:paraId="69E5B846" w14:textId="77777777" w:rsidR="00CE17A6" w:rsidRDefault="00CE17A6" w:rsidP="00CE17A6">
      <w:pPr>
        <w:pStyle w:val="Textodecomentrio"/>
      </w:pPr>
    </w:p>
    <w:p w14:paraId="2CDB4B12" w14:textId="77777777" w:rsidR="00CE17A6" w:rsidRDefault="00CE17A6" w:rsidP="00CE17A6">
      <w:pPr>
        <w:pStyle w:val="Textodecomentrio"/>
      </w:pPr>
      <w:r>
        <w:rPr>
          <w:i/>
          <w:iCs/>
        </w:rPr>
        <w:t>4.16.</w:t>
      </w:r>
      <w:r>
        <w:rPr>
          <w:i/>
          <w:iCs/>
        </w:rPr>
        <w:tab/>
        <w:t>O Contratado deverá substituir a subcontratada, no prazo máximo de trinta dias, na hipótese de extinção da subcontratação, mantendo o percentual originalmente subcontratado até a sua execução total, notificando o Contratante, sob pena de rescisão, sem prejuízo das sanções cabíveis, ou a demonstrar a inviabilidade da substituição, hipótese em que ficará responsável pela execução da parcela originalmente subcontratada; e</w:t>
      </w:r>
    </w:p>
    <w:p w14:paraId="73DBABC1" w14:textId="77777777" w:rsidR="00CE17A6" w:rsidRDefault="00CE17A6" w:rsidP="00CE17A6">
      <w:pPr>
        <w:pStyle w:val="Textodecomentrio"/>
      </w:pPr>
    </w:p>
    <w:p w14:paraId="4D59107C" w14:textId="77777777" w:rsidR="00CE17A6" w:rsidRDefault="00CE17A6" w:rsidP="00CE17A6">
      <w:pPr>
        <w:pStyle w:val="Textodecomentrio"/>
      </w:pPr>
      <w:r>
        <w:rPr>
          <w:i/>
          <w:iCs/>
        </w:rPr>
        <w:t>4.17.</w:t>
      </w:r>
      <w:r>
        <w:rPr>
          <w:i/>
          <w:iCs/>
        </w:rPr>
        <w:tab/>
        <w:t>O Contratado será responsável pela padronização, pela compatibilidade, pelo gerenciamento centralizado e pela qualidade da subcontratação.</w:t>
      </w:r>
    </w:p>
    <w:p w14:paraId="6CDA4B2C" w14:textId="77777777" w:rsidR="00CE17A6" w:rsidRDefault="00CE17A6" w:rsidP="00CE17A6">
      <w:pPr>
        <w:pStyle w:val="Textodecomentrio"/>
      </w:pPr>
    </w:p>
    <w:p w14:paraId="25037EB8" w14:textId="77777777" w:rsidR="00CE17A6" w:rsidRDefault="00CE17A6" w:rsidP="00CE17A6">
      <w:pPr>
        <w:pStyle w:val="Textodecomentrio"/>
      </w:pPr>
      <w:r>
        <w:rPr>
          <w:i/>
          <w:iCs/>
        </w:rPr>
        <w:t>4.18.</w:t>
      </w:r>
      <w:r>
        <w:rPr>
          <w:i/>
          <w:iCs/>
        </w:rPr>
        <w:tab/>
        <w:t>Os empenhos e pagamentos referentes às parcelas subcontratadas serão destinados diretamente às microempresas e empresas de pequeno porte subcontratadas.</w:t>
      </w:r>
    </w:p>
  </w:comment>
  <w:comment w:id="21" w:author="Autor" w:initials="A">
    <w:p w14:paraId="1EC0C799" w14:textId="77777777" w:rsidR="008E3870" w:rsidRDefault="008E5A66" w:rsidP="008E3870">
      <w:pPr>
        <w:pStyle w:val="Textodecomentrio"/>
      </w:pPr>
      <w:r>
        <w:rPr>
          <w:rStyle w:val="Refdecomentrio"/>
        </w:rPr>
        <w:annotationRef/>
      </w:r>
      <w:r w:rsidR="008E3870">
        <w:rPr>
          <w:b/>
          <w:bCs/>
          <w:i/>
          <w:iCs/>
          <w:color w:val="000000"/>
        </w:rPr>
        <w:t xml:space="preserve">Nota Explicativa 1: </w:t>
      </w:r>
      <w:r w:rsidR="008E3870">
        <w:rPr>
          <w:i/>
          <w:iCs/>
          <w:color w:val="000000"/>
        </w:rPr>
        <w:t xml:space="preserve">Em caso de necessidade de inclusão de outras especificações técnicas quanto à subcontratação, deverão ser inseridas nestes itens. </w:t>
      </w:r>
    </w:p>
    <w:p w14:paraId="64B5F1E6" w14:textId="77777777" w:rsidR="008E3870" w:rsidRDefault="008E3870" w:rsidP="008E3870">
      <w:pPr>
        <w:pStyle w:val="Textodecomentrio"/>
      </w:pPr>
    </w:p>
    <w:p w14:paraId="330E0309" w14:textId="77777777" w:rsidR="008E3870" w:rsidRDefault="008E3870" w:rsidP="008E3870">
      <w:pPr>
        <w:pStyle w:val="Textodecomentrio"/>
      </w:pPr>
      <w:r>
        <w:rPr>
          <w:b/>
          <w:bCs/>
          <w:i/>
          <w:iCs/>
          <w:color w:val="000000"/>
        </w:rPr>
        <w:t xml:space="preserve">Nota Explicativa 2: </w:t>
      </w:r>
      <w:r>
        <w:rPr>
          <w:i/>
          <w:iCs/>
          <w:color w:val="000000"/>
        </w:rPr>
        <w:t>A subcontratação parcial é permitida e deverá ser analisada pela Administração com base nas informações dos estudos preliminares, em cada caso concreto. Caso admitida no Termo de Referência, deve-se estabelecer com detalhamento seus limites e condições, inclusive especificando quais parcelas do objeto poderão ser subcontratadas.</w:t>
      </w:r>
    </w:p>
    <w:p w14:paraId="3B973B20" w14:textId="77777777" w:rsidR="008E3870" w:rsidRDefault="008E3870" w:rsidP="008E3870">
      <w:pPr>
        <w:pStyle w:val="Textodecomentrio"/>
      </w:pPr>
    </w:p>
    <w:p w14:paraId="0AABCF02" w14:textId="77777777" w:rsidR="008E3870" w:rsidRDefault="008E3870" w:rsidP="008E3870">
      <w:pPr>
        <w:pStyle w:val="Textodecomentrio"/>
      </w:pPr>
      <w:r>
        <w:rPr>
          <w:b/>
          <w:bCs/>
          <w:i/>
          <w:iCs/>
          <w:color w:val="000000"/>
        </w:rPr>
        <w:t xml:space="preserve">Nota Explicativa 3: </w:t>
      </w:r>
      <w:r>
        <w:rPr>
          <w:i/>
          <w:iCs/>
          <w:color w:val="000000"/>
        </w:rPr>
        <w:t xml:space="preserve">A depender da parcela do objeto cuja subcontratação será permitida, poderá ser previsto, no tópico pertinente, que a qualificação técnica seja demonstrada por meio de atestados relativos a potencial subcontratado, limitado a 25% do objeto a ser contratado, conforme </w:t>
      </w:r>
      <w:hyperlink r:id="rId58" w:history="1">
        <w:r w:rsidRPr="00D0172C">
          <w:rPr>
            <w:rStyle w:val="Hyperlink"/>
            <w:i/>
            <w:iCs/>
          </w:rPr>
          <w:t>art. 67, §9º da Lei nº 14.133</w:t>
        </w:r>
      </w:hyperlink>
      <w:r>
        <w:rPr>
          <w:i/>
          <w:iCs/>
          <w:color w:val="000000"/>
        </w:rPr>
        <w:t>, de 2021. Nesta hipótese, mais de um interessado poderá apresentar atestado relativo ao mesmo potencial subcontratado.</w:t>
      </w:r>
    </w:p>
  </w:comment>
  <w:comment w:id="22" w:author="Autor" w:initials="A">
    <w:p w14:paraId="6565E005" w14:textId="77777777" w:rsidR="008E3870" w:rsidRDefault="00D62468" w:rsidP="008E3870">
      <w:pPr>
        <w:pStyle w:val="Textodecomentrio"/>
      </w:pPr>
      <w:r>
        <w:rPr>
          <w:rStyle w:val="Refdecomentrio"/>
        </w:rPr>
        <w:annotationRef/>
      </w:r>
      <w:r w:rsidR="008E3870">
        <w:rPr>
          <w:b/>
          <w:bCs/>
          <w:i/>
          <w:iCs/>
          <w:color w:val="000000"/>
        </w:rPr>
        <w:t xml:space="preserve">Nota Explicativa 1: </w:t>
      </w:r>
      <w:r w:rsidR="008E3870">
        <w:rPr>
          <w:i/>
          <w:iCs/>
          <w:color w:val="000000"/>
        </w:rPr>
        <w:t xml:space="preserve">Neste momento, a área técnica competente deverá indicar </w:t>
      </w:r>
      <w:r w:rsidR="008E3870">
        <w:rPr>
          <w:i/>
          <w:iCs/>
        </w:rPr>
        <w:t xml:space="preserve">se será, ou não, exigida a garantia de execução do objeto para a contratação. </w:t>
      </w:r>
    </w:p>
    <w:p w14:paraId="10500CC4" w14:textId="77777777" w:rsidR="008E3870" w:rsidRDefault="008E3870" w:rsidP="008E3870">
      <w:pPr>
        <w:pStyle w:val="Textodecomentrio"/>
      </w:pPr>
    </w:p>
    <w:p w14:paraId="6A0672B9" w14:textId="77777777" w:rsidR="008E3870" w:rsidRDefault="008E3870" w:rsidP="008E3870">
      <w:pPr>
        <w:pStyle w:val="Textodecomentrio"/>
      </w:pPr>
      <w:r>
        <w:rPr>
          <w:b/>
          <w:bCs/>
          <w:i/>
          <w:iCs/>
        </w:rPr>
        <w:t xml:space="preserve">Nota Explicativa 2: </w:t>
      </w:r>
      <w:r>
        <w:rPr>
          <w:i/>
          <w:iCs/>
        </w:rPr>
        <w:t xml:space="preserve"> </w:t>
      </w:r>
      <w:r>
        <w:rPr>
          <w:i/>
          <w:iCs/>
          <w:color w:val="000000"/>
        </w:rPr>
        <w:t xml:space="preserve">Para contratações com mão de obra de dedicação exclusiva, a exigência de garantia é obrigatória (Anexo VII-F da IN Seges 5/2017). </w:t>
      </w:r>
    </w:p>
    <w:p w14:paraId="146C13E7" w14:textId="77777777" w:rsidR="008E3870" w:rsidRDefault="008E3870" w:rsidP="008E3870">
      <w:pPr>
        <w:pStyle w:val="Textodecomentrio"/>
      </w:pPr>
    </w:p>
    <w:p w14:paraId="11443F97" w14:textId="77777777" w:rsidR="008E3870" w:rsidRDefault="008E3870" w:rsidP="008E3870">
      <w:pPr>
        <w:pStyle w:val="Textodecomentrio"/>
      </w:pPr>
      <w:r>
        <w:rPr>
          <w:b/>
          <w:bCs/>
          <w:i/>
          <w:iCs/>
          <w:color w:val="000000"/>
        </w:rPr>
        <w:t>Nota Explicativa 3:</w:t>
      </w:r>
      <w:r>
        <w:rPr>
          <w:i/>
          <w:iCs/>
          <w:color w:val="000000"/>
        </w:rPr>
        <w:t xml:space="preserve"> O percentual da garantia será de: </w:t>
      </w:r>
    </w:p>
    <w:p w14:paraId="02483FF4" w14:textId="77777777" w:rsidR="008E3870" w:rsidRDefault="008E3870" w:rsidP="008E3870">
      <w:pPr>
        <w:pStyle w:val="Textodecomentrio"/>
      </w:pPr>
      <w:r>
        <w:rPr>
          <w:i/>
          <w:iCs/>
          <w:color w:val="000000"/>
        </w:rPr>
        <w:t>a) até 5% (cinco por cento) do valor inicial do contrato, para contratações em geral, conforme art. 98 da Lei nº 14.133, de 2021; </w:t>
      </w:r>
    </w:p>
    <w:p w14:paraId="28CA1AAE" w14:textId="77777777" w:rsidR="008E3870" w:rsidRDefault="008E3870" w:rsidP="008E3870">
      <w:pPr>
        <w:pStyle w:val="Textodecomentrio"/>
      </w:pPr>
      <w:r>
        <w:rPr>
          <w:i/>
          <w:iCs/>
          <w:color w:val="000000"/>
        </w:rPr>
        <w:t>b) até 10% (dez por cento) do valor inicial do contrato, nos casos de alta complexidade técnica e riscos envolvidos, caso em que deverá haver justificativa específica nos autos, conforme art. 98 da Lei nº 14.133, de 2021; </w:t>
      </w:r>
    </w:p>
    <w:p w14:paraId="6C6E510A" w14:textId="77777777" w:rsidR="008E3870" w:rsidRDefault="008E3870" w:rsidP="008E3870">
      <w:pPr>
        <w:pStyle w:val="Textodecomentrio"/>
      </w:pPr>
      <w:r>
        <w:rPr>
          <w:i/>
          <w:iCs/>
          <w:color w:val="000000"/>
        </w:rPr>
        <w:t>c) deverá ser acrescido de garantia adicional aos percentuais citados anteriormente, em casos de previsão de antecipação de pagamento, nos termos do art. 145, § 2º, da Lei nº 14.133, de 2021. </w:t>
      </w:r>
    </w:p>
    <w:p w14:paraId="5F27D694" w14:textId="77777777" w:rsidR="008E3870" w:rsidRDefault="008E3870" w:rsidP="008E3870">
      <w:pPr>
        <w:pStyle w:val="Textodecomentrio"/>
      </w:pPr>
      <w:r>
        <w:rPr>
          <w:i/>
          <w:iCs/>
          <w:color w:val="000000"/>
        </w:rPr>
        <w:t>d) nos casos de contratos que impliquem a entrega de bens pela Administração, dos quais o contratado ficará depositário, o valor desses bens deverá ser acrescido ao valor da garantia calculado de acordo com os itens anteriores. </w:t>
      </w:r>
    </w:p>
    <w:p w14:paraId="165FE5FA" w14:textId="77777777" w:rsidR="008E3870" w:rsidRDefault="008E3870" w:rsidP="008E3870">
      <w:pPr>
        <w:pStyle w:val="Textodecomentrio"/>
      </w:pPr>
      <w:r>
        <w:rPr>
          <w:i/>
          <w:iCs/>
          <w:color w:val="000000"/>
        </w:rPr>
        <w:t>e) até 30% (trinta por cento) do valor inicial do contrato, nas contratações de obras e serviços de engenharia de grande vulto (cujo valor é atualizado anualmente por Decreto, cf. art. 6º, XXII, e 182, ambos da Lei nº 14.133, de 2021), caso adotada a modalidade seguro-garantia, com cláusula de retomada, lastreada no art. 102 da Lei nº 14.133, de 2021.  </w:t>
      </w:r>
    </w:p>
    <w:p w14:paraId="7806651C" w14:textId="77777777" w:rsidR="008E3870" w:rsidRDefault="008E3870" w:rsidP="008E3870">
      <w:pPr>
        <w:pStyle w:val="Textodecomentrio"/>
      </w:pPr>
      <w:r>
        <w:rPr>
          <w:i/>
          <w:iCs/>
          <w:color w:val="000000"/>
        </w:rPr>
        <w:t>f) deverá ser acrescido do valor equivalente à diferença entre 85% do valor orçado pela Administração e o valor da proposta vencedora, no caso de contratações de obras e serviços de engenharia, nos termos do art. 59, § 5º, da lei nº 14.133, de 2021;</w:t>
      </w:r>
    </w:p>
    <w:p w14:paraId="2861D357" w14:textId="77777777" w:rsidR="008E3870" w:rsidRDefault="008E3870" w:rsidP="008E3870">
      <w:pPr>
        <w:pStyle w:val="Textodecomentrio"/>
      </w:pPr>
      <w:r>
        <w:rPr>
          <w:i/>
          <w:iCs/>
          <w:color w:val="000000"/>
        </w:rPr>
        <w:t xml:space="preserve">g) na </w:t>
      </w:r>
      <w:r>
        <w:rPr>
          <w:i/>
          <w:iCs/>
        </w:rPr>
        <w:t>contratação de serviços continuados com dedicação exclusiva de mão de obra, deverá corresponder a 5 % (cinco por cento) do valor total do contrato, limitada ao equivalente a 2 (dois) meses do custo da folha de pagamento dos empregados da contratada que venham a participar da execução dos serviços contratados</w:t>
      </w:r>
      <w:r>
        <w:rPr>
          <w:i/>
          <w:iCs/>
          <w:color w:val="000000"/>
        </w:rPr>
        <w:t>  (</w:t>
      </w:r>
      <w:r>
        <w:rPr>
          <w:i/>
          <w:iCs/>
        </w:rPr>
        <w:t>conforme IN 05/2017, Anexo VII-F, item 3.1. "a").</w:t>
      </w:r>
    </w:p>
    <w:p w14:paraId="4BF5874C" w14:textId="77777777" w:rsidR="008E3870" w:rsidRDefault="008E3870" w:rsidP="008E3870">
      <w:pPr>
        <w:pStyle w:val="Textodecomentrio"/>
      </w:pPr>
      <w:r>
        <w:rPr>
          <w:i/>
          <w:iCs/>
          <w:color w:val="000000"/>
        </w:rPr>
        <w:t>O Termo de Referência pode, portanto, trazer percentual entre 5% e 10% (ou de até 30% para grande vulto), mas, para tanto, deverá constar dos autos a citada análise de complexidade técnica e de riscos e a justificativa para tal medida. </w:t>
      </w:r>
    </w:p>
    <w:p w14:paraId="25544E85" w14:textId="77777777" w:rsidR="008E3870" w:rsidRDefault="008E3870" w:rsidP="008E3870">
      <w:pPr>
        <w:pStyle w:val="Textodecomentrio"/>
      </w:pPr>
    </w:p>
    <w:p w14:paraId="2E550AFA" w14:textId="77777777" w:rsidR="008E3870" w:rsidRDefault="008E3870" w:rsidP="008E3870">
      <w:pPr>
        <w:pStyle w:val="Textodecomentrio"/>
      </w:pPr>
      <w:r>
        <w:rPr>
          <w:b/>
          <w:bCs/>
          <w:i/>
          <w:iCs/>
          <w:color w:val="000000"/>
        </w:rPr>
        <w:t>Nota explicativa 4:</w:t>
      </w:r>
      <w:r>
        <w:rPr>
          <w:i/>
          <w:iCs/>
          <w:color w:val="000000"/>
        </w:rPr>
        <w:t xml:space="preserve"> Nos casos de serviços contínuos com duração até um ano, a garantia será calculada com base no valor total do contrato. Se de duração superior a um ano, </w:t>
      </w:r>
      <w:r w:rsidRPr="00BF69A5">
        <w:rPr>
          <w:i/>
          <w:iCs/>
          <w:color w:val="000000"/>
        </w:rPr>
        <w:t>o</w:t>
      </w:r>
      <w:r>
        <w:rPr>
          <w:i/>
          <w:iCs/>
          <w:color w:val="000000"/>
        </w:rPr>
        <w:t xml:space="preserve"> será com base no valor anual. Nos demais casos (serviços não-contínuos), o será com base no valor inicial.  </w:t>
      </w:r>
    </w:p>
    <w:p w14:paraId="0F92D750" w14:textId="77777777" w:rsidR="008E3870" w:rsidRDefault="008E3870" w:rsidP="008E3870">
      <w:pPr>
        <w:pStyle w:val="Textodecomentrio"/>
      </w:pPr>
    </w:p>
    <w:p w14:paraId="0F5ADE46" w14:textId="77777777" w:rsidR="008E3870" w:rsidRDefault="008E3870" w:rsidP="008E3870">
      <w:pPr>
        <w:pStyle w:val="Textodecomentrio"/>
      </w:pPr>
      <w:r>
        <w:rPr>
          <w:b/>
          <w:bCs/>
          <w:i/>
          <w:iCs/>
          <w:color w:val="000000"/>
        </w:rPr>
        <w:t>Nota explicativa 5:</w:t>
      </w:r>
      <w:r>
        <w:rPr>
          <w:i/>
          <w:iCs/>
          <w:color w:val="000000"/>
        </w:rPr>
        <w:t xml:space="preserve"> O art. 96, §1º, da Lei nº 14.133, de 2021, estabelece as modalidades de garantia da execução contratual, que incluem caução, seguro-garantia, fiança bancária e título de capitalização. A escolha entre essas quatro modalidades de garantia é uma prerrogativa do contratado. </w:t>
      </w:r>
    </w:p>
    <w:p w14:paraId="2C0DDE7A" w14:textId="77777777" w:rsidR="008E3870" w:rsidRDefault="008E3870" w:rsidP="008E3870">
      <w:pPr>
        <w:pStyle w:val="Textodecomentrio"/>
      </w:pPr>
      <w:r>
        <w:rPr>
          <w:i/>
          <w:iCs/>
          <w:color w:val="000000"/>
        </w:rPr>
        <w:t xml:space="preserve">Para a modalidade de seguro-garantia, o §3º do art. 96 da Lei nº 14.133, de 2021, impõe que a prestação da garantia ocorra antes da assinatura do contrato, </w:t>
      </w:r>
      <w:r>
        <w:rPr>
          <w:i/>
          <w:iCs/>
        </w:rPr>
        <w:t xml:space="preserve">no prazo mínimo de um mês, a ser estabelecido em edital, contado da homologação da licitação. A mesma regra deverá ser aplicada, por analogia, às contratações diretas precedidas de dispensa eletrônica. </w:t>
      </w:r>
    </w:p>
    <w:p w14:paraId="1F061426" w14:textId="77777777" w:rsidR="008E3870" w:rsidRDefault="008E3870" w:rsidP="008E3870">
      <w:pPr>
        <w:pStyle w:val="Textodecomentrio"/>
      </w:pPr>
      <w:r>
        <w:rPr>
          <w:i/>
          <w:iCs/>
          <w:color w:val="000000"/>
        </w:rPr>
        <w:t>Para as demais modalidades, prevalece o disposto no item 3.1, alínea “a”, do Anexo VII-F, da Instrução Normativa SEGES/MP nº 05, de 2017, que fixa o prazo de 10 dias, prorrogáveis por igual período, a critério do órgão contratante, contado da assinatura do contrato para prestação da garantia. </w:t>
      </w:r>
    </w:p>
  </w:comment>
  <w:comment w:id="24" w:author="Autor" w:initials="A">
    <w:p w14:paraId="1A6F9AC9" w14:textId="77777777" w:rsidR="009C3D26" w:rsidRDefault="00D45E82" w:rsidP="009C3D26">
      <w:pPr>
        <w:pStyle w:val="Textodecomentrio"/>
      </w:pPr>
      <w:r>
        <w:rPr>
          <w:rStyle w:val="Refdecomentrio"/>
        </w:rPr>
        <w:annotationRef/>
      </w:r>
      <w:r w:rsidR="009C3D26">
        <w:rPr>
          <w:b/>
          <w:bCs/>
          <w:i/>
          <w:iCs/>
        </w:rPr>
        <w:t>Nota explicativa</w:t>
      </w:r>
      <w:r w:rsidR="009C3D26">
        <w:rPr>
          <w:i/>
          <w:iCs/>
        </w:rPr>
        <w:t>: Conforme Comunicado n</w:t>
      </w:r>
      <w:r w:rsidR="009C3D26">
        <w:rPr>
          <w:i/>
          <w:iCs/>
          <w:strike/>
        </w:rPr>
        <w:t>º</w:t>
      </w:r>
      <w:r w:rsidR="009C3D26">
        <w:rPr>
          <w:i/>
          <w:iCs/>
        </w:rPr>
        <w:t xml:space="preserve"> 41.321/2024 e Resolução CMN n</w:t>
      </w:r>
      <w:r w:rsidR="009C3D26">
        <w:rPr>
          <w:i/>
          <w:iCs/>
          <w:strike/>
        </w:rPr>
        <w:t xml:space="preserve">º </w:t>
      </w:r>
      <w:r w:rsidR="009C3D26">
        <w:rPr>
          <w:i/>
          <w:iCs/>
        </w:rPr>
        <w:t xml:space="preserve">5.050/2022, ambas orientações publicadas pelo Banco Central do Brasil, Sociedades de Crédito Direto (SCDs) e Sociedades de Empréstimo entre Pessoas (SEPs) </w:t>
      </w:r>
      <w:r w:rsidR="009C3D26">
        <w:rPr>
          <w:b/>
          <w:bCs/>
          <w:i/>
          <w:iCs/>
        </w:rPr>
        <w:t>não</w:t>
      </w:r>
      <w:r w:rsidR="009C3D26">
        <w:rPr>
          <w:i/>
          <w:iCs/>
        </w:rPr>
        <w:t xml:space="preserve"> estão autorizadas a prestar garantias diretamente. Essa vedação inclui a emissão de cartas fiança, seguros garantia e instrumentos similares, bem como a atuação como agentes de garantia. </w:t>
      </w:r>
    </w:p>
  </w:comment>
  <w:comment w:id="25" w:author="Autor" w:initials="A">
    <w:p w14:paraId="35FFACCA" w14:textId="38427E6A" w:rsidR="0011201A" w:rsidRDefault="00D30F44">
      <w:pPr>
        <w:pStyle w:val="Textodecomentrio"/>
      </w:pPr>
      <w:r>
        <w:rPr>
          <w:rStyle w:val="Refdecomentrio"/>
        </w:rPr>
        <w:annotationRef/>
      </w:r>
      <w:r w:rsidR="0011201A">
        <w:rPr>
          <w:b/>
          <w:bCs/>
          <w:i/>
          <w:iCs/>
          <w:color w:val="000000"/>
        </w:rPr>
        <w:t>Nota explicativa</w:t>
      </w:r>
      <w:r w:rsidR="0011201A">
        <w:rPr>
          <w:i/>
          <w:iCs/>
          <w:color w:val="000000"/>
        </w:rPr>
        <w:t>: Nos casos de contratos que impliquem a entrega de bens pela Administração, dos quais o contratado ficará depositário (art.101), deverá haver nos autos certificação do valor dos bens e ser incluído o seguinte item: </w:t>
      </w:r>
    </w:p>
    <w:p w14:paraId="2C948E56" w14:textId="77777777" w:rsidR="0011201A" w:rsidRDefault="0011201A">
      <w:pPr>
        <w:pStyle w:val="Textodecomentrio"/>
      </w:pPr>
      <w:r>
        <w:rPr>
          <w:i/>
          <w:iCs/>
          <w:color w:val="000000"/>
        </w:rPr>
        <w:t>“Deverá ser acrescido ao valor da garantia, previsto no item anterior, o valor dos bens abaixo arrolados, dos quais o contratado será depositário: </w:t>
      </w:r>
    </w:p>
    <w:p w14:paraId="5A25419F" w14:textId="77777777" w:rsidR="0011201A" w:rsidRDefault="0011201A">
      <w:pPr>
        <w:pStyle w:val="Textodecomentrio"/>
      </w:pPr>
      <w:r>
        <w:rPr>
          <w:i/>
          <w:iCs/>
          <w:color w:val="000000"/>
        </w:rPr>
        <w:t>[Descrição do bem nº 1] – R$ [valor do bem nº 1]; </w:t>
      </w:r>
    </w:p>
    <w:p w14:paraId="62535C6F" w14:textId="77777777" w:rsidR="0011201A" w:rsidRDefault="0011201A">
      <w:pPr>
        <w:pStyle w:val="Textodecomentrio"/>
      </w:pPr>
      <w:r>
        <w:rPr>
          <w:i/>
          <w:iCs/>
          <w:color w:val="000000"/>
        </w:rPr>
        <w:t>[Descrição do bem nº 1] – R$ [valor do bem nº 1]; </w:t>
      </w:r>
    </w:p>
    <w:p w14:paraId="330DE8D7" w14:textId="77777777" w:rsidR="0011201A" w:rsidRDefault="0011201A">
      <w:pPr>
        <w:pStyle w:val="Textodecomentrio"/>
      </w:pPr>
      <w:r>
        <w:rPr>
          <w:i/>
          <w:iCs/>
          <w:color w:val="000000"/>
        </w:rPr>
        <w:t>[Descrição do bem nº 1] – R$ [valor do bem nº 1]; </w:t>
      </w:r>
    </w:p>
    <w:p w14:paraId="12FF3113" w14:textId="77777777" w:rsidR="0011201A" w:rsidRDefault="0011201A" w:rsidP="00625AFC">
      <w:pPr>
        <w:pStyle w:val="Textodecomentrio"/>
      </w:pPr>
      <w:r>
        <w:rPr>
          <w:i/>
          <w:iCs/>
          <w:color w:val="000000"/>
        </w:rPr>
        <w:t>Total – R$ [valor da soma dos bens];” </w:t>
      </w:r>
    </w:p>
  </w:comment>
  <w:comment w:id="27" w:author="Autor" w:initials="A">
    <w:p w14:paraId="21CC0E39" w14:textId="77777777" w:rsidR="003244D7" w:rsidRDefault="00075836" w:rsidP="003244D7">
      <w:pPr>
        <w:pStyle w:val="Textodecomentrio"/>
      </w:pPr>
      <w:r>
        <w:rPr>
          <w:rStyle w:val="Refdecomentrio"/>
        </w:rPr>
        <w:annotationRef/>
      </w:r>
      <w:r w:rsidR="003244D7">
        <w:rPr>
          <w:b/>
          <w:bCs/>
          <w:i/>
          <w:iCs/>
        </w:rPr>
        <w:t>Nota Explicativa</w:t>
      </w:r>
      <w:r w:rsidR="003244D7">
        <w:rPr>
          <w:i/>
          <w:iCs/>
        </w:rPr>
        <w:t xml:space="preserve">: Essa disposição decorre do art. 59, §5º, da Lei 14133, de 2021. </w:t>
      </w:r>
    </w:p>
  </w:comment>
  <w:comment w:id="28" w:author="Autor" w:initials="A">
    <w:p w14:paraId="1A809583" w14:textId="77777777" w:rsidR="003244D7" w:rsidRDefault="00967D1F" w:rsidP="003244D7">
      <w:pPr>
        <w:pStyle w:val="Textodecomentrio"/>
      </w:pPr>
      <w:r>
        <w:rPr>
          <w:rStyle w:val="Refdecomentrio"/>
        </w:rPr>
        <w:annotationRef/>
      </w:r>
      <w:r w:rsidR="003244D7">
        <w:rPr>
          <w:b/>
          <w:bCs/>
          <w:i/>
          <w:iCs/>
        </w:rPr>
        <w:t>Nota Explicativa</w:t>
      </w:r>
      <w:r w:rsidR="003244D7">
        <w:rPr>
          <w:i/>
          <w:iCs/>
        </w:rPr>
        <w:t xml:space="preserve">: </w:t>
      </w:r>
      <w:r w:rsidR="003244D7">
        <w:rPr>
          <w:b/>
          <w:bCs/>
          <w:i/>
          <w:iCs/>
        </w:rPr>
        <w:t>Seguro-garantia com cláusula de retomada</w:t>
      </w:r>
      <w:r w:rsidR="003244D7">
        <w:rPr>
          <w:i/>
          <w:iCs/>
        </w:rPr>
        <w:t xml:space="preserve"> - O art.102 da Lei n.º 14.133, de 2021, estabelece que, na contratação de obras e serviços de engenharia, a Administração poderá exigir a prestação da garantia na modalidade seguro-garantia, com a chamada </w:t>
      </w:r>
      <w:r w:rsidR="003244D7">
        <w:rPr>
          <w:b/>
          <w:bCs/>
          <w:i/>
          <w:iCs/>
        </w:rPr>
        <w:t xml:space="preserve">cláusula de retomada </w:t>
      </w:r>
      <w:r w:rsidR="003244D7">
        <w:rPr>
          <w:i/>
          <w:iCs/>
        </w:rPr>
        <w:t xml:space="preserve">por parte da seguradora, isto é, com a obrigação de a seguradora assumir a execução e concluir o objeto do contrato em caso de inadimplemento pelo contratado. A cláusula de retomada, por sua própria natureza, implica o aumento do risco a ser assumido pela seguradora, já que, em caso de inadimplemento por parte do contratado, a instituição terá que dar continuidade à execução contratual e, com isso, lidar com questões estranhas à sua área de atuação. Esses riscos, por sua vez, serão precificados e repassados à Administração, de modo que a adoção da cláusula de retomada tende a incrementar os custos da contratação pública. Sendo assim, previsão da cláusula de retomada deverá ser </w:t>
      </w:r>
      <w:r w:rsidR="003244D7">
        <w:rPr>
          <w:b/>
          <w:bCs/>
          <w:i/>
          <w:iCs/>
        </w:rPr>
        <w:t>justificada pela Administração</w:t>
      </w:r>
      <w:r w:rsidR="003244D7">
        <w:rPr>
          <w:i/>
          <w:iCs/>
        </w:rPr>
        <w:t xml:space="preserve"> à luz da necessidade de fazer face a um especial risco de inadimplemento. </w:t>
      </w:r>
    </w:p>
    <w:p w14:paraId="51F48520" w14:textId="77777777" w:rsidR="003244D7" w:rsidRDefault="003244D7" w:rsidP="003244D7">
      <w:pPr>
        <w:pStyle w:val="Textodecomentrio"/>
      </w:pPr>
    </w:p>
    <w:p w14:paraId="2CA401DB" w14:textId="77777777" w:rsidR="003244D7" w:rsidRDefault="003244D7" w:rsidP="003244D7">
      <w:pPr>
        <w:pStyle w:val="Textodecomentrio"/>
      </w:pPr>
      <w:r>
        <w:rPr>
          <w:b/>
          <w:bCs/>
          <w:i/>
          <w:iCs/>
        </w:rPr>
        <w:t>Nota Explicativa 2:</w:t>
      </w:r>
      <w:r>
        <w:rPr>
          <w:i/>
          <w:iCs/>
        </w:rPr>
        <w:t xml:space="preserve">  Caso a Administração opte, justificadamente, pelo seguro-garantia com cláusula de retomada, deverá excluir do texto as disposições relativas às demais modalidades de garantia (caução em dinheiro ou títulos da dívida pública, fiança bancária e título de capitalização). Deverá, ainda, preservar as disposições pertinentes ao seguro-garantia em geral e incluir as disposições a seguir apresentadas:</w:t>
      </w:r>
    </w:p>
    <w:p w14:paraId="2AE7F13F" w14:textId="77777777" w:rsidR="003244D7" w:rsidRDefault="003244D7" w:rsidP="003244D7">
      <w:pPr>
        <w:pStyle w:val="Textodecomentrio"/>
      </w:pPr>
    </w:p>
    <w:p w14:paraId="1F1ECAB1" w14:textId="77777777" w:rsidR="003244D7" w:rsidRDefault="003244D7" w:rsidP="003244D7">
      <w:pPr>
        <w:pStyle w:val="Textodecomentrio"/>
      </w:pPr>
      <w:r>
        <w:rPr>
          <w:i/>
          <w:iCs/>
        </w:rPr>
        <w:t>4.19</w:t>
      </w:r>
      <w:r>
        <w:rPr>
          <w:i/>
          <w:iCs/>
        </w:rPr>
        <w:tab/>
        <w:t>Será exigida a garantia da contratação de que tratam os arts. 96 e seguintes da Lei nº 14.133, de 2021, na modalidade seguro-garantia, com cláusula de retomada, conforme art. 102 da Lei nº 14.133, de 2021, em valor correspondente a [X] % ([XXXX] por cento) do valor [total] / [anual] da contratação.  </w:t>
      </w:r>
    </w:p>
    <w:p w14:paraId="7B52A2BE" w14:textId="77777777" w:rsidR="003244D7" w:rsidRDefault="003244D7" w:rsidP="003244D7">
      <w:pPr>
        <w:pStyle w:val="Textodecomentrio"/>
      </w:pPr>
      <w:r>
        <w:rPr>
          <w:i/>
          <w:iCs/>
        </w:rPr>
        <w:t>4.19.1</w:t>
      </w:r>
      <w:r>
        <w:rPr>
          <w:i/>
          <w:iCs/>
        </w:rPr>
        <w:tab/>
        <w:t>Em caso de inadimplemento pelo contratado, a seguradora deverá assumir a execução e concluir o objeto do contrato (Lei nº 14.133/2021, art. 102).</w:t>
      </w:r>
    </w:p>
    <w:p w14:paraId="2C3A46F0" w14:textId="77777777" w:rsidR="003244D7" w:rsidRDefault="003244D7" w:rsidP="003244D7">
      <w:pPr>
        <w:pStyle w:val="Textodecomentrio"/>
      </w:pPr>
      <w:r>
        <w:rPr>
          <w:i/>
          <w:iCs/>
        </w:rPr>
        <w:t>4.19.2</w:t>
      </w:r>
      <w:r>
        <w:rPr>
          <w:i/>
          <w:iCs/>
        </w:rPr>
        <w:tab/>
        <w:t>A seguradora figurará como interveniente anuente do contrato e, nesta qualidade, também deverá figurar dos termos aditivos que vierem a ser firmados, podendo, ainda:</w:t>
      </w:r>
    </w:p>
    <w:p w14:paraId="52C03F07" w14:textId="77777777" w:rsidR="003244D7" w:rsidRDefault="003244D7" w:rsidP="003244D7">
      <w:pPr>
        <w:pStyle w:val="Textodecomentrio"/>
      </w:pPr>
      <w:r>
        <w:rPr>
          <w:i/>
          <w:iCs/>
        </w:rPr>
        <w:t>a)</w:t>
      </w:r>
      <w:r>
        <w:rPr>
          <w:i/>
          <w:iCs/>
        </w:rPr>
        <w:tab/>
        <w:t>Ter livre acesso às instalações em que for executado o contrato principal.</w:t>
      </w:r>
    </w:p>
    <w:p w14:paraId="343EC137" w14:textId="77777777" w:rsidR="003244D7" w:rsidRDefault="003244D7" w:rsidP="003244D7">
      <w:pPr>
        <w:pStyle w:val="Textodecomentrio"/>
      </w:pPr>
      <w:r>
        <w:rPr>
          <w:i/>
          <w:iCs/>
        </w:rPr>
        <w:t>b)</w:t>
      </w:r>
      <w:r>
        <w:rPr>
          <w:i/>
          <w:iCs/>
        </w:rPr>
        <w:tab/>
        <w:t>Acompanhar a execução do contrato principal.</w:t>
      </w:r>
    </w:p>
    <w:p w14:paraId="6687345E" w14:textId="77777777" w:rsidR="003244D7" w:rsidRDefault="003244D7" w:rsidP="003244D7">
      <w:pPr>
        <w:pStyle w:val="Textodecomentrio"/>
      </w:pPr>
      <w:r>
        <w:rPr>
          <w:i/>
          <w:iCs/>
        </w:rPr>
        <w:t>c)</w:t>
      </w:r>
      <w:r>
        <w:rPr>
          <w:i/>
          <w:iCs/>
        </w:rPr>
        <w:tab/>
        <w:t>Ter acesso a auditoria técnica e contábil.</w:t>
      </w:r>
    </w:p>
    <w:p w14:paraId="6BF0EEBC" w14:textId="77777777" w:rsidR="003244D7" w:rsidRDefault="003244D7" w:rsidP="003244D7">
      <w:pPr>
        <w:pStyle w:val="Textodecomentrio"/>
      </w:pPr>
      <w:r>
        <w:rPr>
          <w:i/>
          <w:iCs/>
        </w:rPr>
        <w:t>d)</w:t>
      </w:r>
      <w:r>
        <w:rPr>
          <w:i/>
          <w:iCs/>
        </w:rPr>
        <w:tab/>
        <w:t>Requerer esclarecimentos ao responsável técnico pela obra ou pelo fornecimento.</w:t>
      </w:r>
    </w:p>
    <w:p w14:paraId="1503946A" w14:textId="77777777" w:rsidR="003244D7" w:rsidRDefault="003244D7" w:rsidP="003244D7">
      <w:pPr>
        <w:pStyle w:val="Textodecomentrio"/>
      </w:pPr>
      <w:r>
        <w:rPr>
          <w:i/>
          <w:iCs/>
        </w:rPr>
        <w:t>4.19.3</w:t>
      </w:r>
      <w:r>
        <w:rPr>
          <w:i/>
          <w:iCs/>
        </w:rPr>
        <w:tab/>
        <w:t>A emissão de empenho em nome da seguradora, ou a quem ela indicar para a conclusão do contrato, será autorizada desde que demonstrada sua regularidade fiscal.</w:t>
      </w:r>
    </w:p>
    <w:p w14:paraId="4561728F" w14:textId="77777777" w:rsidR="003244D7" w:rsidRDefault="003244D7" w:rsidP="003244D7">
      <w:pPr>
        <w:pStyle w:val="Textodecomentrio"/>
      </w:pPr>
      <w:r>
        <w:rPr>
          <w:i/>
          <w:iCs/>
        </w:rPr>
        <w:t>4.19.4</w:t>
      </w:r>
      <w:r>
        <w:rPr>
          <w:i/>
          <w:iCs/>
        </w:rPr>
        <w:tab/>
        <w:t>A seguradora poderá subcontratar a conclusão do contrato, total ou parcialmente.</w:t>
      </w:r>
    </w:p>
    <w:p w14:paraId="4674BFCD" w14:textId="77777777" w:rsidR="003244D7" w:rsidRDefault="003244D7" w:rsidP="003244D7">
      <w:pPr>
        <w:pStyle w:val="Textodecomentrio"/>
      </w:pPr>
      <w:r>
        <w:rPr>
          <w:i/>
          <w:iCs/>
        </w:rPr>
        <w:t>4.19.5</w:t>
      </w:r>
      <w:r>
        <w:rPr>
          <w:i/>
          <w:iCs/>
        </w:rPr>
        <w:tab/>
        <w:t>Na hipótese de inadimplemento do Contratado, serão observadas as seguintes disposições:</w:t>
      </w:r>
    </w:p>
    <w:p w14:paraId="07EEEBE0" w14:textId="77777777" w:rsidR="003244D7" w:rsidRDefault="003244D7" w:rsidP="003244D7">
      <w:pPr>
        <w:pStyle w:val="Textodecomentrio"/>
      </w:pPr>
      <w:r>
        <w:rPr>
          <w:i/>
          <w:iCs/>
        </w:rPr>
        <w:t>a)</w:t>
      </w:r>
      <w:r>
        <w:rPr>
          <w:i/>
          <w:iCs/>
        </w:rPr>
        <w:tab/>
        <w:t>Caso a seguradora execute e conclua o objeto do contrato, estará isenta da obrigação de pagar a importância segurada indicada na apólice.</w:t>
      </w:r>
    </w:p>
    <w:p w14:paraId="21E77BCC" w14:textId="77777777" w:rsidR="003244D7" w:rsidRDefault="003244D7" w:rsidP="003244D7">
      <w:pPr>
        <w:pStyle w:val="Textodecomentrio"/>
      </w:pPr>
      <w:r>
        <w:rPr>
          <w:i/>
          <w:iCs/>
        </w:rPr>
        <w:t>b)</w:t>
      </w:r>
      <w:r>
        <w:rPr>
          <w:i/>
          <w:iCs/>
        </w:rPr>
        <w:tab/>
        <w:t>Caso a seguradora não assuma a execução do contrato, pagará a integralidade da importância segurada indicada na apólice.</w:t>
      </w:r>
    </w:p>
  </w:comment>
  <w:comment w:id="29" w:author="Autor" w:initials="A">
    <w:p w14:paraId="1351BBDE" w14:textId="4B971A76" w:rsidR="004253D6" w:rsidRDefault="00AD63E5" w:rsidP="00625AFC">
      <w:pPr>
        <w:pStyle w:val="Textodecomentrio"/>
      </w:pPr>
      <w:r>
        <w:rPr>
          <w:rStyle w:val="Refdecomentrio"/>
        </w:rPr>
        <w:annotationRef/>
      </w:r>
      <w:r w:rsidR="004253D6">
        <w:rPr>
          <w:b/>
          <w:bCs/>
          <w:i/>
          <w:iCs/>
          <w:color w:val="000000"/>
        </w:rPr>
        <w:t>Nota Explicativa</w:t>
      </w:r>
      <w:r w:rsidR="004253D6">
        <w:rPr>
          <w:i/>
          <w:iCs/>
          <w:color w:val="000000"/>
        </w:rPr>
        <w:t>: Disposição decorrente do art. 1º, IV, do Decreto-Lei nº 1.737, de 1979. </w:t>
      </w:r>
      <w:r w:rsidR="004253D6">
        <w:t xml:space="preserve"> </w:t>
      </w:r>
    </w:p>
  </w:comment>
  <w:comment w:id="30" w:author="Autor" w:initials="A">
    <w:p w14:paraId="696BE249" w14:textId="77777777" w:rsidR="00413782" w:rsidRDefault="00413782" w:rsidP="00413782">
      <w:pPr>
        <w:pStyle w:val="Textodecomentrio"/>
      </w:pPr>
      <w:r>
        <w:rPr>
          <w:rStyle w:val="Refdecomentrio"/>
        </w:rPr>
        <w:annotationRef/>
      </w:r>
      <w:r>
        <w:rPr>
          <w:b/>
          <w:bCs/>
        </w:rPr>
        <w:t>Nota Explicativa 1:</w:t>
      </w:r>
      <w:r>
        <w:t xml:space="preserve"> Essa disposição tem como base o disposto no art. 121, § 3º, inciso I, da Lei nº 14.133, de 2021, bem como o entendimento firmado no PARECER n. 00036/2024/DECOR/CGU/AGU (NUP: 18220.101646/2022-06), aprovado pelo Despacho do Advogado-Geral da União nº 332, de 13 de agosto de 2024, segundo o qual: </w:t>
      </w:r>
    </w:p>
    <w:p w14:paraId="6AD4FB22" w14:textId="77777777" w:rsidR="00413782" w:rsidRDefault="00413782" w:rsidP="00413782">
      <w:pPr>
        <w:pStyle w:val="Textodecomentrio"/>
      </w:pPr>
    </w:p>
    <w:p w14:paraId="07B347C8" w14:textId="77777777" w:rsidR="00413782" w:rsidRDefault="00413782" w:rsidP="00413782">
      <w:pPr>
        <w:pStyle w:val="Textodecomentrio"/>
      </w:pPr>
      <w:r>
        <w:t xml:space="preserve">“a) </w:t>
      </w:r>
      <w:r>
        <w:rPr>
          <w:b/>
          <w:bCs/>
        </w:rPr>
        <w:t>não</w:t>
      </w:r>
      <w:r>
        <w:t xml:space="preserve"> se mostra compatível com a Lei nº 14.133, de 2021, e a Instrução Normativa SEGES/MPDG nº 5, de 2017, a cláusula de seguro-garantia que condiciona o pagamento de verbas trabalhistas e previdenciárias ao trânsito em julgado de ação de responsabilização, em contrato de prestação de serviço continuado com dedicação exclusiva de mão de obra; e </w:t>
      </w:r>
    </w:p>
    <w:p w14:paraId="03D58406" w14:textId="77777777" w:rsidR="00413782" w:rsidRDefault="00413782" w:rsidP="00413782">
      <w:pPr>
        <w:pStyle w:val="Textodecomentrio"/>
      </w:pPr>
    </w:p>
    <w:p w14:paraId="31368EC8" w14:textId="77777777" w:rsidR="00413782" w:rsidRDefault="00413782" w:rsidP="00413782">
      <w:pPr>
        <w:pStyle w:val="Textodecomentrio"/>
      </w:pPr>
      <w:r>
        <w:t>b) a apólice de seguro-garantia que contenha essa previsão é passível de rejeição, cabendo à Administração a decisão a partir da avaliação dos critérios de conveniência e oportunidade”.</w:t>
      </w:r>
    </w:p>
    <w:p w14:paraId="151055C4" w14:textId="77777777" w:rsidR="00413782" w:rsidRDefault="00413782" w:rsidP="00413782">
      <w:pPr>
        <w:pStyle w:val="Textodecomentrio"/>
      </w:pPr>
    </w:p>
    <w:p w14:paraId="3525178D" w14:textId="77777777" w:rsidR="00413782" w:rsidRDefault="00413782" w:rsidP="00413782">
      <w:pPr>
        <w:pStyle w:val="Textodecomentrio"/>
      </w:pPr>
      <w:r>
        <w:rPr>
          <w:b/>
          <w:bCs/>
          <w:highlight w:val="yellow"/>
        </w:rPr>
        <w:t>Nota Explicativa 2:</w:t>
      </w:r>
      <w:r>
        <w:rPr>
          <w:highlight w:val="yellow"/>
        </w:rPr>
        <w:t xml:space="preserve"> Tendo em vista que os fundamentos da tese firmada no Parecer nº 36/2024/DECOR/CGU/AGU são adequados à </w:t>
      </w:r>
      <w:r>
        <w:rPr>
          <w:b/>
          <w:bCs/>
          <w:highlight w:val="yellow"/>
        </w:rPr>
        <w:t>fiança bancária</w:t>
      </w:r>
      <w:r>
        <w:rPr>
          <w:highlight w:val="yellow"/>
        </w:rPr>
        <w:t>, e considerando o subitem 3.1, "b", do Anexo VII-F da IN SEGES/MPDG nº 05/2017, entende-se ser viável aplicar, por analogia, à referida modalidade de garantia contratual, o entendimento firmado no Parecer, quando houver, na carta fiança, cláusula que condiciona o pagamento de verbas trabalhistas ao trânsito em julgado de ação de responsabilização, em contrato de prestação de serviço continuado com dedicação exclusiva de mão de obra.</w:t>
      </w:r>
      <w:r>
        <w:t xml:space="preserve"> </w:t>
      </w:r>
    </w:p>
  </w:comment>
  <w:comment w:id="31" w:author="Autor" w:initials="A">
    <w:p w14:paraId="3783CA1E" w14:textId="3E21C80C" w:rsidR="004253D6" w:rsidRDefault="00052B4F" w:rsidP="00625AFC">
      <w:pPr>
        <w:pStyle w:val="Textodecomentrio"/>
      </w:pPr>
      <w:r>
        <w:rPr>
          <w:rStyle w:val="Refdecomentrio"/>
        </w:rPr>
        <w:annotationRef/>
      </w:r>
      <w:r w:rsidR="004253D6">
        <w:rPr>
          <w:b/>
          <w:bCs/>
          <w:i/>
          <w:iCs/>
          <w:color w:val="000000"/>
        </w:rPr>
        <w:t>Nota explicativa:</w:t>
      </w:r>
      <w:r w:rsidR="004253D6">
        <w:rPr>
          <w:i/>
          <w:iCs/>
          <w:color w:val="000000"/>
        </w:rPr>
        <w:t xml:space="preserve"> A Instrução Normativa SEGES/MP n.º 05/2017, no item 3.1, alínea “a” do Anexo VII-F, aplicável por força da Instrução Normativa SEGES/ME n.º 98/2022, fixa em 10 (dez) dias úteis, prorrogáveis por igual período, a critério do contratante, contado da assinatura do contrato, o prazo para apresentação de comprovante de prestação de garantia. Esse prazo deve ser aplicado por analogia, na hipótese de reposição da garantia. </w:t>
      </w:r>
      <w:r w:rsidR="004253D6">
        <w:t xml:space="preserve"> </w:t>
      </w:r>
    </w:p>
  </w:comment>
  <w:comment w:id="32" w:author="Autor" w:initials="A">
    <w:p w14:paraId="2D294BCB" w14:textId="77777777" w:rsidR="00610CC5" w:rsidRDefault="008217C2">
      <w:pPr>
        <w:pStyle w:val="Textodecomentrio"/>
      </w:pPr>
      <w:r>
        <w:rPr>
          <w:rStyle w:val="Refdecomentrio"/>
        </w:rPr>
        <w:annotationRef/>
      </w:r>
      <w:r w:rsidR="00610CC5">
        <w:rPr>
          <w:b/>
          <w:bCs/>
          <w:i/>
          <w:iCs/>
          <w:color w:val="000000"/>
        </w:rPr>
        <w:t>Nota Explicativa:</w:t>
      </w:r>
      <w:r w:rsidR="00610CC5">
        <w:rPr>
          <w:i/>
          <w:iCs/>
          <w:color w:val="000000"/>
        </w:rPr>
        <w:t xml:space="preserve"> É assegurado ao interessado o direito de realizar vistoria prévia no local de execução do serviço sempre que o órgão ou entidade contratante considerar essa avaliação imprescindível para o conhecimento pleno das condições e peculiaridades do objeto a ser contratado (</w:t>
      </w:r>
      <w:hyperlink r:id="rId59" w:anchor="art63§2" w:history="1">
        <w:r w:rsidR="00610CC5" w:rsidRPr="004D7BA7">
          <w:rPr>
            <w:rStyle w:val="Hyperlink"/>
            <w:i/>
            <w:iCs/>
          </w:rPr>
          <w:t>art. 63, § 2º, da Lei nº 14.133, de 2021</w:t>
        </w:r>
      </w:hyperlink>
      <w:r w:rsidR="00610CC5">
        <w:rPr>
          <w:i/>
          <w:iCs/>
          <w:color w:val="000000"/>
        </w:rPr>
        <w:t>). Ainda assim, segundo o texto legal, o contratado poderá optar por não realizar a vistoria, caso em que terá de atestar o conhecimento pleno das condições e peculiaridades da contratação, mediante declaração formal do seu responsável técnico (art. 63, §3º).</w:t>
      </w:r>
    </w:p>
    <w:p w14:paraId="244D6AF6" w14:textId="77777777" w:rsidR="00610CC5" w:rsidRDefault="00610CC5">
      <w:pPr>
        <w:pStyle w:val="Textodecomentrio"/>
      </w:pPr>
      <w:r>
        <w:rPr>
          <w:i/>
          <w:iCs/>
          <w:color w:val="000000"/>
        </w:rPr>
        <w:t>Nesse contexto, uma vez facultada a realização da vistoria prévia no Termo de Referência, os interessados terão três opções para cumprir o requisito de habilitação correspondente, conforme §§2º e 3º do art. 63, da Lei nº 14.133, de 2021, a saber:</w:t>
      </w:r>
    </w:p>
    <w:p w14:paraId="490D2C65" w14:textId="77777777" w:rsidR="00610CC5" w:rsidRDefault="00610CC5">
      <w:pPr>
        <w:pStyle w:val="Textodecomentrio"/>
      </w:pPr>
      <w:r>
        <w:rPr>
          <w:i/>
          <w:iCs/>
          <w:color w:val="000000"/>
        </w:rPr>
        <w:t xml:space="preserve">a) realizar a vistoria e atestar que conhece o local e as condições da realização da obra ou serviço; </w:t>
      </w:r>
    </w:p>
    <w:p w14:paraId="196CEE0B" w14:textId="77777777" w:rsidR="00610CC5" w:rsidRDefault="00610CC5">
      <w:pPr>
        <w:pStyle w:val="Textodecomentrio"/>
      </w:pPr>
      <w:r>
        <w:rPr>
          <w:i/>
          <w:iCs/>
          <w:color w:val="000000"/>
        </w:rPr>
        <w:t xml:space="preserve">b) atestar que conhece o local e as condições da realização da obra ou serviço; </w:t>
      </w:r>
    </w:p>
    <w:p w14:paraId="02F4DD30" w14:textId="77777777" w:rsidR="00610CC5" w:rsidRDefault="00610CC5">
      <w:pPr>
        <w:pStyle w:val="Textodecomentrio"/>
      </w:pPr>
      <w:r>
        <w:rPr>
          <w:i/>
          <w:iCs/>
          <w:color w:val="000000"/>
        </w:rPr>
        <w:t xml:space="preserve">c) declarar formalmente, por meio do respectivo responsável técnico, que possui conhecimento pleno das condições e peculiaridades da contratação. </w:t>
      </w:r>
    </w:p>
    <w:p w14:paraId="06D62EF7" w14:textId="77777777" w:rsidR="00610CC5" w:rsidRDefault="00610CC5">
      <w:pPr>
        <w:pStyle w:val="Textodecomentrio"/>
      </w:pPr>
      <w:r>
        <w:rPr>
          <w:i/>
          <w:iCs/>
          <w:color w:val="000000"/>
        </w:rPr>
        <w:t xml:space="preserve">A hipótese “a” dispensa maiores comentários, a não ser o de que é o próprio interessado que atesta conhecer o local e as condições, e não a Administração que tem o ônus de emitir o atestado de vistoria, como se passava no âmbito da </w:t>
      </w:r>
      <w:hyperlink r:id="rId60" w:history="1">
        <w:r w:rsidRPr="004D7BA7">
          <w:rPr>
            <w:rStyle w:val="Hyperlink"/>
            <w:i/>
            <w:iCs/>
          </w:rPr>
          <w:t>Lei nº 8.666, de 1993</w:t>
        </w:r>
      </w:hyperlink>
      <w:r>
        <w:rPr>
          <w:i/>
          <w:iCs/>
          <w:color w:val="000000"/>
        </w:rPr>
        <w:t>.</w:t>
      </w:r>
    </w:p>
    <w:p w14:paraId="61D479DF" w14:textId="77777777" w:rsidR="00610CC5" w:rsidRDefault="00610CC5">
      <w:pPr>
        <w:pStyle w:val="Textodecomentrio"/>
      </w:pPr>
      <w:r>
        <w:rPr>
          <w:i/>
          <w:iCs/>
          <w:color w:val="000000"/>
        </w:rPr>
        <w:t xml:space="preserve">Já na hipótese “b”, o interessado não necessariamente realiza a vistoria facultada na licitação ou contratação direta mas, da mesma forma, atesta que conhece o local da obra ou serviço, além das respectivas condições de execução, pressupondo-se que já tenha comparecido anteriormente ao local para poder emitir a declaração sem incorrer em falsidade ideológica. Isso pode ocorrer sobretudo quando se trata de empresa que já prestou serviços no mesmo local ou já realizou vistoria em outra oportunidade. </w:t>
      </w:r>
    </w:p>
    <w:p w14:paraId="2F543D11" w14:textId="77777777" w:rsidR="00610CC5" w:rsidRDefault="00610CC5">
      <w:pPr>
        <w:pStyle w:val="Textodecomentrio"/>
      </w:pPr>
      <w:r>
        <w:rPr>
          <w:i/>
          <w:iCs/>
          <w:color w:val="000000"/>
        </w:rPr>
        <w:t>Por fim, na hipótese “c”, não se declara que conhece o local, e sim as condições e peculiaridades da contratação em sua plenitude. Por isso que, em contrapartida, a declaração deve ser firmada pelo responsável técnico, que poderá chegar a esse conhecimento com base nas disposições dos documentos da licitação ou da contratação direta, somada à sua experiência profissional, que lhe permite emitir a declaração sem conhecer o local e sem incorrer em falsidade.</w:t>
      </w:r>
    </w:p>
    <w:p w14:paraId="4DB7704B" w14:textId="77777777" w:rsidR="00610CC5" w:rsidRDefault="00610CC5">
      <w:pPr>
        <w:pStyle w:val="Textodecomentrio"/>
      </w:pPr>
      <w:r>
        <w:rPr>
          <w:i/>
          <w:iCs/>
          <w:color w:val="000000"/>
        </w:rPr>
        <w:t xml:space="preserve">Contudo, caso não se verifique a exigência legal de que a empresa a ser contratada possua um responsável técnico - assim considerado o profissional habilitado, na forma da lei, para conduzir, orientar e se responsabilizar por todas as atividades e serviços a serem exercidos pela empresa -, a declaração formal de que trata o § 3º do art. 63, da Lei n.º 14.133, de 2021, deverá ser firmada pelo responsável legal da empresa ou por pessoa por ele indicada, que possua condições técnicas de se responsabilizar pela execução dos serviços a serem contratados. </w:t>
      </w:r>
    </w:p>
    <w:p w14:paraId="115BD327" w14:textId="77777777" w:rsidR="00610CC5" w:rsidRDefault="00610CC5">
      <w:pPr>
        <w:pStyle w:val="Textodecomentrio"/>
      </w:pPr>
      <w:r>
        <w:rPr>
          <w:i/>
          <w:iCs/>
          <w:color w:val="000000"/>
        </w:rPr>
        <w:t>Recomenda-se que a previsão de vistoria seja adotada de forma motivada, já que aumenta os custos transacionais dos interessados, devendo, sempre que possível, ser substituída pela apresentação de fotografias, plantas, desenhos técnicos e congêneres relativos ao local de execução do serviço.</w:t>
      </w:r>
    </w:p>
    <w:p w14:paraId="62ACE3FE" w14:textId="77777777" w:rsidR="00610CC5" w:rsidRDefault="00610CC5" w:rsidP="007C4769">
      <w:pPr>
        <w:pStyle w:val="Textodecomentrio"/>
      </w:pPr>
      <w:r>
        <w:rPr>
          <w:i/>
          <w:iCs/>
          <w:color w:val="000000"/>
        </w:rPr>
        <w:t>Finalmente, caso se considere a avaliação prévia do local de execução como imprescindível para o conhecimento pleno das condições e peculiaridades do objeto a ser contratado, deverá ser exigida declaração nesse sentido no tópico da qualificação técnica.</w:t>
      </w:r>
    </w:p>
  </w:comment>
  <w:comment w:id="33" w:author="Autor" w:initials="A">
    <w:p w14:paraId="26B86719" w14:textId="0A91B38C" w:rsidR="00F67F4D" w:rsidRDefault="008217C2" w:rsidP="00625AFC">
      <w:pPr>
        <w:pStyle w:val="Textodecomentrio"/>
      </w:pPr>
      <w:r>
        <w:rPr>
          <w:rStyle w:val="Refdecomentrio"/>
        </w:rPr>
        <w:annotationRef/>
      </w:r>
      <w:r w:rsidR="00F67F4D">
        <w:rPr>
          <w:b/>
          <w:bCs/>
          <w:i/>
          <w:iCs/>
          <w:color w:val="000000"/>
        </w:rPr>
        <w:t xml:space="preserve">Nota Explicativa: </w:t>
      </w:r>
      <w:r w:rsidR="00F67F4D">
        <w:rPr>
          <w:i/>
          <w:iCs/>
          <w:color w:val="000000"/>
        </w:rPr>
        <w:t xml:space="preserve">O </w:t>
      </w:r>
      <w:hyperlink r:id="rId61" w:history="1">
        <w:r w:rsidR="00F67F4D" w:rsidRPr="001128F4">
          <w:rPr>
            <w:rStyle w:val="Hyperlink"/>
            <w:i/>
            <w:iCs/>
          </w:rPr>
          <w:t>Decreto n.º 10.977, de 23 de fevereiro de 2022</w:t>
        </w:r>
      </w:hyperlink>
      <w:r w:rsidR="00F67F4D">
        <w:rPr>
          <w:i/>
          <w:iCs/>
          <w:color w:val="000000"/>
        </w:rPr>
        <w:t xml:space="preserve">, regulamenta </w:t>
      </w:r>
      <w:hyperlink r:id="rId62" w:history="1">
        <w:r w:rsidR="00F67F4D" w:rsidRPr="001128F4">
          <w:rPr>
            <w:rStyle w:val="Hyperlink"/>
            <w:i/>
            <w:iCs/>
          </w:rPr>
          <w:t>a Lei nº 7.116, de 29 de agosto de 1983</w:t>
        </w:r>
      </w:hyperlink>
      <w:r w:rsidR="00F67F4D">
        <w:rPr>
          <w:i/>
          <w:iCs/>
          <w:color w:val="000000"/>
        </w:rPr>
        <w:t xml:space="preserve">, para estabelecer os procedimentos e os requisitos para a expedição da Carteira de Identidade por órgãos de identificação dos Estados e do Distrito Federal, e </w:t>
      </w:r>
      <w:hyperlink r:id="rId63" w:history="1">
        <w:r w:rsidR="00F67F4D" w:rsidRPr="001128F4">
          <w:rPr>
            <w:rStyle w:val="Hyperlink"/>
            <w:i/>
            <w:iCs/>
          </w:rPr>
          <w:t>a Lei nº 9.454, de 7 de abril de 1997</w:t>
        </w:r>
      </w:hyperlink>
      <w:r w:rsidR="00F67F4D">
        <w:rPr>
          <w:i/>
          <w:iCs/>
          <w:color w:val="000000"/>
        </w:rPr>
        <w:t>, para estabelecer o Serviço de Identificação do Cidadão como o Sistema Nacional de Registro de Identificação Civil. Em seu art. 3º, o Decreto estabelece que a Carteira de Identidade adota o número de inscrição no Cadastro de Pessoas Físicas - CPF como registro geral nacional previsto no inciso IV do caput do art. 11.</w:t>
      </w:r>
    </w:p>
  </w:comment>
  <w:comment w:id="34" w:author="Autor" w:initials="A">
    <w:p w14:paraId="045E5DF7" w14:textId="77777777" w:rsidR="003244D7" w:rsidRDefault="00F37D99" w:rsidP="003244D7">
      <w:pPr>
        <w:pStyle w:val="Textodecomentrio"/>
      </w:pPr>
      <w:r>
        <w:rPr>
          <w:rStyle w:val="Refdecomentrio"/>
        </w:rPr>
        <w:annotationRef/>
      </w:r>
      <w:r w:rsidR="003244D7">
        <w:rPr>
          <w:b/>
          <w:bCs/>
          <w:i/>
          <w:iCs/>
        </w:rPr>
        <w:t xml:space="preserve">Nota Explicativa: </w:t>
      </w:r>
      <w:r w:rsidR="003244D7">
        <w:rPr>
          <w:i/>
          <w:iCs/>
        </w:rPr>
        <w:t xml:space="preserve"> Conforme Acórdão nº 1176/2021- TCU - Plenário, “É irregular a exigência de que o contratado instale escritório em localidade específica, sem a devida demonstração de que tal medida seja imprescindível à adequada execução do objeto licitado, considerando os custos a serem suportados pelo contratado, sem avaliar a sua pertinência frente à materialidade da contratação e aos impactos no orçamento estimativo e na competitividade do certame, devido ao potencial de restringir o caráter competitivo da licitação, afetar a economicidade do contrato e ferir o princípio da isonomia, em ofensa ao art. 3º, caput e § 1º, inciso I, da Lei 8.666/1993”. Segundo o item 10.6, "a", do Anexo VII-A da IN SEGES/MP n.º 05/2017, a exigência é aplicável à contratação de serviços continuados em geral. </w:t>
      </w:r>
    </w:p>
  </w:comment>
  <w:comment w:id="35" w:author="Autor" w:initials="A">
    <w:p w14:paraId="08F9A810" w14:textId="7F927CC0" w:rsidR="00E97671" w:rsidRDefault="00A70718" w:rsidP="00E97671">
      <w:pPr>
        <w:pStyle w:val="Textodecomentrio"/>
      </w:pPr>
      <w:r>
        <w:rPr>
          <w:rStyle w:val="Refdecomentrio"/>
        </w:rPr>
        <w:annotationRef/>
      </w:r>
      <w:r w:rsidR="00E97671">
        <w:rPr>
          <w:b/>
          <w:bCs/>
          <w:i/>
          <w:iCs/>
        </w:rPr>
        <w:t xml:space="preserve">Nota Explicativa: </w:t>
      </w:r>
      <w:r w:rsidR="00E97671">
        <w:rPr>
          <w:i/>
          <w:iCs/>
        </w:rPr>
        <w:t>A Administração deverá verificar se o objeto da contratação está contemplado com margem de preferência normal ou adicional estabelecida em resoluções da Comissão Interministerial de Contratações Públicas para o Desenvolvimento Sustentável – CICS, nos termos do Decreto n.º 11.890, de 22 de janeiro de 2024. Em caso positivo, deverá inserir neste item do Termo de Referência as justificativas do enquadramento do objeto na norma correspondente sobre margem de preferência.</w:t>
      </w:r>
    </w:p>
    <w:p w14:paraId="6CB11D3D" w14:textId="77777777" w:rsidR="00E97671" w:rsidRDefault="00E97671" w:rsidP="00E97671">
      <w:pPr>
        <w:pStyle w:val="Textodecomentrio"/>
      </w:pPr>
    </w:p>
    <w:p w14:paraId="68A85660" w14:textId="77777777" w:rsidR="00E97671" w:rsidRDefault="00E97671" w:rsidP="003244D7">
      <w:pPr>
        <w:pStyle w:val="Textodecomentrio"/>
      </w:pPr>
      <w:r>
        <w:rPr>
          <w:i/>
          <w:iCs/>
        </w:rPr>
        <w:t xml:space="preserve">No momento de edição desta minuta, não foram localizados atos normativos que viessem a estabelecer margens de preferência para serviços nacionais que atendam a normas técnicas brasileiras. </w:t>
      </w:r>
    </w:p>
  </w:comment>
  <w:comment w:id="36" w:author="Autor" w:initials="A">
    <w:p w14:paraId="54C160D0" w14:textId="77777777" w:rsidR="003244D7" w:rsidRDefault="00D62468" w:rsidP="003244D7">
      <w:pPr>
        <w:pStyle w:val="Textodecomentrio"/>
      </w:pPr>
      <w:r>
        <w:rPr>
          <w:rStyle w:val="Refdecomentrio"/>
        </w:rPr>
        <w:annotationRef/>
      </w:r>
      <w:r w:rsidR="003244D7">
        <w:rPr>
          <w:b/>
          <w:bCs/>
          <w:i/>
          <w:iCs/>
          <w:color w:val="000000"/>
        </w:rPr>
        <w:t>Nota Explicativa 1</w:t>
      </w:r>
      <w:r w:rsidR="003244D7">
        <w:rPr>
          <w:i/>
          <w:iCs/>
          <w:color w:val="000000"/>
        </w:rPr>
        <w:t>: Este item deve ser adaptado de acordo com as necessidades específicas do órgão ou entidade, apresentando-se, este modelo, de forma meramente exemplificativa.</w:t>
      </w:r>
    </w:p>
    <w:p w14:paraId="19ABE135" w14:textId="77777777" w:rsidR="003244D7" w:rsidRDefault="003244D7" w:rsidP="003244D7">
      <w:pPr>
        <w:pStyle w:val="Textodecomentrio"/>
      </w:pPr>
    </w:p>
    <w:p w14:paraId="71EB7954" w14:textId="77777777" w:rsidR="003244D7" w:rsidRDefault="003244D7" w:rsidP="003244D7">
      <w:pPr>
        <w:pStyle w:val="Textodecomentrio"/>
      </w:pPr>
      <w:r>
        <w:rPr>
          <w:b/>
          <w:bCs/>
          <w:i/>
          <w:iCs/>
          <w:color w:val="000000"/>
        </w:rPr>
        <w:t xml:space="preserve">Nota Explicativa 2: </w:t>
      </w:r>
      <w:r>
        <w:rPr>
          <w:i/>
          <w:iCs/>
        </w:rPr>
        <w:t xml:space="preserve">A descrição das tarefas básicas depende das características específicas do serviço contratado e da realidade de cada órgão. Esse item é importante para a eficácia da contratação, ainda mais em se tratando da contratação de serviços executados com regime de dedicação exclusiva de mão de obra. Deverão ser detalhadas de forma minuciosa as tarefas a serem desenvolvidas pelos empregados alocados e o respectivo método ou rotina de execução, inclusive com a indicação de frequência e periodicidade dos serviços, quando couber, vez que, quando da fiscalização contratual, a Administração só poderá exigir do contratado o cumprimento das atividades que tenham sido expressamente arroladas no Termo de Referência. </w:t>
      </w:r>
    </w:p>
    <w:p w14:paraId="719A8BDD" w14:textId="77777777" w:rsidR="003244D7" w:rsidRDefault="003244D7" w:rsidP="003244D7">
      <w:pPr>
        <w:pStyle w:val="Textodecomentrio"/>
      </w:pPr>
    </w:p>
    <w:p w14:paraId="609DB86A" w14:textId="77777777" w:rsidR="003244D7" w:rsidRDefault="003244D7" w:rsidP="003244D7">
      <w:pPr>
        <w:pStyle w:val="Textodecomentrio"/>
      </w:pPr>
      <w:r>
        <w:rPr>
          <w:b/>
          <w:bCs/>
          <w:i/>
          <w:iCs/>
        </w:rPr>
        <w:t xml:space="preserve">Nota explicativa 3: </w:t>
      </w:r>
      <w:r>
        <w:rPr>
          <w:i/>
          <w:iCs/>
        </w:rPr>
        <w:t xml:space="preserve">A Administração deverá atentar, quando for o caso, para a existência de regulamentações específicas relativas a determinados serviços, no que tange à respectiva metodologia de execução, como se passa, por exemplo, em relação aos serviços de limpeza e vigilância, que possuem cadernos de logística próprios. </w:t>
      </w:r>
    </w:p>
  </w:comment>
  <w:comment w:id="37" w:author="Autor" w:initials="A">
    <w:p w14:paraId="1F886496" w14:textId="77777777" w:rsidR="009C3D26" w:rsidRDefault="008474DA" w:rsidP="009C3D26">
      <w:pPr>
        <w:pStyle w:val="Textodecomentrio"/>
      </w:pPr>
      <w:r>
        <w:rPr>
          <w:rStyle w:val="Refdecomentrio"/>
        </w:rPr>
        <w:annotationRef/>
      </w:r>
      <w:r w:rsidR="009C3D26">
        <w:rPr>
          <w:b/>
          <w:bCs/>
          <w:i/>
          <w:iCs/>
        </w:rPr>
        <w:t xml:space="preserve">Nota Explicativa: </w:t>
      </w:r>
      <w:r w:rsidR="009C3D26">
        <w:rPr>
          <w:i/>
          <w:iCs/>
        </w:rPr>
        <w:t xml:space="preserve">Segundo a Instrução Normativa SEGES/MGI n.º 190, de 5 de dezembro de 2024, fica estabelecida a redução de jornada de trabalho de 44 (quarenta e quatro) horas para 40 (quarenta) horas semanais, para os contratos de prestação de serviços contínuos com regime de dedicação exclusiva de mão de obra indicados no seu Anexo I, conforme disposto no art. 4º do Decreto nº 12.174, de 11 de setembro de 2024 (apoio administrativo, técnico em secretariado, secretariado, técnico em arquivo, lavador de automóveis e jardinagem). As exceções à redução de jornada estão dispostas no art. 3º da  Instrução Normativa, ainda que o serviço esteja indicado no Anexo I da mesma norma. </w:t>
      </w:r>
    </w:p>
  </w:comment>
  <w:comment w:id="38" w:author="Autor" w:initials="A">
    <w:p w14:paraId="5A74B51F" w14:textId="2ABFB952" w:rsidR="00426862" w:rsidRDefault="008217C2" w:rsidP="00426862">
      <w:pPr>
        <w:pStyle w:val="Textodecomentrio"/>
      </w:pPr>
      <w:r>
        <w:rPr>
          <w:rStyle w:val="Refdecomentrio"/>
        </w:rPr>
        <w:annotationRef/>
      </w:r>
      <w:r w:rsidR="00426862">
        <w:rPr>
          <w:b/>
          <w:bCs/>
          <w:i/>
          <w:iCs/>
          <w:color w:val="000000"/>
        </w:rPr>
        <w:t>Nota Explicativa 1:</w:t>
      </w:r>
      <w:r w:rsidR="00426862">
        <w:rPr>
          <w:i/>
          <w:iCs/>
          <w:color w:val="000000"/>
        </w:rPr>
        <w:t xml:space="preserve"> Recomenda-se que seja inserida data de início e data de fim de cada etapa para que fique clara a ocorrência de eventuais atrasos.</w:t>
      </w:r>
    </w:p>
    <w:p w14:paraId="4A554B1D" w14:textId="77777777" w:rsidR="00426862" w:rsidRDefault="00426862" w:rsidP="00426862">
      <w:pPr>
        <w:pStyle w:val="Textodecomentrio"/>
      </w:pPr>
    </w:p>
    <w:p w14:paraId="452F841B" w14:textId="77777777" w:rsidR="00426862" w:rsidRDefault="00426862" w:rsidP="00426862">
      <w:pPr>
        <w:pStyle w:val="Textodecomentrio"/>
      </w:pPr>
      <w:r>
        <w:rPr>
          <w:b/>
          <w:bCs/>
          <w:i/>
          <w:iCs/>
          <w:color w:val="000000"/>
        </w:rPr>
        <w:t>Nota Explicativa 2:</w:t>
      </w:r>
      <w:r>
        <w:rPr>
          <w:i/>
          <w:iCs/>
          <w:color w:val="000000"/>
        </w:rPr>
        <w:t xml:space="preserve"> Estas previsões são meramente ilustrativas. Havendo a necessidade de alteração ou inclusão de dados para cada etapa, os subitens devem ser alterados.</w:t>
      </w:r>
    </w:p>
    <w:p w14:paraId="4AEBE137" w14:textId="77777777" w:rsidR="00426862" w:rsidRDefault="00426862" w:rsidP="00426862">
      <w:pPr>
        <w:pStyle w:val="Textodecomentrio"/>
      </w:pPr>
    </w:p>
    <w:p w14:paraId="2F25B972" w14:textId="77777777" w:rsidR="00426862" w:rsidRDefault="00426862" w:rsidP="00426862">
      <w:pPr>
        <w:pStyle w:val="Textodecomentrio"/>
      </w:pPr>
      <w:r>
        <w:rPr>
          <w:b/>
          <w:bCs/>
          <w:i/>
          <w:iCs/>
        </w:rPr>
        <w:t xml:space="preserve">Nota Explicativa 3: </w:t>
      </w:r>
      <w:r>
        <w:rPr>
          <w:i/>
          <w:iCs/>
        </w:rPr>
        <w:t>Havendo a necessidade de especificar as rotinas de trabalho, recomenda-se trazê-las em item específico, sem prejuízo da possibilidade de incluir um anexo com caderno de encargos, especificações técnicas ou documento análogo em que a forma de trabalho esperada do contratado (para além do já previsto neste instrumento) conste de forma mais detalhada.</w:t>
      </w:r>
    </w:p>
  </w:comment>
  <w:comment w:id="39" w:author="Autor" w:initials="A">
    <w:p w14:paraId="07186567" w14:textId="6B53C52A" w:rsidR="008217C2" w:rsidRDefault="008217C2" w:rsidP="007E253C">
      <w:pPr>
        <w:pStyle w:val="Textodecomentrio"/>
      </w:pPr>
      <w:r>
        <w:rPr>
          <w:rStyle w:val="Refdecomentrio"/>
        </w:rPr>
        <w:annotationRef/>
      </w:r>
      <w:r>
        <w:rPr>
          <w:b/>
          <w:bCs/>
          <w:i/>
          <w:iCs/>
          <w:color w:val="000000"/>
        </w:rPr>
        <w:t xml:space="preserve">Nota Explicativa: </w:t>
      </w:r>
      <w:r>
        <w:rPr>
          <w:i/>
          <w:iCs/>
          <w:color w:val="000000"/>
        </w:rPr>
        <w:t>Caso haja mais de um endereço, deve-se especificar. Do mesmo modo, se os endereços se modificarem conforme cada etapa/fase do serviço. Ademais, se houver a necessidade de previamente se acordar a data ou hora de prestação do serviço com o competente, deve-se especificar essa obrigação.</w:t>
      </w:r>
    </w:p>
  </w:comment>
  <w:comment w:id="40" w:author="Autor" w:initials="A">
    <w:p w14:paraId="3CBEC635" w14:textId="7643829F" w:rsidR="008217C2" w:rsidRDefault="008217C2">
      <w:r w:rsidRPr="167BC2B9">
        <w:rPr>
          <w:b/>
          <w:bCs/>
          <w:i/>
          <w:iCs/>
        </w:rPr>
        <w:t xml:space="preserve">Nota Explicativa: </w:t>
      </w:r>
      <w:r w:rsidRPr="167BC2B9">
        <w:rPr>
          <w:i/>
          <w:iCs/>
        </w:rPr>
        <w:t>Havendo a necessidade de especificar as rotinas de trabalho, recomenda-se trazê-las em item específico ou em documento anexo ao TR, com as especificações técnicas ou documento análogo em que a forma de trabalho esperada do contratado (para além do já previsto neste instrumento) conste de forma mais detalhada.</w:t>
      </w:r>
      <w:r>
        <w:annotationRef/>
      </w:r>
    </w:p>
  </w:comment>
  <w:comment w:id="41" w:author="Autor" w:initials="A">
    <w:p w14:paraId="5B45150B" w14:textId="77777777" w:rsidR="008217C2" w:rsidRDefault="008217C2" w:rsidP="007E253C">
      <w:pPr>
        <w:pStyle w:val="Textodecomentrio"/>
      </w:pPr>
      <w:r>
        <w:rPr>
          <w:rStyle w:val="Refdecomentrio"/>
        </w:rPr>
        <w:annotationRef/>
      </w:r>
      <w:r>
        <w:rPr>
          <w:b/>
          <w:bCs/>
          <w:i/>
          <w:iCs/>
          <w:color w:val="000000"/>
        </w:rPr>
        <w:t>Nota Explicativa:</w:t>
      </w:r>
      <w:r>
        <w:rPr>
          <w:i/>
          <w:iCs/>
          <w:color w:val="000000"/>
        </w:rPr>
        <w:t xml:space="preserve"> O CATMAT disponibiliza especificações técnicas de materiais com menor impacto ambiental (CATMAT Sustentável).</w:t>
      </w:r>
    </w:p>
  </w:comment>
  <w:comment w:id="42" w:author="Autor" w:initials="A">
    <w:p w14:paraId="64844ECC" w14:textId="77777777" w:rsidR="00DD4C6D" w:rsidRDefault="008217C2" w:rsidP="00625AFC">
      <w:pPr>
        <w:pStyle w:val="Textodecomentrio"/>
      </w:pPr>
      <w:r>
        <w:rPr>
          <w:rStyle w:val="Refdecomentrio"/>
        </w:rPr>
        <w:annotationRef/>
      </w:r>
      <w:r w:rsidR="00DD4C6D">
        <w:rPr>
          <w:b/>
          <w:bCs/>
          <w:i/>
          <w:iCs/>
          <w:color w:val="000000"/>
        </w:rPr>
        <w:t>Nota explicativa 1:</w:t>
      </w:r>
      <w:r w:rsidR="00DD4C6D">
        <w:rPr>
          <w:i/>
          <w:iCs/>
          <w:color w:val="000000"/>
        </w:rPr>
        <w:t xml:space="preserve"> Vale lembrar que sem o conhecimento preciso das particularidades e das necessidades do órgão, o contratado terá dificuldade para dimensionar perfeitamente sua proposta, o que poderá acarretar sérios problemas futuros na execução contratual.</w:t>
      </w:r>
    </w:p>
  </w:comment>
  <w:comment w:id="43" w:author="Autor" w:initials="A">
    <w:p w14:paraId="2E181AA0" w14:textId="77777777" w:rsidR="00FB28CF" w:rsidRDefault="00FB28CF" w:rsidP="00FB28CF">
      <w:pPr>
        <w:pStyle w:val="Textodecomentrio"/>
      </w:pPr>
      <w:r>
        <w:rPr>
          <w:rStyle w:val="Refdecomentrio"/>
        </w:rPr>
        <w:annotationRef/>
      </w:r>
      <w:r>
        <w:t>A</w:t>
      </w:r>
      <w:r>
        <w:rPr>
          <w:i/>
          <w:iCs/>
        </w:rPr>
        <w:t>rt. 46, §4º, da Lei 14.133/2021.</w:t>
      </w:r>
    </w:p>
  </w:comment>
  <w:comment w:id="44" w:author="Autor" w:initials="A">
    <w:p w14:paraId="6DC23BEC" w14:textId="77777777" w:rsidR="00FB28CF" w:rsidRDefault="00FB28CF" w:rsidP="00FB28CF">
      <w:pPr>
        <w:pStyle w:val="Textodecomentrio"/>
      </w:pPr>
      <w:r>
        <w:rPr>
          <w:rStyle w:val="Refdecomentrio"/>
        </w:rPr>
        <w:annotationRef/>
      </w:r>
      <w:r>
        <w:t>Caso haja atribuição à Contratante e ao Contratado, é necessário especificar a proporção que cabe a cada um</w:t>
      </w:r>
    </w:p>
  </w:comment>
  <w:comment w:id="45" w:author="Autor" w:initials="A">
    <w:p w14:paraId="4F81B7BB" w14:textId="77777777" w:rsidR="00FB28CF" w:rsidRDefault="00FB28CF" w:rsidP="00FB28CF">
      <w:pPr>
        <w:pStyle w:val="Textodecomentrio"/>
      </w:pPr>
      <w:r>
        <w:rPr>
          <w:rStyle w:val="Refdecomentrio"/>
        </w:rPr>
        <w:annotationRef/>
      </w:r>
      <w:r>
        <w:t xml:space="preserve">A parte responsável pelo atraso deve arcar com os prejuízos ocasionados. O objetivo dessa cláusula, contudo, é deixar claro quem será o responsável por arcar com os prejuízos quando o atraso for causado por terceiro. </w:t>
      </w:r>
    </w:p>
  </w:comment>
  <w:comment w:id="46" w:author="Autor" w:initials="A">
    <w:p w14:paraId="3E726975" w14:textId="77777777" w:rsidR="00FB28CF" w:rsidRDefault="00FB28CF" w:rsidP="00FB28CF">
      <w:pPr>
        <w:pStyle w:val="Textodecomentrio"/>
      </w:pPr>
      <w:r>
        <w:rPr>
          <w:rStyle w:val="Refdecomentrio"/>
        </w:rPr>
        <w:annotationRef/>
      </w:r>
      <w:r>
        <w:rPr>
          <w:b/>
          <w:bCs/>
          <w:i/>
          <w:iCs/>
        </w:rPr>
        <w:t xml:space="preserve">Nota Explicativa: </w:t>
      </w:r>
      <w:r>
        <w:rPr>
          <w:i/>
          <w:iCs/>
        </w:rPr>
        <w:t>Art. 46, §5º, da Lei 14.133/2021.</w:t>
      </w:r>
    </w:p>
  </w:comment>
  <w:comment w:id="47" w:author="Autor" w:initials="A">
    <w:p w14:paraId="46449641" w14:textId="77777777" w:rsidR="00FB28CF" w:rsidRDefault="00FB28CF" w:rsidP="00FB28CF">
      <w:pPr>
        <w:pStyle w:val="Textodecomentrio"/>
      </w:pPr>
      <w:r>
        <w:rPr>
          <w:rStyle w:val="Refdecomentrio"/>
        </w:rPr>
        <w:annotationRef/>
      </w:r>
      <w:r>
        <w:rPr>
          <w:b/>
          <w:bCs/>
          <w:i/>
          <w:iCs/>
        </w:rPr>
        <w:t xml:space="preserve">Nota explicativa: </w:t>
      </w:r>
      <w:r>
        <w:rPr>
          <w:i/>
          <w:iCs/>
        </w:rPr>
        <w:t>Art. 46, §5º, da Lei 14.133/2021.</w:t>
      </w:r>
    </w:p>
  </w:comment>
  <w:comment w:id="48" w:author="Autor" w:initials="A">
    <w:p w14:paraId="504512E7" w14:textId="77777777" w:rsidR="00FB28CF" w:rsidRDefault="00FB28CF" w:rsidP="00FB28CF">
      <w:pPr>
        <w:pStyle w:val="Textodecomentrio"/>
      </w:pPr>
      <w:r>
        <w:rPr>
          <w:rStyle w:val="Refdecomentrio"/>
        </w:rPr>
        <w:annotationRef/>
      </w:r>
      <w:r>
        <w:rPr>
          <w:b/>
          <w:bCs/>
          <w:i/>
          <w:iCs/>
        </w:rPr>
        <w:t xml:space="preserve">Nota Explicativa: </w:t>
      </w:r>
      <w:r>
        <w:rPr>
          <w:i/>
          <w:iCs/>
        </w:rPr>
        <w:t>Art. 46, §3º, da Lei 14.133/2021.</w:t>
      </w:r>
    </w:p>
  </w:comment>
  <w:comment w:id="49" w:author="Autor" w:initials="A">
    <w:p w14:paraId="2A9BE2E5" w14:textId="4AF35B70" w:rsidR="0050644A" w:rsidRDefault="00A074D3">
      <w:r>
        <w:annotationRef/>
      </w:r>
      <w:r w:rsidRPr="7A91A201">
        <w:rPr>
          <w:b/>
          <w:bCs/>
          <w:i/>
          <w:iCs/>
          <w:color w:val="000000"/>
        </w:rPr>
        <w:t>Nota Explicativa 1:</w:t>
      </w:r>
      <w:r w:rsidRPr="4F5203D9">
        <w:rPr>
          <w:i/>
          <w:iCs/>
          <w:color w:val="000000"/>
        </w:rPr>
        <w:t xml:space="preserve"> Fica a critério da Administração exigir - ou não - a garantia contratual do serviço ou bens empregados em sua execução, de forma complementar à garantia legal, o que pode ser feito mediante a devida fundamentação, a ser exposta neste item do Termo de Referência. Não a exigindo, deverá suprimir o item. </w:t>
      </w:r>
    </w:p>
    <w:p w14:paraId="0D51C76E" w14:textId="5DA69B77" w:rsidR="0050644A" w:rsidRDefault="0050644A"/>
    <w:p w14:paraId="255AA874" w14:textId="3A73CADC" w:rsidR="0050644A" w:rsidRDefault="00A074D3">
      <w:r w:rsidRPr="23C3F6E0">
        <w:rPr>
          <w:b/>
          <w:bCs/>
          <w:i/>
          <w:iCs/>
          <w:color w:val="000000"/>
        </w:rPr>
        <w:t>Nota Explicativa 2</w:t>
      </w:r>
      <w:r w:rsidRPr="1CE5F9CC">
        <w:rPr>
          <w:i/>
          <w:iCs/>
          <w:color w:val="000000"/>
        </w:rPr>
        <w:t xml:space="preserve">: O </w:t>
      </w:r>
      <w:r w:rsidRPr="71A4793B">
        <w:t xml:space="preserve">bookmark do </w:t>
      </w:r>
      <w:hyperlink r:id="rId64">
        <w:r w:rsidRPr="7435506D">
          <w:rPr>
            <w:rStyle w:val="Hyperlink"/>
          </w:rPr>
          <w:t>artigo 9º, inciso alínea “d” da IN Seges/ME nº 81 de 2022</w:t>
        </w:r>
      </w:hyperlink>
      <w:r w:rsidRPr="41C17D47">
        <w:rPr>
          <w:i/>
          <w:iCs/>
        </w:rPr>
        <w:t xml:space="preserve"> ex</w:t>
      </w:r>
      <w:r w:rsidRPr="0F9A21BC">
        <w:rPr>
          <w:i/>
          <w:iCs/>
          <w:color w:val="000000"/>
        </w:rPr>
        <w:t>ige a inserção no TR Digital da especificação da garantia exigida e das condições de manutenção e assistência técnica, quando for o caso.</w:t>
      </w:r>
    </w:p>
  </w:comment>
  <w:comment w:id="50" w:author="Autor" w:initials="A">
    <w:p w14:paraId="3953E4FD" w14:textId="194F8FDC" w:rsidR="008217C2" w:rsidRDefault="008217C2">
      <w:r w:rsidRPr="29D2E287">
        <w:rPr>
          <w:b/>
          <w:bCs/>
          <w:i/>
          <w:iCs/>
          <w:color w:val="000000" w:themeColor="text1"/>
        </w:rPr>
        <w:t xml:space="preserve">Nota Explicativa: </w:t>
      </w:r>
      <w:r w:rsidRPr="29D2E287">
        <w:rPr>
          <w:i/>
          <w:iCs/>
          <w:color w:val="000000" w:themeColor="text1"/>
        </w:rPr>
        <w:t>A exigência de garantia, bem como o prazo previsto devem ser justificados nos autos.</w:t>
      </w:r>
      <w:r>
        <w:annotationRef/>
      </w:r>
    </w:p>
  </w:comment>
  <w:comment w:id="51" w:author="Autor" w:initials="A">
    <w:p w14:paraId="695254DD" w14:textId="7AC40511" w:rsidR="008217C2" w:rsidRDefault="008217C2">
      <w:r w:rsidRPr="167BC2B9">
        <w:rPr>
          <w:b/>
          <w:bCs/>
          <w:i/>
          <w:iCs/>
        </w:rPr>
        <w:t xml:space="preserve">Nota explicativa: </w:t>
      </w:r>
      <w:r w:rsidRPr="167BC2B9">
        <w:rPr>
          <w:i/>
          <w:iCs/>
        </w:rPr>
        <w:t>É imprescindível que o Termo de Referência traga a descrição detalhada do uniforme a ser utilizado pelos empregados, inclusive quanto aos quantitativos necessários para a prestação do serviço, levando-se em consideração o padrão mantido pelo órgão e as condições climáticas da região no decorrer do ano. Caso se exija padrão de tecido ou material específico, também deve ser descrito em detalhes.</w:t>
      </w:r>
      <w:r>
        <w:annotationRef/>
      </w:r>
    </w:p>
    <w:p w14:paraId="3DF450C5" w14:textId="491D70F8" w:rsidR="008217C2" w:rsidRDefault="008217C2">
      <w:r w:rsidRPr="167BC2B9">
        <w:rPr>
          <w:i/>
          <w:iCs/>
        </w:rPr>
        <w:t xml:space="preserve">Sem tal detalhamento, inviabiliza-se a exigência de padrões mínimos pelo órgão contratante, seja na fase de aceitação da proposta, seja no decorrer da execução do contrato.  </w:t>
      </w:r>
    </w:p>
    <w:p w14:paraId="4FE4E736" w14:textId="079C4469" w:rsidR="008217C2" w:rsidRDefault="008217C2"/>
  </w:comment>
  <w:comment w:id="52" w:author="Autor" w:initials="A">
    <w:p w14:paraId="53A93AEB" w14:textId="74401D5E" w:rsidR="0A5ACE3A" w:rsidRDefault="0A5ACE3A">
      <w:r w:rsidRPr="0A5ACE3A">
        <w:rPr>
          <w:b/>
          <w:bCs/>
          <w:i/>
          <w:iCs/>
        </w:rPr>
        <w:t xml:space="preserve">Nota Explicativa: </w:t>
      </w:r>
      <w:r w:rsidRPr="0A5ACE3A">
        <w:rPr>
          <w:i/>
          <w:iCs/>
        </w:rPr>
        <w:t>Caso exigido, o Contratado deverá realizar a transição contratual com transferência de conhecimento, tecnologia e técnicas empregadas, sem perda de informações, podendo exigir, inclusive, a capacitação dos técnicos do contratante ou da nova empresa que continuará a execução dos serviços. Deve a Administração especificar essas exigências.</w:t>
      </w:r>
      <w:r>
        <w:annotationRef/>
      </w:r>
    </w:p>
  </w:comment>
  <w:comment w:id="53" w:author="Autor" w:initials="A">
    <w:p w14:paraId="04744DC5" w14:textId="77777777" w:rsidR="001A428A" w:rsidRDefault="00D62468" w:rsidP="00625AFC">
      <w:pPr>
        <w:pStyle w:val="Textodecomentrio"/>
      </w:pPr>
      <w:r>
        <w:rPr>
          <w:rStyle w:val="Refdecomentrio"/>
        </w:rPr>
        <w:annotationRef/>
      </w:r>
      <w:r w:rsidR="001A428A">
        <w:rPr>
          <w:b/>
          <w:bCs/>
          <w:i/>
          <w:iCs/>
        </w:rPr>
        <w:t>Nota Explicativa</w:t>
      </w:r>
      <w:r w:rsidR="001A428A">
        <w:t xml:space="preserve">: </w:t>
      </w:r>
      <w:r w:rsidR="001A428A">
        <w:rPr>
          <w:i/>
          <w:iCs/>
        </w:rPr>
        <w:t>Embora a Instrução Normativa SEGES/ME Nº 98/2022 tenha autorizado a aplicação da IN 05/2017, no que couber, é certo que a edição do Decreto nº 11.246/2022 regulamentou o tema sem distinção quanto ao tipo de contratação, devendo a regra do TR se compatibilizar aos limites do referido Decreto.</w:t>
      </w:r>
    </w:p>
  </w:comment>
  <w:comment w:id="54" w:author="Autor" w:initials="A">
    <w:p w14:paraId="3DE71A7F" w14:textId="77777777" w:rsidR="007714E5" w:rsidRDefault="00D62468">
      <w:pPr>
        <w:pStyle w:val="Textodecomentrio"/>
      </w:pPr>
      <w:r>
        <w:rPr>
          <w:rStyle w:val="Refdecomentrio"/>
        </w:rPr>
        <w:annotationRef/>
      </w:r>
      <w:r w:rsidR="007714E5">
        <w:rPr>
          <w:b/>
          <w:bCs/>
          <w:i/>
          <w:iCs/>
        </w:rPr>
        <w:t>Nota Explicativa 1</w:t>
      </w:r>
      <w:r w:rsidR="007714E5">
        <w:rPr>
          <w:i/>
          <w:iCs/>
        </w:rPr>
        <w:t>: A opção do órgão ou entidade pela exigência de manutenção do preposto da empresa no local da execução do objeto deverá ser previamente justificada, considerando a natureza dos serviços prestados e os custos que essa opção acarreta.  Apesar da redação do art. 118 da Lei 14133/21, a empresa somente deve manter preposto no local da execução do contrato se houver essa opção pela Administração. Essa interpretação consta do §4º do art. 44 da IN SEGES/MP 5/2017.</w:t>
      </w:r>
    </w:p>
    <w:p w14:paraId="65F04B0F" w14:textId="77777777" w:rsidR="007714E5" w:rsidRDefault="007714E5">
      <w:pPr>
        <w:pStyle w:val="Textodecomentrio"/>
      </w:pPr>
    </w:p>
    <w:p w14:paraId="4E7C5EE2" w14:textId="77777777" w:rsidR="007714E5" w:rsidRDefault="007714E5">
      <w:pPr>
        <w:pStyle w:val="Textodecomentrio"/>
      </w:pPr>
      <w:r>
        <w:rPr>
          <w:b/>
          <w:bCs/>
          <w:i/>
          <w:iCs/>
        </w:rPr>
        <w:t xml:space="preserve">Nota Explicativa 2: </w:t>
      </w:r>
      <w:r>
        <w:rPr>
          <w:i/>
          <w:iCs/>
        </w:rPr>
        <w:t>Em caráter excepcional, devidamente justificado e mediante autorização da autoridade competente do setor de licitações, o prazo inicial da prestação de serviços ou das suas etapas poderão sofrer alterações, desde que requerido pelo contratado antes da data prevista para o início dos serviços ou das respectivas etapas, cumpridas as formalidades exigidas pela legislação.</w:t>
      </w:r>
    </w:p>
    <w:p w14:paraId="1450D52D" w14:textId="77777777" w:rsidR="007714E5" w:rsidRDefault="007714E5">
      <w:pPr>
        <w:pStyle w:val="Textodecomentrio"/>
      </w:pPr>
    </w:p>
    <w:p w14:paraId="4281B798" w14:textId="77777777" w:rsidR="007714E5" w:rsidRDefault="007714E5" w:rsidP="00625AFC">
      <w:pPr>
        <w:pStyle w:val="Textodecomentrio"/>
      </w:pPr>
      <w:r>
        <w:rPr>
          <w:b/>
          <w:bCs/>
          <w:i/>
          <w:iCs/>
        </w:rPr>
        <w:t>Nota Explicativa 3</w:t>
      </w:r>
      <w:r>
        <w:rPr>
          <w:i/>
          <w:iCs/>
        </w:rPr>
        <w:t>: Na análise do pedido de que trata o item anterior, a Administração deverá observar se o seu acolhimento não viola as regras do ato convocatório, a isonomia, o interesse público ou qualidade da execução do objeto, devendo ficar registrado que os pagamentos serão realizados em conformidade com a efetiva prestação dos serviços.</w:t>
      </w:r>
    </w:p>
  </w:comment>
  <w:comment w:id="55" w:author="Autor" w:initials="A">
    <w:p w14:paraId="18FF8E6C" w14:textId="77777777" w:rsidR="008217C2" w:rsidRDefault="008217C2" w:rsidP="007E253C">
      <w:pPr>
        <w:pStyle w:val="Textodecomentrio"/>
      </w:pPr>
      <w:r>
        <w:rPr>
          <w:rStyle w:val="Refdecomentrio"/>
        </w:rPr>
        <w:annotationRef/>
      </w:r>
      <w:r>
        <w:rPr>
          <w:b/>
          <w:bCs/>
          <w:i/>
          <w:iCs/>
          <w:color w:val="000000"/>
        </w:rPr>
        <w:t xml:space="preserve">Nota Explicativa: </w:t>
      </w:r>
      <w:r>
        <w:rPr>
          <w:i/>
          <w:iCs/>
          <w:color w:val="000000"/>
        </w:rPr>
        <w:t xml:space="preserve">Os gestores e fiscais do contrato serão designados pela autoridade máxima do órgão ou da entidade, ou a quem as normas de organização administrativa indicarem, na forma do </w:t>
      </w:r>
      <w:hyperlink r:id="rId65" w:anchor="art7" w:history="1">
        <w:r w:rsidRPr="00761BF5">
          <w:rPr>
            <w:rStyle w:val="Hyperlink"/>
            <w:i/>
            <w:iCs/>
          </w:rPr>
          <w:t>art. 7º da Lei nº 14.133, de 2021</w:t>
        </w:r>
      </w:hyperlink>
      <w:r>
        <w:rPr>
          <w:i/>
          <w:iCs/>
          <w:color w:val="000000"/>
        </w:rPr>
        <w:t xml:space="preserve">, e </w:t>
      </w:r>
      <w:hyperlink r:id="rId66" w:history="1">
        <w:r w:rsidRPr="00761BF5">
          <w:rPr>
            <w:rStyle w:val="Hyperlink"/>
            <w:i/>
            <w:iCs/>
          </w:rPr>
          <w:t>art. 8º do Decreto nº 11.246, de 2022</w:t>
        </w:r>
      </w:hyperlink>
      <w:r>
        <w:rPr>
          <w:i/>
          <w:iCs/>
          <w:color w:val="000000"/>
        </w:rPr>
        <w:t>, devendo a Administração instruir os autos com as publicações dos atos de designação dos agentes públicos para o exercício dessas funções.</w:t>
      </w:r>
    </w:p>
  </w:comment>
  <w:comment w:id="56" w:author="Autor" w:initials="A">
    <w:p w14:paraId="079C8955" w14:textId="77777777" w:rsidR="009C3D26" w:rsidRDefault="0034596F" w:rsidP="009C3D26">
      <w:pPr>
        <w:pStyle w:val="Textodecomentrio"/>
      </w:pPr>
      <w:r>
        <w:rPr>
          <w:rStyle w:val="Refdecomentrio"/>
        </w:rPr>
        <w:annotationRef/>
      </w:r>
      <w:r w:rsidR="009C3D26">
        <w:rPr>
          <w:b/>
          <w:bCs/>
        </w:rPr>
        <w:t>Nota explicativa</w:t>
      </w:r>
      <w:r w:rsidR="009C3D26">
        <w:rPr>
          <w:i/>
          <w:iCs/>
        </w:rPr>
        <w:t>: As disposições a seguir decorrem das regras e procedimentos para a possibilidade de compensação de jornada nos contratos de prestação de serviços contínuos, com regime de dedicação exclusiva de mão de obra, no âmbito da administração pública federal direta, autárquica e fundacional, dispostos no Decreto nº 12.174, de 2024, e na Instrução Normativa Seges/MGI nº 81, de 12 de setembro de 2024.</w:t>
      </w:r>
    </w:p>
  </w:comment>
  <w:comment w:id="57" w:author="Autor" w:initials="A">
    <w:p w14:paraId="4123023B" w14:textId="05857213" w:rsidR="00E97671" w:rsidRDefault="006F07A6" w:rsidP="00E97671">
      <w:pPr>
        <w:pStyle w:val="Textodecomentrio"/>
      </w:pPr>
      <w:r>
        <w:rPr>
          <w:rStyle w:val="Refdecomentrio"/>
        </w:rPr>
        <w:annotationRef/>
      </w:r>
      <w:r w:rsidR="00E97671">
        <w:rPr>
          <w:b/>
          <w:bCs/>
          <w:i/>
          <w:iCs/>
        </w:rPr>
        <w:t xml:space="preserve">Nota Explicativa: </w:t>
      </w:r>
      <w:r w:rsidR="00E97671">
        <w:rPr>
          <w:i/>
          <w:iCs/>
        </w:rPr>
        <w:t xml:space="preserve">Incluir as disposições a seguir caso se trate da contratação de serviços com dedicação exclusiva de mão de obra. </w:t>
      </w:r>
    </w:p>
  </w:comment>
  <w:comment w:id="60" w:author="Autor" w:initials="A">
    <w:p w14:paraId="77A4D8EB" w14:textId="77777777" w:rsidR="009C3D26" w:rsidRDefault="00A32D8B" w:rsidP="009C3D26">
      <w:pPr>
        <w:pStyle w:val="Textodecomentrio"/>
      </w:pPr>
      <w:r>
        <w:rPr>
          <w:rStyle w:val="Refdecomentrio"/>
        </w:rPr>
        <w:annotationRef/>
      </w:r>
      <w:r w:rsidR="009C3D26">
        <w:rPr>
          <w:b/>
          <w:bCs/>
        </w:rPr>
        <w:t>Nota Explicativa:</w:t>
      </w:r>
      <w:r w:rsidR="009C3D26">
        <w:t xml:space="preserve"> </w:t>
      </w:r>
      <w:r w:rsidR="009C3D26">
        <w:rPr>
          <w:i/>
          <w:iCs/>
        </w:rPr>
        <w:t>A disposição decorre da tese fixada pelo Supremo Tribunal Federal, no âmbito do Tema 1118, de repercussão geral, no sentido de que, nos contratos de terceirização, a Administração Pública deverá exigir da contratada a comprovação de capital social integralizado compatível com o número de empregados, na forma do art. 4º-B da Lei nº 6.019/1974, a fim de evitar eventual responsabilização subsidiária por encargos trabalhistas gerados pelo inadimplemento de empresa prestadora de serviços.</w:t>
      </w:r>
    </w:p>
  </w:comment>
  <w:comment w:id="61" w:author="Autor" w:initials="A">
    <w:p w14:paraId="1926D062" w14:textId="4C05C53E" w:rsidR="009C3D26" w:rsidRDefault="00644F3F" w:rsidP="009C3D26">
      <w:pPr>
        <w:pStyle w:val="Textodecomentrio"/>
      </w:pPr>
      <w:r>
        <w:rPr>
          <w:rStyle w:val="Refdecomentrio"/>
        </w:rPr>
        <w:annotationRef/>
      </w:r>
      <w:r w:rsidR="009C3D26">
        <w:rPr>
          <w:b/>
          <w:bCs/>
          <w:i/>
          <w:iCs/>
        </w:rPr>
        <w:t>Nota Explicativa</w:t>
      </w:r>
      <w:r w:rsidR="009C3D26">
        <w:rPr>
          <w:i/>
          <w:iCs/>
        </w:rPr>
        <w:t xml:space="preserve">: Caso se trate da contratação de serviços de </w:t>
      </w:r>
      <w:r w:rsidR="009C3D26">
        <w:rPr>
          <w:b/>
          <w:bCs/>
          <w:i/>
          <w:iCs/>
        </w:rPr>
        <w:t>vigilância e transporte de valores</w:t>
      </w:r>
      <w:r w:rsidR="009C3D26">
        <w:rPr>
          <w:i/>
          <w:iCs/>
        </w:rPr>
        <w:t xml:space="preserve">, deverá ser adotada a </w:t>
      </w:r>
      <w:r w:rsidR="009C3D26">
        <w:rPr>
          <w:b/>
          <w:bCs/>
          <w:i/>
          <w:iCs/>
        </w:rPr>
        <w:t>segunda opção</w:t>
      </w:r>
      <w:r w:rsidR="009C3D26">
        <w:rPr>
          <w:i/>
          <w:iCs/>
        </w:rPr>
        <w:t xml:space="preserve"> de redação para o item, uma vez que a exigência de capital social mínimo integralizado, em hipóteses tais, deverá observar o disposto no art. 14 da Lei n.º 14.967, de 9 de setembro de 2024, que institui o Estatuto da Segurança Privada e da Segurança das Instituições Financeiras. </w:t>
      </w:r>
    </w:p>
  </w:comment>
  <w:comment w:id="64" w:author="Autor" w:initials="A">
    <w:p w14:paraId="3117378D" w14:textId="304C1061" w:rsidR="00E951ED" w:rsidRDefault="00D62468" w:rsidP="00625AFC">
      <w:pPr>
        <w:pStyle w:val="Textodecomentrio"/>
      </w:pPr>
      <w:r>
        <w:rPr>
          <w:rStyle w:val="Refdecomentrio"/>
        </w:rPr>
        <w:annotationRef/>
      </w:r>
      <w:r w:rsidR="00E951ED">
        <w:rPr>
          <w:b/>
          <w:bCs/>
          <w:i/>
          <w:iCs/>
        </w:rPr>
        <w:t>Nota Explicativa</w:t>
      </w:r>
      <w:r w:rsidR="00E951ED">
        <w:rPr>
          <w:i/>
          <w:iCs/>
        </w:rPr>
        <w:t xml:space="preserve">: A Administração não pode obrigar o empregado a fornecer a quitação do art. 507-B da CLT, de modo que a obrigação em questão é para que a empresa envide esforços nesse sentido. </w:t>
      </w:r>
    </w:p>
  </w:comment>
  <w:comment w:id="65" w:author="Autor" w:initials="A">
    <w:p w14:paraId="32614D94" w14:textId="77777777" w:rsidR="00610CC5" w:rsidRDefault="00D62468">
      <w:pPr>
        <w:pStyle w:val="Textodecomentrio"/>
      </w:pPr>
      <w:r>
        <w:rPr>
          <w:rStyle w:val="Refdecomentrio"/>
        </w:rPr>
        <w:annotationRef/>
      </w:r>
      <w:r w:rsidR="00610CC5">
        <w:rPr>
          <w:b/>
          <w:bCs/>
          <w:i/>
          <w:iCs/>
        </w:rPr>
        <w:t xml:space="preserve">Nota Explicativa: </w:t>
      </w:r>
      <w:r w:rsidR="00610CC5">
        <w:rPr>
          <w:i/>
          <w:iCs/>
        </w:rPr>
        <w:t>Conforme PARECER n. 00002/2023/DECOR/CGU/AGU, aprovado pelo DESPACHO DE APROVAÇÃO n. 00006/2023/SGPP/CGU/AGU, “...considera-se de difícil superação que as cooperativas, mesmo sob a lógica da nova lei, venham a participar de modo geral dos certames licitatórios para prestar serviços contínuos com regime de dedicação exclusiva de mão de obra, cujas características encontram-se bem delineadas no artigo 6º, XVI, da Lei nº 14.133/2021, ou seja, em que modelo de execução contratual exija entre outros requisitos, que</w:t>
      </w:r>
    </w:p>
    <w:p w14:paraId="59E9FDD5" w14:textId="77777777" w:rsidR="00610CC5" w:rsidRDefault="00610CC5">
      <w:pPr>
        <w:pStyle w:val="Textodecomentrio"/>
      </w:pPr>
      <w:r>
        <w:rPr>
          <w:i/>
          <w:iCs/>
        </w:rPr>
        <w:t xml:space="preserve">    a) os empregados do contratado fiquem à disposição nas dependências do contratante para a prestação dos serviços;</w:t>
      </w:r>
    </w:p>
    <w:p w14:paraId="00BBB0C5" w14:textId="77777777" w:rsidR="00610CC5" w:rsidRDefault="00610CC5">
      <w:pPr>
        <w:pStyle w:val="Textodecomentrio"/>
      </w:pPr>
      <w:r>
        <w:rPr>
          <w:i/>
          <w:iCs/>
        </w:rPr>
        <w:t xml:space="preserve">    b) o contratado não compartilhe os recursos humanos e materiais disponíveis de uma contratação para execução simultânea de outros contratos;</w:t>
      </w:r>
    </w:p>
    <w:p w14:paraId="3B79279E" w14:textId="77777777" w:rsidR="00610CC5" w:rsidRDefault="00610CC5">
      <w:pPr>
        <w:pStyle w:val="Textodecomentrio"/>
      </w:pPr>
      <w:r>
        <w:rPr>
          <w:i/>
          <w:iCs/>
        </w:rPr>
        <w:t xml:space="preserve">    c) o contratado possibilite a fiscalização pelo contratante quanto à distribuição, controle e supervisão dos recursos humanos alocados aos seus contratos.</w:t>
      </w:r>
    </w:p>
    <w:p w14:paraId="4424375D" w14:textId="77777777" w:rsidR="00610CC5" w:rsidRDefault="00610CC5" w:rsidP="007C4769">
      <w:pPr>
        <w:pStyle w:val="Textodecomentrio"/>
      </w:pPr>
      <w:r>
        <w:rPr>
          <w:i/>
          <w:iCs/>
        </w:rPr>
        <w:t>Dessa forma, o art. 16 da Lei nº 14.133/2021 deve ser interpretado sistematicamente, de acordo com o arcabouço jurídico que envolve a matéria das Cooperativas, não tendo o condão de afastar a aplicabilidade do Termo de Conciliação firmado entre Ministério Público do Trabalho - MPT e a Advocacia Geral da União – AGU.” Em razão desse entendimento, foi suprimida a disposição que tratava da documentação referente às sociedades cooperativas no presente modelo.</w:t>
      </w:r>
    </w:p>
  </w:comment>
  <w:comment w:id="66" w:author="Autor" w:initials="A">
    <w:p w14:paraId="39A266B7" w14:textId="77777777" w:rsidR="009C3D26" w:rsidRDefault="007B3E1D" w:rsidP="009C3D26">
      <w:pPr>
        <w:pStyle w:val="Textodecomentrio"/>
      </w:pPr>
      <w:r>
        <w:rPr>
          <w:rStyle w:val="Refdecomentrio"/>
        </w:rPr>
        <w:annotationRef/>
      </w:r>
      <w:r w:rsidR="009C3D26">
        <w:rPr>
          <w:b/>
          <w:bCs/>
          <w:i/>
          <w:iCs/>
        </w:rPr>
        <w:t>Nota explicativa</w:t>
      </w:r>
      <w:r w:rsidR="009C3D26">
        <w:rPr>
          <w:i/>
          <w:iCs/>
        </w:rPr>
        <w:t>: A compensação de jornada de trabalho deverá ser pautada em critérios de conveniência e oportunidade e não será considerada viável, nos termos do artigo 5º da Instrução Normativa Seges/MGI nº 81, de 12 de setembro de 2024, quando:</w:t>
      </w:r>
    </w:p>
    <w:p w14:paraId="264B54EC" w14:textId="77777777" w:rsidR="009C3D26" w:rsidRDefault="009C3D26" w:rsidP="009C3D26">
      <w:pPr>
        <w:pStyle w:val="Textodecomentrio"/>
      </w:pPr>
      <w:r>
        <w:rPr>
          <w:i/>
          <w:iCs/>
          <w:color w:val="555555"/>
        </w:rPr>
        <w:t>I</w:t>
      </w:r>
      <w:r>
        <w:rPr>
          <w:i/>
          <w:iCs/>
        </w:rPr>
        <w:t xml:space="preserve"> - implicar aumento de custos do contrato;</w:t>
      </w:r>
    </w:p>
    <w:p w14:paraId="33059E6D" w14:textId="77777777" w:rsidR="009C3D26" w:rsidRDefault="009C3D26" w:rsidP="009C3D26">
      <w:pPr>
        <w:pStyle w:val="Textodecomentrio"/>
      </w:pPr>
      <w:r>
        <w:rPr>
          <w:i/>
          <w:iCs/>
        </w:rPr>
        <w:t>II - demandar o acionamento de trabalhador substituto para cobrir a ausência do solicitante;</w:t>
      </w:r>
    </w:p>
    <w:p w14:paraId="799B9A61" w14:textId="77777777" w:rsidR="009C3D26" w:rsidRDefault="009C3D26" w:rsidP="009C3D26">
      <w:pPr>
        <w:pStyle w:val="Textodecomentrio"/>
      </w:pPr>
      <w:r>
        <w:rPr>
          <w:i/>
          <w:iCs/>
        </w:rPr>
        <w:t>III - o trabalhador tiver direito à falta justificada pelo motivo indicado para a compensação;</w:t>
      </w:r>
    </w:p>
    <w:p w14:paraId="617E72D2" w14:textId="77777777" w:rsidR="009C3D26" w:rsidRDefault="009C3D26" w:rsidP="009C3D26">
      <w:pPr>
        <w:pStyle w:val="Textodecomentrio"/>
      </w:pPr>
      <w:r>
        <w:rPr>
          <w:i/>
          <w:iCs/>
        </w:rPr>
        <w:t>IV - implicar compensação acima dos limites permitidos pela legislação trabalhista; ou</w:t>
      </w:r>
    </w:p>
    <w:p w14:paraId="4673EE9A" w14:textId="77777777" w:rsidR="009C3D26" w:rsidRDefault="009C3D26" w:rsidP="009C3D26">
      <w:pPr>
        <w:pStyle w:val="Textodecomentrio"/>
      </w:pPr>
      <w:r>
        <w:rPr>
          <w:i/>
          <w:iCs/>
        </w:rPr>
        <w:t>V - conflitar com a legislação trabalhista vigente, convenções coletivas, acordos coletivos ou dissídios coletivos da categoria.</w:t>
      </w:r>
    </w:p>
  </w:comment>
  <w:comment w:id="67" w:author="Autor" w:initials="A">
    <w:p w14:paraId="75C6B81C" w14:textId="77777777" w:rsidR="0052128D" w:rsidRDefault="0052128D" w:rsidP="0052128D">
      <w:pPr>
        <w:pStyle w:val="Textodecomentrio"/>
      </w:pPr>
      <w:r>
        <w:rPr>
          <w:rStyle w:val="Refdecomentrio"/>
        </w:rPr>
        <w:annotationRef/>
      </w:r>
      <w:r>
        <w:rPr>
          <w:b/>
          <w:bCs/>
        </w:rPr>
        <w:t>Nota Explicativa:</w:t>
      </w:r>
      <w:r>
        <w:t xml:space="preserve"> As disposições a seguir decorrem das regras e procedimentos administrativos para a organização e a previsibilidade das férias dos colaboradores terceirizados nos contratos de prestação de serviços com regime de dedicação exclusiva de mão de obra, no âmbito da administração pública federal direta, autárquica e fundacional, dispostos no Decreto nº 12.174, de 2024, e na Instrução Normativa Seges/MGI nº 213, de 29 de maio de 2025.</w:t>
      </w:r>
    </w:p>
    <w:p w14:paraId="5B5FAE8B" w14:textId="77777777" w:rsidR="0052128D" w:rsidRDefault="0052128D" w:rsidP="0052128D">
      <w:pPr>
        <w:pStyle w:val="Textodecomentrio"/>
      </w:pPr>
      <w:r>
        <w:t>Segundo a referida Instrução Normativa, o planejamento das férias será elaborado considerando a vigência contratual, as especificidades e rotinas do serviço contratado, a legislação aplicável e a utilização e manutenção dos valores alocados na planilha de custos, privilegiando a possibilidade de os colaboradores terceirizados se organizarem para o período de fruição. Além disso, e respeitado o poder diretivo e gerencial da contratada e as necessidades do serviço, deverão ser considerados (i) o apoio à parentalidade, conforme disposto no art. 8º da Lei n.º 14.457, de 21 de setembro de 2022;</w:t>
      </w:r>
      <w:r>
        <w:br/>
        <w:t>(ii) o público prioritário da Política Nacional de Cuidados, conforme disposto nos incisos I, II e III do art. 8º da Lei 15.069, de 23 de dezembro de 2024; e</w:t>
      </w:r>
      <w:r>
        <w:br/>
        <w:t>(iii) o entendimento mútuo entre a contratada e o colaborador terceirizado, sempre que possível.</w:t>
      </w:r>
    </w:p>
  </w:comment>
  <w:comment w:id="68" w:author="Autor" w:initials="A">
    <w:p w14:paraId="0E1F1A6F" w14:textId="71A83905" w:rsidR="009C3D26" w:rsidRDefault="00C22F75" w:rsidP="009C3D26">
      <w:pPr>
        <w:pStyle w:val="Textodecomentrio"/>
      </w:pPr>
      <w:r>
        <w:rPr>
          <w:rStyle w:val="Refdecomentrio"/>
        </w:rPr>
        <w:annotationRef/>
      </w:r>
      <w:r w:rsidR="009C3D26">
        <w:rPr>
          <w:b/>
          <w:bCs/>
          <w:i/>
          <w:iCs/>
        </w:rPr>
        <w:t>Nota explicativa:</w:t>
      </w:r>
      <w:r w:rsidR="009C3D26">
        <w:rPr>
          <w:i/>
          <w:iCs/>
        </w:rPr>
        <w:t xml:space="preserve"> A disposição decorre da tese fixada pelo Supremo Tribunal Federal, no âmbito do Tema 1118, de repercussão geral, no sentido de que “Haverá comportamento negligente quando a Administração Pública permanecer inerte após o recebimento de notificação formal de que a empresa contratada está descumprindo suas obrigações trabalhistas, enviada pelo trabalhador, sindicato, Ministério do Trabalho, Ministério Público, Defensoria Pública ou outro meio idôneo”. </w:t>
      </w:r>
    </w:p>
  </w:comment>
  <w:comment w:id="69" w:author="Autor" w:initials="A">
    <w:p w14:paraId="6AE50C7A" w14:textId="0B2CEE27" w:rsidR="008217C2" w:rsidRDefault="008217C2">
      <w:r w:rsidRPr="13810967">
        <w:rPr>
          <w:b/>
          <w:bCs/>
          <w:i/>
          <w:iCs/>
          <w:color w:val="000000" w:themeColor="text1"/>
        </w:rPr>
        <w:t xml:space="preserve">Nota Explicativa: </w:t>
      </w:r>
      <w:r w:rsidRPr="13810967">
        <w:rPr>
          <w:i/>
          <w:iCs/>
          <w:color w:val="000000" w:themeColor="text1"/>
        </w:rPr>
        <w:t>Foi adotada a modelagem da IN</w:t>
      </w:r>
      <w:r>
        <w:rPr>
          <w:i/>
          <w:iCs/>
          <w:color w:val="000000" w:themeColor="text1"/>
        </w:rPr>
        <w:t xml:space="preserve"> </w:t>
      </w:r>
      <w:r w:rsidRPr="13810967">
        <w:rPr>
          <w:i/>
          <w:iCs/>
          <w:color w:val="000000" w:themeColor="text1"/>
        </w:rPr>
        <w:t>05/2017 em razão da possibilidade conferida pela IN 98/2022.</w:t>
      </w:r>
      <w:r>
        <w:annotationRef/>
      </w:r>
      <w:r>
        <w:annotationRef/>
      </w:r>
    </w:p>
  </w:comment>
  <w:comment w:id="70" w:author="Autor" w:initials="A">
    <w:p w14:paraId="29E007DA" w14:textId="77777777" w:rsidR="00610CC5" w:rsidRDefault="00075836">
      <w:pPr>
        <w:pStyle w:val="Textodecomentrio"/>
      </w:pPr>
      <w:r>
        <w:rPr>
          <w:rStyle w:val="Refdecomentrio"/>
        </w:rPr>
        <w:annotationRef/>
      </w:r>
      <w:r w:rsidR="00610CC5">
        <w:rPr>
          <w:b/>
          <w:bCs/>
          <w:i/>
          <w:iCs/>
        </w:rPr>
        <w:t>Nota Explicativa 1</w:t>
      </w:r>
      <w:r w:rsidR="00610CC5">
        <w:rPr>
          <w:i/>
          <w:iCs/>
        </w:rPr>
        <w:t>: A execução dos contratos deve ser acompanhada por meio de instrumentos de controle que permitam a mensuração de resultados e adequação do objeto prestado. Estes instrumentos de controle, o Instrumento de Medição de Resultado (IMR) ou instrumento equivalente, foram idealizados, inicialmente, para contratos de prestação de serviços como mecanismo de monitoramento e mensuração da qualidade e pontualidade na prestação dos serviços e, consequentemente, como forma de adequar os valores devidos como pagamento aos índices de qualidade verificados.</w:t>
      </w:r>
    </w:p>
    <w:p w14:paraId="129A1189" w14:textId="77777777" w:rsidR="00610CC5" w:rsidRDefault="00610CC5">
      <w:pPr>
        <w:pStyle w:val="Textodecomentrio"/>
      </w:pPr>
      <w:r>
        <w:rPr>
          <w:i/>
          <w:iCs/>
        </w:rPr>
        <w:t xml:space="preserve">Contudo, para correta aplicação da regra insculpida acima, é necessário que o órgão estabeleça quais são os critérios de </w:t>
      </w:r>
    </w:p>
    <w:p w14:paraId="3B9F785B" w14:textId="77777777" w:rsidR="00610CC5" w:rsidRDefault="00610CC5">
      <w:pPr>
        <w:pStyle w:val="Textodecomentrio"/>
      </w:pPr>
      <w:r>
        <w:rPr>
          <w:i/>
          <w:iCs/>
        </w:rPr>
        <w:t>avaliação e os devidos parâmetros, de forma a se obter uma fórmula que permita quantificar o grau de satisfação na execução do objeto contratado, e, consequentemente, o montante devido em pagamento. Sem o devido estabelecimento dos critérios e parâmetros de avaliação dos itens previstos no artigo, a cláusula torna-se inexequível, absolutamente destituída de efeitos. Consequentemente, para que seja possível efetuar os descontos ou adequações no montante a ser pago ao contratado, é necessário definir, objetivamente, quais os parâmetros para mensuração do percentual do pagamento devido em razão dos níveis esperados de qualidade da prestação do serviço.</w:t>
      </w:r>
    </w:p>
    <w:p w14:paraId="6FD90EC0" w14:textId="77777777" w:rsidR="00610CC5" w:rsidRDefault="00610CC5">
      <w:pPr>
        <w:pStyle w:val="Textodecomentrio"/>
      </w:pPr>
    </w:p>
    <w:p w14:paraId="7517D7D4" w14:textId="77777777" w:rsidR="00610CC5" w:rsidRDefault="00610CC5">
      <w:pPr>
        <w:pStyle w:val="Textodecomentrio"/>
      </w:pPr>
      <w:r>
        <w:rPr>
          <w:b/>
          <w:bCs/>
          <w:i/>
          <w:iCs/>
        </w:rPr>
        <w:t>Nota Explicativa 2:</w:t>
      </w:r>
      <w:r>
        <w:rPr>
          <w:i/>
          <w:iCs/>
        </w:rPr>
        <w:t xml:space="preserve"> Caso o órgão não tenha elaborado o IMR, deverá suprimir os trechos em itálico que fazem referência a ele.</w:t>
      </w:r>
    </w:p>
    <w:p w14:paraId="2EBFD86D" w14:textId="77777777" w:rsidR="00610CC5" w:rsidRDefault="00610CC5">
      <w:pPr>
        <w:pStyle w:val="Textodecomentrio"/>
      </w:pPr>
    </w:p>
    <w:p w14:paraId="10DEA38B" w14:textId="77777777" w:rsidR="00610CC5" w:rsidRDefault="00610CC5">
      <w:pPr>
        <w:pStyle w:val="Textodecomentrio"/>
      </w:pPr>
      <w:r>
        <w:rPr>
          <w:b/>
          <w:bCs/>
          <w:i/>
          <w:iCs/>
        </w:rPr>
        <w:t>Nota Explicativa 3:</w:t>
      </w:r>
      <w:r>
        <w:rPr>
          <w:i/>
          <w:iCs/>
        </w:rPr>
        <w:t xml:space="preserve"> Muito embora a IN SEGES/MP n.º 05/2017 estabeleça, como regra, a necessidade de aferição do serviço para pagamento com base em resultados, admite a norma, excepcionalmente, a adoção de critério de remuneração do contratado por postos de trabalho, o que é prática comum quando se trata de serviços contínuos executados em regime de dedicação exclusiva de mão de obra. </w:t>
      </w:r>
    </w:p>
    <w:p w14:paraId="6EC4B2A4" w14:textId="77777777" w:rsidR="00610CC5" w:rsidRDefault="00610CC5" w:rsidP="007C4769">
      <w:pPr>
        <w:pStyle w:val="Textodecomentrio"/>
      </w:pPr>
      <w:r>
        <w:rPr>
          <w:i/>
          <w:iCs/>
        </w:rPr>
        <w:t>Em situações tais, a Administração deverá justificar a inviabilidade de adotar critério de mensuração dos resultados para o pagamento do contratado, definindo o método de cálculo para quantidades e tipos de postos necessários à contratação. Além disso, na adoção de postos de trabalho, admite-se a flexibilização da execução da atividade ao longo do horário de expediente, vedando-se, por outro lado, a realização de horas extras ou pagamento de adicionais não previstos nem estimados originariamente no ato convocatório ou termo de referência.</w:t>
      </w:r>
    </w:p>
  </w:comment>
  <w:comment w:id="71" w:author="Autor" w:initials="A">
    <w:p w14:paraId="7D017D01" w14:textId="77777777" w:rsidR="009C3D26" w:rsidRDefault="009C3D26" w:rsidP="009C3D26">
      <w:pPr>
        <w:pStyle w:val="Textodecomentrio"/>
      </w:pPr>
      <w:r>
        <w:rPr>
          <w:rStyle w:val="Refdecomentrio"/>
        </w:rPr>
        <w:annotationRef/>
      </w:r>
      <w:r>
        <w:rPr>
          <w:b/>
          <w:bCs/>
          <w:i/>
          <w:iCs/>
        </w:rPr>
        <w:t xml:space="preserve">Nota Explicativa: </w:t>
      </w:r>
      <w:r>
        <w:rPr>
          <w:i/>
          <w:iCs/>
        </w:rPr>
        <w:t>Art. 46, §9º, da Lei 14.133/2021.</w:t>
      </w:r>
    </w:p>
  </w:comment>
  <w:comment w:id="72" w:author="Autor" w:initials="A">
    <w:p w14:paraId="56687972" w14:textId="2C863180" w:rsidR="008217C2" w:rsidRDefault="008217C2" w:rsidP="00DD0154">
      <w:pPr>
        <w:pStyle w:val="Textodecomentrio"/>
      </w:pPr>
      <w:r>
        <w:rPr>
          <w:b/>
          <w:bCs/>
          <w:i/>
          <w:iCs/>
          <w:color w:val="000000"/>
        </w:rPr>
        <w:t>Nota Explicativa:</w:t>
      </w:r>
      <w:r>
        <w:rPr>
          <w:i/>
          <w:iCs/>
          <w:color w:val="000000"/>
        </w:rPr>
        <w:t xml:space="preserve"> </w:t>
      </w:r>
      <w:r w:rsidRPr="167BC2B9">
        <w:rPr>
          <w:i/>
          <w:iCs/>
          <w:color w:val="000000" w:themeColor="text1"/>
        </w:rPr>
        <w:t xml:space="preserve"> Questões a serem consideradas na definição do IMR: </w:t>
      </w:r>
      <w:r>
        <w:annotationRef/>
      </w:r>
    </w:p>
    <w:p w14:paraId="6A3EC923" w14:textId="63D5EB68" w:rsidR="008217C2" w:rsidRDefault="008217C2">
      <w:r w:rsidRPr="167BC2B9">
        <w:rPr>
          <w:i/>
          <w:iCs/>
          <w:color w:val="000000" w:themeColor="text1"/>
        </w:rPr>
        <w:t>a) unidade de medida para faturamento e mensuração do resultado;</w:t>
      </w:r>
    </w:p>
    <w:p w14:paraId="5B81E9CF" w14:textId="494AABE6" w:rsidR="008217C2" w:rsidRDefault="008217C2">
      <w:r w:rsidRPr="167BC2B9">
        <w:rPr>
          <w:i/>
          <w:iCs/>
          <w:color w:val="000000" w:themeColor="text1"/>
        </w:rPr>
        <w:t>b) produtividade de referência ou critérios de qualidade para a execução contratual;</w:t>
      </w:r>
    </w:p>
    <w:p w14:paraId="0E74CF80" w14:textId="2E5E060A" w:rsidR="008217C2" w:rsidRDefault="008217C2">
      <w:r w:rsidRPr="167BC2B9">
        <w:rPr>
          <w:i/>
          <w:iCs/>
          <w:color w:val="000000" w:themeColor="text1"/>
        </w:rPr>
        <w:t>c) indicadores mínimos de desempenho para aceitação do serviço ou eventual glosa.</w:t>
      </w:r>
    </w:p>
  </w:comment>
  <w:comment w:id="73" w:author="Autor" w:initials="A">
    <w:p w14:paraId="010F7C1E" w14:textId="77777777" w:rsidR="00F508B3" w:rsidRDefault="008217C2" w:rsidP="00F508B3">
      <w:pPr>
        <w:pStyle w:val="Textodecomentrio"/>
      </w:pPr>
      <w:r>
        <w:rPr>
          <w:rStyle w:val="Refdecomentrio"/>
        </w:rPr>
        <w:annotationRef/>
      </w:r>
      <w:r w:rsidR="00F508B3">
        <w:rPr>
          <w:b/>
          <w:bCs/>
          <w:i/>
          <w:iCs/>
          <w:color w:val="000000"/>
        </w:rPr>
        <w:t xml:space="preserve">Nota Explicativa 1: </w:t>
      </w:r>
      <w:r w:rsidR="00F508B3">
        <w:rPr>
          <w:i/>
          <w:iCs/>
          <w:color w:val="000000"/>
        </w:rPr>
        <w:t xml:space="preserve">Ao contrário da Lei nº 8.666/93, a Lei nº 14.133/21 não trouxe prazo máximo de recebimento provisório ou definitivo, e o </w:t>
      </w:r>
      <w:hyperlink r:id="rId67" w:anchor="art25" w:history="1">
        <w:r w:rsidR="00F508B3" w:rsidRPr="0055323C">
          <w:rPr>
            <w:rStyle w:val="Hyperlink"/>
            <w:i/>
            <w:iCs/>
          </w:rPr>
          <w:t>parágrafo único do art. 25 Decreto nº 11.246, de 2022</w:t>
        </w:r>
      </w:hyperlink>
      <w:r w:rsidR="00F508B3">
        <w:rPr>
          <w:i/>
          <w:iCs/>
          <w:color w:val="000000"/>
        </w:rPr>
        <w:t xml:space="preserve"> expressamente remete a regulamento (ainda não editado) ou ao contrato. Assim, necessário estabelecer o prazo julgado adequado. Dito isso, o tempo discorrido para todas as providências burocráticas até o efetivo pagamento é disposição de grande importância para o futuro contratado e um período muito alargado pode tornar a contratação desinteressante por ser muito onerosa financeiramente. Desse modo, recomenda-se que o prazo seja dimensionado para que corresponda ao período razoável à checagem necessária, sem que traga um ônus excessivo que venha a afastar potenciais interessados.</w:t>
      </w:r>
    </w:p>
    <w:p w14:paraId="4A1928CB" w14:textId="77777777" w:rsidR="00F508B3" w:rsidRDefault="00F508B3" w:rsidP="00F508B3">
      <w:pPr>
        <w:pStyle w:val="Textodecomentrio"/>
      </w:pPr>
    </w:p>
    <w:p w14:paraId="423EDFCB" w14:textId="77777777" w:rsidR="00F508B3" w:rsidRDefault="00F508B3" w:rsidP="00F508B3">
      <w:pPr>
        <w:pStyle w:val="Textodecomentrio"/>
      </w:pPr>
      <w:r>
        <w:rPr>
          <w:b/>
          <w:bCs/>
          <w:i/>
          <w:iCs/>
          <w:color w:val="000000"/>
        </w:rPr>
        <w:t xml:space="preserve">Nota Explicativa 2: </w:t>
      </w:r>
      <w:r>
        <w:rPr>
          <w:i/>
          <w:iCs/>
          <w:color w:val="000000"/>
        </w:rPr>
        <w:t xml:space="preserve">O </w:t>
      </w:r>
      <w:hyperlink r:id="rId68" w:history="1">
        <w:r w:rsidRPr="0055323C">
          <w:rPr>
            <w:rStyle w:val="Hyperlink"/>
            <w:i/>
            <w:iCs/>
          </w:rPr>
          <w:t>art. 7º da Instrução Normativa nº 77/2022-Seges/ME</w:t>
        </w:r>
      </w:hyperlink>
      <w:r>
        <w:rPr>
          <w:i/>
          <w:iCs/>
          <w:color w:val="000000"/>
        </w:rPr>
        <w:t xml:space="preserve"> dispõe que o prazo de liquidação é limitado a dez dias úteis, “a contar do recebimento da nota fiscal ou instrumento de cobrança equivalente pela Administração”.</w:t>
      </w:r>
    </w:p>
    <w:p w14:paraId="011C5135" w14:textId="77777777" w:rsidR="00F508B3" w:rsidRDefault="00F508B3" w:rsidP="00F508B3">
      <w:pPr>
        <w:pStyle w:val="Textodecomentrio"/>
      </w:pPr>
      <w:r>
        <w:rPr>
          <w:i/>
          <w:iCs/>
          <w:color w:val="000000"/>
        </w:rPr>
        <w:t>No caso das aquisições, a Nota Fiscal acompanha o fornecimento do produto, razão pela qual os prazos de recebimento provisório e definitivo devem estar abrangidos no prazo de liquidação.</w:t>
      </w:r>
    </w:p>
    <w:p w14:paraId="3664054B" w14:textId="77777777" w:rsidR="00F508B3" w:rsidRDefault="00F508B3" w:rsidP="00F508B3">
      <w:pPr>
        <w:pStyle w:val="Textodecomentrio"/>
      </w:pPr>
      <w:r>
        <w:rPr>
          <w:i/>
          <w:iCs/>
          <w:color w:val="000000"/>
        </w:rPr>
        <w:t>Já nos serviços adota-se sistemática distinta, em que primeiro o contratado comunica a finalização do serviço ou de etapa deste, para que então a Administração efetue o recebimento provisório e definitivo e autorize a emissão da Nota Fiscal, nos valores já líquidos e certos. Isso evita os constantes cancelamentos de Notas Fiscais por diferenças de valores e o desatendimento de obrigações tributárias, notadamente quanto ao prazo de recolhimento.</w:t>
      </w:r>
    </w:p>
    <w:p w14:paraId="362BDA13" w14:textId="77777777" w:rsidR="00F508B3" w:rsidRDefault="00F508B3" w:rsidP="00F508B3">
      <w:pPr>
        <w:pStyle w:val="Textodecomentrio"/>
      </w:pPr>
      <w:r>
        <w:rPr>
          <w:i/>
          <w:iCs/>
          <w:color w:val="000000"/>
        </w:rPr>
        <w:t>Deste modo, nos serviços o prazo de dez dias para a liquidação é contado após os prazos de recebimento provisório e definitivo, e não juntamente com esses.</w:t>
      </w:r>
    </w:p>
    <w:p w14:paraId="44043DF5" w14:textId="7756E26C" w:rsidR="00F508B3" w:rsidRDefault="00F508B3" w:rsidP="00F508B3">
      <w:pPr>
        <w:pStyle w:val="Textodecomentrio"/>
      </w:pPr>
      <w:r>
        <w:rPr>
          <w:i/>
          <w:iCs/>
          <w:color w:val="000000"/>
        </w:rPr>
        <w:t xml:space="preserve">Em vista disso, reitera-se a importância de se prever prazos menores para essa etapa, com vistas a manter o negócio atrativo aos potenciais fornecedores. Prazos muito longos acabariam frustrando o objetivo preconizado no </w:t>
      </w:r>
      <w:hyperlink r:id="rId69" w:anchor="art7" w:history="1">
        <w:r w:rsidRPr="0055323C">
          <w:rPr>
            <w:rStyle w:val="Hyperlink"/>
            <w:i/>
            <w:iCs/>
          </w:rPr>
          <w:t>art. 7º da Instrução Normativa nº 77/2022-Seges/ME</w:t>
        </w:r>
      </w:hyperlink>
      <w:r>
        <w:rPr>
          <w:i/>
          <w:iCs/>
          <w:color w:val="000000"/>
        </w:rPr>
        <w:t>.</w:t>
      </w:r>
      <w:r w:rsidR="00D71421">
        <w:rPr>
          <w:i/>
          <w:iCs/>
          <w:color w:val="000000"/>
        </w:rPr>
        <w:t>p</w:t>
      </w:r>
    </w:p>
  </w:comment>
  <w:comment w:id="74" w:author="Autor" w:initials="A">
    <w:p w14:paraId="5FA2EF6F" w14:textId="77777777" w:rsidR="004B3650" w:rsidRDefault="00DF726F" w:rsidP="004B3650">
      <w:pPr>
        <w:pStyle w:val="Textodecomentrio"/>
      </w:pPr>
      <w:r>
        <w:rPr>
          <w:rStyle w:val="Refdecomentrio"/>
        </w:rPr>
        <w:annotationRef/>
      </w:r>
      <w:r w:rsidR="004B3650">
        <w:rPr>
          <w:highlight w:val="yellow"/>
        </w:rPr>
        <w:t>N</w:t>
      </w:r>
      <w:r w:rsidR="004B3650">
        <w:rPr>
          <w:color w:val="000000"/>
          <w:highlight w:val="yellow"/>
        </w:rPr>
        <w:t>ota Explicativa: Nesse campo deve haver algum fato objetivo para caracterizar a entrega do Contratado. No caso de um serviço por escopo, deve ser descrito o fato que caracteriza a conclusão do serviço. Por exemplo, pode-se exigir que, após o Contratado concluir o objeto segundo descrito no TR (especificando os itens do TR), o Contratado deverá enviar aviso para a Administração, caracterizando, assim, a conclusão. No caso de serviços continuados, pode ser estabelecida a data em que ocorrerão as verificações periódicas para fins de pagamento. Por exemplo, pode-se estabelecer que todo mês, em determinada data, a Administração irá verificar a execução relativa ao mês anterior para fins de recebimento e autorização do pagamento.</w:t>
      </w:r>
    </w:p>
  </w:comment>
  <w:comment w:id="75" w:author="Autor" w:initials="A">
    <w:p w14:paraId="590040C9" w14:textId="6D74091C" w:rsidR="00E97671" w:rsidRDefault="00502761" w:rsidP="00E97671">
      <w:pPr>
        <w:pStyle w:val="Textodecomentrio"/>
      </w:pPr>
      <w:r>
        <w:rPr>
          <w:rStyle w:val="Refdecomentrio"/>
        </w:rPr>
        <w:annotationRef/>
      </w:r>
      <w:r w:rsidR="00E97671">
        <w:rPr>
          <w:b/>
          <w:bCs/>
          <w:i/>
          <w:iCs/>
          <w:color w:val="000000"/>
        </w:rPr>
        <w:t>Nota Explicativa:</w:t>
      </w:r>
      <w:r w:rsidR="00E97671">
        <w:rPr>
          <w:i/>
          <w:iCs/>
          <w:color w:val="000000"/>
        </w:rPr>
        <w:t xml:space="preserve"> Nos contratos de obras e serviços de engenharia, sempre que compatível com o regime de execução, a medição será mensal (art. 92, §5º, da Lei nº 14.133/21).</w:t>
      </w:r>
    </w:p>
  </w:comment>
  <w:comment w:id="76" w:author="Autor" w:initials="A">
    <w:p w14:paraId="21430259" w14:textId="174F3E81" w:rsidR="00FF1D05" w:rsidRDefault="008217C2" w:rsidP="007C4769">
      <w:pPr>
        <w:pStyle w:val="Textodecomentrio"/>
      </w:pPr>
      <w:r>
        <w:rPr>
          <w:rStyle w:val="Refdecomentrio"/>
        </w:rPr>
        <w:annotationRef/>
      </w:r>
      <w:r w:rsidR="00FF1D05">
        <w:rPr>
          <w:b/>
          <w:bCs/>
          <w:i/>
          <w:iCs/>
        </w:rPr>
        <w:t>Nota Explicativa</w:t>
      </w:r>
      <w:r w:rsidR="00FF1D05">
        <w:rPr>
          <w:i/>
          <w:iCs/>
        </w:rPr>
        <w:t>: Nos termos do art. 140, §4º, da Lei 14.133/21, salvo disposição em contrário constante do edital, do termo de referência ou de ato normativo, os ensaios, os testes e as demais provas para aferição da boa execução do objeto do contrato exigidos por normas técnicas oficiais correrão por conta do contratado.</w:t>
      </w:r>
    </w:p>
  </w:comment>
  <w:comment w:id="77" w:author="Autor" w:initials="A">
    <w:p w14:paraId="65C498BC" w14:textId="607727FB" w:rsidR="008217C2" w:rsidRDefault="008217C2" w:rsidP="007E253C">
      <w:pPr>
        <w:pStyle w:val="Textodecomentrio"/>
      </w:pPr>
      <w:r>
        <w:rPr>
          <w:rStyle w:val="Refdecomentrio"/>
        </w:rPr>
        <w:annotationRef/>
      </w:r>
      <w:r>
        <w:rPr>
          <w:b/>
          <w:bCs/>
          <w:i/>
          <w:iCs/>
          <w:color w:val="000000"/>
        </w:rPr>
        <w:t>Nota Explicativa:</w:t>
      </w:r>
      <w:r>
        <w:rPr>
          <w:i/>
          <w:iCs/>
          <w:color w:val="000000"/>
        </w:rPr>
        <w:t xml:space="preserve"> Assim como ocorre com o prazo de recebimento provisório, a Lei nº 14.133/21 não trouxe prazo máximo de recebimento definitivo, de modo que possível a previsão de qualquer prazo julgado oportuno. Nesse ponto, reitere-se: recomenda-se que o prazo seja dimensionado para que corresponda ao período razoável à checagem necessária, sem que traga um ônus excessivo que venha a afastar potenciais interessados.</w:t>
      </w:r>
    </w:p>
  </w:comment>
  <w:comment w:id="79" w:author="Autor" w:initials="A">
    <w:p w14:paraId="27463262" w14:textId="77777777" w:rsidR="008217C2" w:rsidRDefault="008217C2" w:rsidP="007E253C">
      <w:pPr>
        <w:pStyle w:val="Textodecomentrio"/>
      </w:pPr>
      <w:r>
        <w:rPr>
          <w:rStyle w:val="Refdecomentrio"/>
        </w:rPr>
        <w:annotationRef/>
      </w:r>
      <w:r>
        <w:rPr>
          <w:b/>
          <w:bCs/>
          <w:i/>
          <w:iCs/>
          <w:color w:val="000000"/>
        </w:rPr>
        <w:t xml:space="preserve">Nota Explicativa: </w:t>
      </w:r>
      <w:r>
        <w:rPr>
          <w:i/>
          <w:iCs/>
          <w:color w:val="000000"/>
        </w:rPr>
        <w:t>Deverá a Administração indicar o índice de preços a ser utilizado para a atualização monetária do valor devido ao contratado.</w:t>
      </w:r>
    </w:p>
  </w:comment>
  <w:comment w:id="80" w:author="Autor" w:initials="A">
    <w:p w14:paraId="1565A6F0" w14:textId="77777777" w:rsidR="008217C2" w:rsidRDefault="008217C2" w:rsidP="00C12DC3">
      <w:pPr>
        <w:pStyle w:val="Textodecomentrio"/>
      </w:pPr>
      <w:r>
        <w:rPr>
          <w:rStyle w:val="Refdecomentrio"/>
        </w:rPr>
        <w:annotationRef/>
      </w:r>
      <w:r>
        <w:rPr>
          <w:b/>
          <w:bCs/>
          <w:i/>
          <w:iCs/>
          <w:color w:val="000000"/>
        </w:rPr>
        <w:t xml:space="preserve">Nota Explicativa: </w:t>
      </w:r>
      <w:r>
        <w:rPr>
          <w:i/>
          <w:iCs/>
          <w:color w:val="000000"/>
        </w:rPr>
        <w:t>A natureza do contrato e o objeto da contratação irão determinar a retenção tributária eventualmente cabível, bem como a possibilidade de a empresa se beneficiar da condição de optante do Simples Nacional, dentre outras questões de caráter tributário.</w:t>
      </w:r>
    </w:p>
  </w:comment>
  <w:comment w:id="81" w:author="Autor" w:initials="A">
    <w:p w14:paraId="6E7A7220" w14:textId="77777777" w:rsidR="00FF1D05" w:rsidRDefault="00D62468">
      <w:pPr>
        <w:pStyle w:val="Textodecomentrio"/>
      </w:pPr>
      <w:r>
        <w:rPr>
          <w:rStyle w:val="Refdecomentrio"/>
        </w:rPr>
        <w:annotationRef/>
      </w:r>
      <w:r w:rsidR="00FF1D05">
        <w:rPr>
          <w:b/>
          <w:bCs/>
          <w:i/>
          <w:iCs/>
          <w:color w:val="000000"/>
        </w:rPr>
        <w:t>Nota Explicativa 1:</w:t>
      </w:r>
      <w:r w:rsidR="00FF1D05">
        <w:rPr>
          <w:i/>
          <w:iCs/>
          <w:color w:val="000000"/>
        </w:rPr>
        <w:t xml:space="preserve"> Incluir esse item caso a contratação adote o pagamento antecipado previsto no </w:t>
      </w:r>
      <w:hyperlink r:id="rId70" w:anchor="art145" w:history="1">
        <w:r w:rsidR="00FF1D05" w:rsidRPr="00C2286E">
          <w:rPr>
            <w:rStyle w:val="Hyperlink"/>
            <w:i/>
            <w:iCs/>
          </w:rPr>
          <w:t>art. 145 da Lei nº 14.133/2021</w:t>
        </w:r>
      </w:hyperlink>
      <w:r w:rsidR="00FF1D05">
        <w:rPr>
          <w:i/>
          <w:iCs/>
          <w:color w:val="000000"/>
        </w:rPr>
        <w:t>.</w:t>
      </w:r>
    </w:p>
    <w:p w14:paraId="6A792ABC" w14:textId="77777777" w:rsidR="00FF1D05" w:rsidRDefault="00FF1D05">
      <w:pPr>
        <w:pStyle w:val="Textodecomentrio"/>
      </w:pPr>
    </w:p>
    <w:p w14:paraId="0AAF2670" w14:textId="77777777" w:rsidR="00FF1D05" w:rsidRDefault="00FF1D05" w:rsidP="007C4769">
      <w:pPr>
        <w:pStyle w:val="Textodecomentrio"/>
      </w:pPr>
      <w:r>
        <w:rPr>
          <w:b/>
          <w:bCs/>
          <w:i/>
          <w:iCs/>
          <w:color w:val="000000"/>
        </w:rPr>
        <w:t>Nota Explicativa 2</w:t>
      </w:r>
      <w:r>
        <w:rPr>
          <w:i/>
          <w:iCs/>
          <w:color w:val="000000"/>
        </w:rPr>
        <w:t xml:space="preserve">: A adoção do pagamento antecipado é medida absolutamente excepcional, tendo o art. 145 da Lei n. 14.133, de 2021, admitido sua adoção somente nas situações em que houver sensível economia de recursos, ou se representar condição indispensável para a prestação do serviço. Nesse caso, além da previsão expressa no edital, termo de referência ou contrato, o processo deve ser instruído com a devida justificativa. O </w:t>
      </w:r>
      <w:hyperlink r:id="rId71" w:anchor="art145§2" w:history="1">
        <w:r w:rsidRPr="00C2286E">
          <w:rPr>
            <w:rStyle w:val="Hyperlink"/>
            <w:i/>
            <w:iCs/>
          </w:rPr>
          <w:t>art. 145, §2º</w:t>
        </w:r>
      </w:hyperlink>
      <w:r>
        <w:rPr>
          <w:i/>
          <w:iCs/>
          <w:color w:val="000000"/>
        </w:rPr>
        <w:t>, prevê que a Administração poderá exigir garantia adicional como condição para o pagamento antecipado, devendo o administrador considerar essa possibilidade.</w:t>
      </w:r>
    </w:p>
  </w:comment>
  <w:comment w:id="82" w:author="Autor" w:initials="A">
    <w:p w14:paraId="7C6255A0" w14:textId="77777777" w:rsidR="00CA4AA2" w:rsidRDefault="00CA4AA2" w:rsidP="00CA4AA2">
      <w:r w:rsidRPr="7569C8B3">
        <w:rPr>
          <w:b/>
          <w:bCs/>
          <w:i/>
          <w:iCs/>
          <w:color w:val="000000" w:themeColor="text1"/>
        </w:rPr>
        <w:t>Nota Explicativa:</w:t>
      </w:r>
      <w:r w:rsidRPr="7569C8B3">
        <w:rPr>
          <w:i/>
          <w:iCs/>
          <w:color w:val="000000" w:themeColor="text1"/>
        </w:rPr>
        <w:t xml:space="preserve"> Cabe à área técnica ajustar estes itens conforme as peculiaridades do contrato. É possível, por exemplo: fazer o pagamento antecipado apenas parcial, com o remanescente sendo pago com a execução do serviço; estabelecer pagamento antecipado integralmente no início do contrato ou dividido em etapas; prever prazos antes ou após o início da etapa conforme o cronograma financeiro do contrato para a antecipação, ou ainda combinar as possibilidades acima, dentre outras. Saliente-se, apenas, que a forma de antecipação do pagamento (se integralmente no início, se por etapas etc.) deve ser objeto de justificativa específica, que motive a estratégia utilizada pelo contratante.</w:t>
      </w:r>
      <w:r>
        <w:annotationRef/>
      </w:r>
    </w:p>
  </w:comment>
  <w:comment w:id="83" w:author="Autor" w:initials="A">
    <w:p w14:paraId="637BCB24" w14:textId="77777777" w:rsidR="00CA4AA2" w:rsidRDefault="00CA4AA2" w:rsidP="00CA4AA2">
      <w:r w:rsidRPr="7569C8B3">
        <w:rPr>
          <w:b/>
          <w:bCs/>
          <w:i/>
          <w:iCs/>
          <w:color w:val="000000" w:themeColor="text1"/>
        </w:rPr>
        <w:t>Nota Explicativa:</w:t>
      </w:r>
      <w:r w:rsidRPr="7569C8B3">
        <w:rPr>
          <w:i/>
          <w:iCs/>
          <w:color w:val="000000" w:themeColor="text1"/>
        </w:rPr>
        <w:t xml:space="preserve"> A previsão desses subitens é obrigatória caso seja adotado o pagamento antecipado.</w:t>
      </w:r>
      <w:r>
        <w:annotationRef/>
      </w:r>
    </w:p>
  </w:comment>
  <w:comment w:id="85" w:author="Autor" w:initials="A">
    <w:p w14:paraId="1F2D1333" w14:textId="77777777" w:rsidR="00CA4AA2" w:rsidRDefault="00CA4AA2" w:rsidP="00CA4AA2">
      <w:r w:rsidRPr="7569C8B3">
        <w:rPr>
          <w:b/>
          <w:bCs/>
          <w:i/>
          <w:iCs/>
          <w:color w:val="000000" w:themeColor="text1"/>
        </w:rPr>
        <w:t>Nota Explicativa:</w:t>
      </w:r>
      <w:r w:rsidRPr="7569C8B3">
        <w:rPr>
          <w:i/>
          <w:iCs/>
          <w:color w:val="000000" w:themeColor="text1"/>
        </w:rPr>
        <w:t xml:space="preserve"> Essa condição só seria factível se houver antecipação de pagamento durante a execução contratual e não só no início do contrato. Se houver utilização dessa cautela, deve haver a previsão dos momentos de comprovação de execução para os fins deste item.</w:t>
      </w:r>
      <w:r>
        <w:annotationRef/>
      </w:r>
    </w:p>
  </w:comment>
  <w:comment w:id="86" w:author="Autor" w:initials="A">
    <w:p w14:paraId="1F464D51" w14:textId="77777777" w:rsidR="00CA4AA2" w:rsidRDefault="00CA4AA2" w:rsidP="00CA4AA2">
      <w:r w:rsidRPr="7569C8B3">
        <w:rPr>
          <w:b/>
          <w:bCs/>
          <w:i/>
          <w:iCs/>
          <w:color w:val="000000" w:themeColor="text1"/>
        </w:rPr>
        <w:t>Nota Explicativa:</w:t>
      </w:r>
      <w:r w:rsidRPr="7569C8B3">
        <w:rPr>
          <w:i/>
          <w:iCs/>
          <w:color w:val="000000" w:themeColor="text1"/>
        </w:rPr>
        <w:t xml:space="preserve"> Cabe à Administração prever o percentual que seja mais razoável para o caso. Ressalte-se, entretanto, que, no caso de antecipação parcial do pagamento, não se deve exigir a garantia de que trata este item em patamar superior ao valor que for antecipado.</w:t>
      </w:r>
      <w:r>
        <w:annotationRef/>
      </w:r>
    </w:p>
  </w:comment>
  <w:comment w:id="84" w:author="Autor" w:initials="A">
    <w:p w14:paraId="6710E255" w14:textId="77777777" w:rsidR="00CA4AA2" w:rsidRDefault="00CA4AA2" w:rsidP="00CA4AA2">
      <w:r w:rsidRPr="7547D452">
        <w:rPr>
          <w:b/>
          <w:bCs/>
          <w:i/>
          <w:iCs/>
        </w:rPr>
        <w:t>Nota Explicativa:</w:t>
      </w:r>
      <w:r w:rsidRPr="7547D452">
        <w:rPr>
          <w:i/>
          <w:iCs/>
        </w:rPr>
        <w:t xml:space="preserve"> A adoção dessas medidas é facultativa, conforme art. 145, §2º, e deve ser objeto de justificativa, que demonstre a adequação das opções escolhidas, incluindo valores e percentuais respectivos, com a contratação em questão e a antecipação a ser feita, em especial caso se opte por não utilizar quaisquer das medidas abaixo.</w:t>
      </w:r>
      <w:r>
        <w:annotationRef/>
      </w:r>
    </w:p>
    <w:p w14:paraId="0DC7C2C7" w14:textId="77777777" w:rsidR="00CA4AA2" w:rsidRDefault="00CA4AA2" w:rsidP="00CA4AA2">
      <w:r w:rsidRPr="7547D452">
        <w:rPr>
          <w:i/>
          <w:iCs/>
        </w:rPr>
        <w:t>O dimensionamento do uso das cautelas facultativas ocorrerá conforme a demanda e as características do contrato a ser firmado, sempre mediante apresentação de justificativa, que deverá abordar o elo entre a situação fática em questão e as garantias eventualmente eleitas.</w:t>
      </w:r>
    </w:p>
    <w:p w14:paraId="43881559" w14:textId="77777777" w:rsidR="00CA4AA2" w:rsidRDefault="00CA4AA2" w:rsidP="00CA4AA2"/>
  </w:comment>
  <w:comment w:id="87" w:author="Autor" w:initials="A">
    <w:p w14:paraId="268310B9" w14:textId="77777777" w:rsidR="00B463C7" w:rsidRDefault="00594783" w:rsidP="00625AFC">
      <w:pPr>
        <w:pStyle w:val="Textodecomentrio"/>
      </w:pPr>
      <w:r>
        <w:rPr>
          <w:rStyle w:val="Refdecomentrio"/>
        </w:rPr>
        <w:annotationRef/>
      </w:r>
      <w:r w:rsidR="00B463C7">
        <w:rPr>
          <w:b/>
          <w:bCs/>
          <w:i/>
          <w:iCs/>
        </w:rPr>
        <w:t xml:space="preserve">Nota Explicativa: </w:t>
      </w:r>
      <w:r w:rsidR="00B463C7">
        <w:rPr>
          <w:i/>
          <w:iCs/>
        </w:rPr>
        <w:t>Em contratos com mão de obra exclusiva ou com predominância de mão de obra é obrigatória a utilização de repactuação para fins de manutenção do equilíbrio econômico-financeiro (art. 6º, LIX, art. 25, §8º, II, da Lei 14133/21)</w:t>
      </w:r>
    </w:p>
  </w:comment>
  <w:comment w:id="88" w:author="Autor" w:initials="A">
    <w:p w14:paraId="744FF126" w14:textId="77777777" w:rsidR="00B463C7" w:rsidRDefault="00E873B9" w:rsidP="00625AFC">
      <w:pPr>
        <w:pStyle w:val="Textodecomentrio"/>
      </w:pPr>
      <w:r>
        <w:rPr>
          <w:rStyle w:val="Refdecomentrio"/>
        </w:rPr>
        <w:annotationRef/>
      </w:r>
      <w:r w:rsidR="00B463C7">
        <w:rPr>
          <w:b/>
          <w:bCs/>
          <w:i/>
          <w:iCs/>
        </w:rPr>
        <w:t xml:space="preserve">Nota Explicativa: </w:t>
      </w:r>
      <w:r w:rsidR="00B463C7">
        <w:rPr>
          <w:i/>
          <w:iCs/>
        </w:rPr>
        <w:t>O</w:t>
      </w:r>
      <w:r w:rsidR="00B463C7">
        <w:t xml:space="preserve"> </w:t>
      </w:r>
      <w:r w:rsidR="00B463C7">
        <w:rPr>
          <w:i/>
          <w:iCs/>
        </w:rPr>
        <w:t xml:space="preserve">art. 135, incisos I e II, da Lei n.º 14.133/2021 estabelece que os preços dos contratos para serviços contínuos com regime de dedicação exclusiva de mão de obra ou com predominância de mão de obra serão repactuados, com data vinculada (i) à data da apresentação da proposta, para custos decorrentes do mercado; e (ii) ao acordo, à convenção coletiva ou ao dissídio coletivo ao qual a proposta esteja vinculada, para os custos de mão de obra. Muito embora o § 3º do mesmo dispositivo legal estabeleça que o interregno mínimo de 1 (um) ano para a repactuação deverá ser contado apenas “da data da apresentação da proposta ou da data da última repactuação”, sem mencionar os instrumentos coletivos, deve-se interpretar sistemática e finalisticamente os dispositivos sob comento, para considerar que, no caso dos custos contratuais vinculados à mão de obra, a anualidade deverá ser contada a partir do início dos efeitos financeiros da norma coletiva de trabalho à qual a proposta estiver vinculada, e não à data de apresentação da proposta. Nesse sentido, inclusive, o próprio § 4º do art. 135 admite que os custos de mão de obra e os custos decorrentes dos insumos necessários à execução dos serviços têm “sua anualidade resultante em datas diferenciadas”, o que corrobora o entendimento ora adotado. </w:t>
      </w:r>
    </w:p>
  </w:comment>
  <w:comment w:id="89" w:author="Autor" w:initials="A">
    <w:p w14:paraId="79FF47BC" w14:textId="77777777" w:rsidR="00792D6F" w:rsidRDefault="003244D7" w:rsidP="00792D6F">
      <w:pPr>
        <w:pStyle w:val="Textodecomentrio"/>
      </w:pPr>
      <w:r>
        <w:rPr>
          <w:rStyle w:val="Refdecomentrio"/>
        </w:rPr>
        <w:annotationRef/>
      </w:r>
      <w:r w:rsidR="00792D6F">
        <w:rPr>
          <w:b/>
          <w:bCs/>
          <w:i/>
          <w:iCs/>
        </w:rPr>
        <w:t>Nota explicativa 1</w:t>
      </w:r>
      <w:r w:rsidR="00792D6F">
        <w:rPr>
          <w:i/>
          <w:iCs/>
        </w:rPr>
        <w:t>: A disposição decorre do art. 9º da Instrução Normativa SEGES/MGI n.º 176, de 25 de novembro de 2024.</w:t>
      </w:r>
    </w:p>
    <w:p w14:paraId="516FF699" w14:textId="77777777" w:rsidR="00792D6F" w:rsidRDefault="00792D6F" w:rsidP="00792D6F">
      <w:pPr>
        <w:pStyle w:val="Textodecomentrio"/>
      </w:pPr>
    </w:p>
    <w:p w14:paraId="4F543CCC" w14:textId="77777777" w:rsidR="00792D6F" w:rsidRDefault="00792D6F" w:rsidP="00792D6F">
      <w:pPr>
        <w:pStyle w:val="Textodecomentrio"/>
      </w:pPr>
      <w:r>
        <w:rPr>
          <w:b/>
          <w:bCs/>
          <w:i/>
          <w:iCs/>
        </w:rPr>
        <w:t>Nota explicativa 2</w:t>
      </w:r>
      <w:r>
        <w:rPr>
          <w:i/>
          <w:iCs/>
        </w:rPr>
        <w:t xml:space="preserve">: Segundo o Acórdão TCU nº 1.207/2024: </w:t>
      </w:r>
    </w:p>
    <w:p w14:paraId="0D1171D2" w14:textId="77777777" w:rsidR="00792D6F" w:rsidRDefault="00792D6F" w:rsidP="00792D6F">
      <w:pPr>
        <w:pStyle w:val="Textodecomentrio"/>
      </w:pPr>
      <w:r>
        <w:rPr>
          <w:i/>
          <w:iCs/>
        </w:rPr>
        <w:t xml:space="preserve">"9.2.3. de modo a resguardar o interesse da Administração Pública, bem como buscar garantir a proteção do trabalhador terceirizado, o edital licitatório deve contemplar dispositivos que estabeleçam: [...] 9.2.3.5. a aderência </w:t>
      </w:r>
      <w:r>
        <w:rPr>
          <w:b/>
          <w:bCs/>
          <w:i/>
          <w:iCs/>
        </w:rPr>
        <w:t>à convenção coletiva do trabalho à qual a proposta da empresa esteja vinculada para fins de  atendimento à eventual necessidade de repactuação dos valores decorrentes da mão de obra,</w:t>
      </w:r>
      <w:r>
        <w:rPr>
          <w:i/>
          <w:iCs/>
        </w:rPr>
        <w:t xml:space="preserve"> consignados na planilha de custos e formação de preços do contrato, em observância ao disposto no inc. II do art. 135 da Lei 14.133/2021;"</w:t>
      </w:r>
    </w:p>
  </w:comment>
  <w:comment w:id="90" w:author="Autor" w:initials="A">
    <w:p w14:paraId="353DBC44" w14:textId="2BEBB88F" w:rsidR="00B91A64" w:rsidRDefault="00E873B9" w:rsidP="00B91A64">
      <w:pPr>
        <w:pStyle w:val="Textodecomentrio"/>
      </w:pPr>
      <w:r w:rsidRPr="00E51DA2">
        <w:rPr>
          <w:rStyle w:val="Refdecomentrio"/>
          <w:i/>
        </w:rPr>
        <w:annotationRef/>
      </w:r>
      <w:r w:rsidR="00B91A64">
        <w:rPr>
          <w:b/>
          <w:bCs/>
          <w:i/>
          <w:iCs/>
        </w:rPr>
        <w:t>Nota explicativa:</w:t>
      </w:r>
      <w:r w:rsidR="00B91A64">
        <w:rPr>
          <w:i/>
          <w:iCs/>
        </w:rPr>
        <w:t xml:space="preserve"> Os contratos de serviços executados com dedicação exclusiva de mão de obra possuem insumos de naturezas distintas, decorrentes tanto dos custos da mão de obra e de seus reflexos como dos demais insumos necessários à execução do serviço. </w:t>
      </w:r>
    </w:p>
    <w:p w14:paraId="1C6C4BAE" w14:textId="77777777" w:rsidR="00B91A64" w:rsidRDefault="00B91A64" w:rsidP="00B91A64">
      <w:pPr>
        <w:pStyle w:val="Textodecomentrio"/>
      </w:pPr>
      <w:r>
        <w:rPr>
          <w:i/>
          <w:iCs/>
        </w:rPr>
        <w:t xml:space="preserve">No Acórdão n.º 1214/2013 – Plenário, ao examinar a necessidade de realização de pesquisa de preços nas prorrogações dos contratos de serviços continuados com dedicação exclusiva de mão de obra, o TCU reconheceu expressamente essa diferenciação, demonstrando que os insumos não relacionados à mão de obra, passíveis de realização de pesquisa de preços, correspondem, em regra, “a no máximo 5% do orçamento total a ser licitado, como vem sendo demonstrado em licitações recentes”, de modo que não figuram entre os itens mais representativos da planilha de custos e formação de preços. Aliado a isso, registrou o TCU que: </w:t>
      </w:r>
    </w:p>
    <w:p w14:paraId="01A016ED" w14:textId="77777777" w:rsidR="00B91A64" w:rsidRDefault="00B91A64" w:rsidP="00B91A64">
      <w:pPr>
        <w:pStyle w:val="Textodecomentrio"/>
      </w:pPr>
      <w:r>
        <w:rPr>
          <w:i/>
          <w:iCs/>
        </w:rPr>
        <w:t xml:space="preserve">“[...] fazemos parte de uma economia estável, em que a variação esperada é baixa e pode ser perfeitamente retratada mediante a utilização de índices nacionais, tal como o INPC. Portanto, </w:t>
      </w:r>
      <w:r>
        <w:rPr>
          <w:b/>
          <w:bCs/>
          <w:i/>
          <w:iCs/>
        </w:rPr>
        <w:t>não há razão para efetuar pesquisa de mercado todas as vezes que é necessária a realização de prorrogação contratual, com todo o custo administrativo que representa</w:t>
      </w:r>
      <w:r>
        <w:rPr>
          <w:i/>
          <w:iCs/>
        </w:rPr>
        <w:t>. [...] É notório que o custo/prazo que será despendido para a realização de pesquisa de mercado para a prorrogação do contrato, além de impeditivo, não é aconselhável em vista da baixa representatividade desses itens no orçamento global”.</w:t>
      </w:r>
    </w:p>
    <w:p w14:paraId="759C24DD" w14:textId="77777777" w:rsidR="00B91A64" w:rsidRDefault="00B91A64" w:rsidP="00B91A64">
      <w:pPr>
        <w:pStyle w:val="Textodecomentrio"/>
      </w:pPr>
      <w:r>
        <w:rPr>
          <w:i/>
          <w:iCs/>
        </w:rPr>
        <w:t>186.</w:t>
      </w:r>
      <w:r>
        <w:rPr>
          <w:i/>
          <w:iCs/>
        </w:rPr>
        <w:tab/>
        <w:t xml:space="preserve">Ademais, a pesquisa de mercado normalmente leva a preços superiores àqueles alcançados durante a licitação. Portanto, </w:t>
      </w:r>
      <w:r>
        <w:rPr>
          <w:b/>
          <w:bCs/>
          <w:i/>
          <w:iCs/>
        </w:rPr>
        <w:t xml:space="preserve">a utilização de um índice adequado, além de retratar a realidade do mercado, evita prejuízo desnecessário à Administração, assim como para a empresa contratada. </w:t>
      </w:r>
    </w:p>
    <w:p w14:paraId="023F16EB" w14:textId="77777777" w:rsidR="00B91A64" w:rsidRDefault="00B91A64" w:rsidP="00B91A64">
      <w:pPr>
        <w:pStyle w:val="Textodecomentrio"/>
      </w:pPr>
      <w:r>
        <w:rPr>
          <w:i/>
          <w:iCs/>
        </w:rPr>
        <w:t>192.</w:t>
      </w:r>
      <w:r>
        <w:rPr>
          <w:i/>
          <w:iCs/>
        </w:rPr>
        <w:tab/>
      </w:r>
      <w:r>
        <w:rPr>
          <w:b/>
          <w:bCs/>
          <w:i/>
          <w:iCs/>
        </w:rPr>
        <w:t xml:space="preserve">É flagrante que o uso de índice específico e adequado, além de trazer significativo benefício à Administração, será a forma mais apropriada para comprovar que o contrato continua vantajoso </w:t>
      </w:r>
      <w:r>
        <w:rPr>
          <w:i/>
          <w:iCs/>
        </w:rPr>
        <w:t xml:space="preserve">no momento da prorrogação”. (grifo nosso) </w:t>
      </w:r>
    </w:p>
    <w:p w14:paraId="495EF24A" w14:textId="77777777" w:rsidR="00B91A64" w:rsidRDefault="00B91A64" w:rsidP="00B91A64">
      <w:pPr>
        <w:pStyle w:val="Textodecomentrio"/>
      </w:pPr>
      <w:r>
        <w:rPr>
          <w:i/>
          <w:iCs/>
        </w:rPr>
        <w:t xml:space="preserve">Nessa linha, concluiu que a vantajosidade econômica para prorrogação de contratos de serviços continuados restaria garantida sempre que, além da previsão contratual de que as repactuações de custos  envolvendo a folha de salários fossem efetuadas somente com base em instrumento coletivo de trabalho, ou em decorrência de lei, houvesse no contrato previsão de que os reajustes dos itens envolvendo insumos (exceto quanto a obrigações decorrentes de acordo ou convenção coletiva de trabalho e de Lei) e materiais fossem efetuados com base em índices oficiais, previamente estabelecidos no contrato. </w:t>
      </w:r>
    </w:p>
    <w:p w14:paraId="5A81CE36" w14:textId="77777777" w:rsidR="00B91A64" w:rsidRDefault="00B91A64" w:rsidP="00B91A64">
      <w:pPr>
        <w:pStyle w:val="Textodecomentrio"/>
      </w:pPr>
      <w:r>
        <w:rPr>
          <w:i/>
          <w:iCs/>
        </w:rPr>
        <w:t xml:space="preserve">Tal regramento foi incorporado ao art. 30-A, § 2º, inciso II, da IN SLTI/MP n.º 02/2008, em vigor à época, que teve sua redação atualizada pela IN SLTI/MP n.º 06/2013, conferindo à Administração, com isso, a viabilidade de prever, num mesmo contrato para execução de serviços com regime de dedicação exclusiva de mão de obra, a repactuação para os itens decorrentes da mão de obra, com base nas disposições constantes em instrumentos coletivos de trabalho, e o reajuste dos preços dos demais insumos, com base em “índices oficiais, previamente definidos no contrato, que guardem a maior correlação possível com o segmento econômico em que estejam inseridos tais insumos ou materiais ou, na falta de qualquer índice setorial, o Índice Nacional de Preços ao Consumidor Amplo (IPCA/IBGE)”. </w:t>
      </w:r>
    </w:p>
    <w:p w14:paraId="40D0C97B" w14:textId="77777777" w:rsidR="00B91A64" w:rsidRDefault="00B91A64" w:rsidP="00B91A64">
      <w:pPr>
        <w:pStyle w:val="Textodecomentrio"/>
      </w:pPr>
      <w:r>
        <w:rPr>
          <w:i/>
          <w:iCs/>
        </w:rPr>
        <w:t xml:space="preserve">Ficou a Administração dispensada, pois, da realização de pesquisa individualizada, que considerasse “os preços praticados no mercado ou em outros contratos da Administração”, “as particularidades do contrato em vigência” ou “indicadores setoriais, tabelas de fabricantes, valores oficiais de referência, tarifas públicas ou outros equivalentes;” (art. 40, § 2º, da IN SLTI/MP n.º 02/2008) para comprovar, naquele tipo de contrato, a efetiva variação dos preços de insumos e materiais não relacionados à mão de obra. </w:t>
      </w:r>
    </w:p>
    <w:p w14:paraId="24CE41B0" w14:textId="77777777" w:rsidR="00B91A64" w:rsidRDefault="00B91A64" w:rsidP="00B91A64">
      <w:pPr>
        <w:pStyle w:val="Textodecomentrio"/>
      </w:pPr>
      <w:r>
        <w:rPr>
          <w:i/>
          <w:iCs/>
        </w:rPr>
        <w:t xml:space="preserve">Nos mesmos moldes da IN SLTI/MP n.º 02/2008, a IN SEGES/MP n.º 05/2017, em seu Anexo IX, item 7, alíneas “a” e "b", manteve disposição expressa possibilitando a adoção do reajuste por índices oficiais dos insumos não relacionados à mão de obra. </w:t>
      </w:r>
    </w:p>
    <w:p w14:paraId="17BAB3CA" w14:textId="77777777" w:rsidR="00B91A64" w:rsidRDefault="00B91A64" w:rsidP="00B91A64">
      <w:pPr>
        <w:pStyle w:val="Textodecomentrio"/>
      </w:pPr>
      <w:r>
        <w:rPr>
          <w:i/>
          <w:iCs/>
        </w:rPr>
        <w:t xml:space="preserve">A Lei n.º 14.133/2021, por sua vez, ao tratar da repactuação, não trouxe previsão específica acerca da possibilidade de adoção do reajuste por índices dos valores dos insumos contratuais não relacionados à mão de obra. Nada obstante, nota-se que a nova Lei de Licitações também não estabeleceu vedação nesse sentido. </w:t>
      </w:r>
    </w:p>
    <w:p w14:paraId="708FFE5B" w14:textId="77777777" w:rsidR="00B91A64" w:rsidRDefault="00B91A64" w:rsidP="00B91A64">
      <w:pPr>
        <w:pStyle w:val="Textodecomentrio"/>
      </w:pPr>
      <w:r>
        <w:rPr>
          <w:i/>
          <w:iCs/>
        </w:rPr>
        <w:t>Na verdade, ao prever que o reajustamento em sentido estrito, mediante a aplicação de índices, é cabível “quando não houver regime de dedicação exclusiva de mão de obra ou predominância de mão de obra”, ao passo que a repactuação, mediante demonstração analítica da variação dos custos, deve ser utilizada “quando houver regime de dedicação exclusiva de mão de obra ou predominância de mão de obra” (art. 92, § 4º), pode-se considerar que a lei terminou por deixar claro em relação a quais tipos de parcelas dos custos da contratação se aplica cada um dos critérios de reajustamento mencionados.</w:t>
      </w:r>
    </w:p>
    <w:p w14:paraId="5F1DEF2E" w14:textId="77777777" w:rsidR="00B91A64" w:rsidRDefault="00B91A64" w:rsidP="00B91A64">
      <w:pPr>
        <w:pStyle w:val="Textodecomentrio"/>
      </w:pPr>
      <w:r>
        <w:rPr>
          <w:i/>
          <w:iCs/>
        </w:rPr>
        <w:t xml:space="preserve">Nessa linha, parece-nos ser razoável interpretar o texto legal para concluir ser cabível o reajustamento, por meio da aplicação de índices, especificamente em relação à parcela da contratação cujos custos não estejam relacionados à mão de obra, isto é, à parcela dos insumos necessários à execução dos serviços, cuja variação de custos decorra do mercado. A repactuação, por meio da demonstração analítica da variação de custos, por sua vez, seria reservada exclusivamente para reajustar os custos decorrentes da mão de obra, vinculados, quase sempre, a uma norma coletiva de trabalho. </w:t>
      </w:r>
    </w:p>
    <w:p w14:paraId="1A6D96F3" w14:textId="77777777" w:rsidR="00B91A64" w:rsidRDefault="00B91A64" w:rsidP="00B91A64">
      <w:pPr>
        <w:pStyle w:val="Textodecomentrio"/>
      </w:pPr>
      <w:r>
        <w:rPr>
          <w:i/>
          <w:iCs/>
        </w:rPr>
        <w:t>Forte nessa premissa, e diante do arcabouço normativo acima citado, das Orientações Normativas AGU n.º 23 e n.º 25 e de todo o trabalho interpretativo e de consolidação de entendimentos realizados nessa seara, a Câmara Nacional de Modelos de Licitações e Contratos da CGU considera viável a adoção  da repactuação para os insumos relacionados à mão de obra, combinada com a adoção de índices para reajustamento dos insumos e materiais a ela não relacionados, nos contratos de serviços continuados executados com regime de dedicação exclusiva de mão de obra dispensando-se a Administração de realizar pesquisa de preços, para demonstrar o aumento desses custos.</w:t>
      </w:r>
    </w:p>
    <w:p w14:paraId="79449694" w14:textId="77777777" w:rsidR="00B91A64" w:rsidRDefault="00B91A64" w:rsidP="00B91A64">
      <w:pPr>
        <w:pStyle w:val="Textodecomentrio"/>
      </w:pPr>
      <w:r>
        <w:rPr>
          <w:i/>
          <w:iCs/>
        </w:rPr>
        <w:t xml:space="preserve">Acerca do assunto, destaca-se o teor do PARECER n. 00002/2018/CPMLC/CGU/AGU (NUP: 00688.000822/2017-65), elaborado pela Comissão, nos seguintes termos: </w:t>
      </w:r>
    </w:p>
    <w:p w14:paraId="5751B5B5" w14:textId="77777777" w:rsidR="00B91A64" w:rsidRDefault="00B91A64" w:rsidP="00B91A64">
      <w:pPr>
        <w:pStyle w:val="Textodecomentrio"/>
      </w:pPr>
      <w:r>
        <w:rPr>
          <w:i/>
          <w:iCs/>
        </w:rPr>
        <w:t xml:space="preserve">“170. [...] permito-me adentrar na seara operacional/administrativa para registrar a impressão de que a combinação da repactuação para os insumos relacionados à mão de obra com a adoção de índices específicos, setoriais ou gerais para os insumos e materiais a ela não relacionados é o modo de agir que mais contribui para a eficiente gestão do contrato, na medida em que restringe o trabalho mais intrincado de análise de documentação aos contratos com mão de obra, e mais precisamente aos insumos ligados à mão de obra, que representam o maior custo desses contratos.  </w:t>
      </w:r>
    </w:p>
    <w:p w14:paraId="74B4CA06" w14:textId="77777777" w:rsidR="00B91A64" w:rsidRDefault="00B91A64" w:rsidP="00B91A64">
      <w:pPr>
        <w:pStyle w:val="Textodecomentrio"/>
      </w:pPr>
      <w:r>
        <w:rPr>
          <w:i/>
          <w:iCs/>
        </w:rPr>
        <w:t>171. Observa-se, com isso, a finalidade legal e regulamentar de evitar o chamado gatilho salarial, ou seja, que o índice inflacionário seja incorporado ao valor da mão de obra, que então contribuiria para o aumento da inflação, e assim sucessivamente. O instituto da repactuação rompe com esse círculo, porque remete as partes da relação de emprego à mesa de negociação, por intermédio dos respectivos Sindicatos, evitando-se a mera incorporação de índices. Isso pode até vir a acontecer, mas somente depois da negociação. A administração, então, apenas traduz o resultado dessa negociação na equação econômico-financeira do contrato. Essa a razão pela qual o instituto deve voltar-se com toda certeza aos insumos relacionados à relação de trabalho.</w:t>
      </w:r>
    </w:p>
    <w:p w14:paraId="56B75040" w14:textId="77777777" w:rsidR="00B91A64" w:rsidRDefault="00B91A64" w:rsidP="00B91A64">
      <w:pPr>
        <w:pStyle w:val="Textodecomentrio"/>
      </w:pPr>
      <w:r>
        <w:rPr>
          <w:i/>
          <w:iCs/>
        </w:rPr>
        <w:t xml:space="preserve">172. Já expandir esse instituto também para os insumos e materiais não relacionados à mão de obra, como consequência de não se admitir índices gerais, representa um ônus considerável para cada uma das unidades administrativas com competência para contratar, que chegam aos milhares, porque vai implicar em toda uma análise documental e probatória em cada um dos contratos administrativos de serviços, com resultados na maioria absoluta dos casos insignificantes, em comparação com a mera aplicação de índices pré-estabelecidos. A bem da verdade, frequentemente essa instrução probatória para a repactuação de insumos não relacionadas à mão de obra acaba por reajustar o valor do contrato em patamar superior ao da mera aplicação do índice. E nesse caso a Administração dispensou todo um meticuloso trabalho realizado por instituições conceituadas para a obtenção de tais índices, um dos quais inclusive adotado pelo Banco Central do Brasil para medir a inflação, o Índice Nacional de Preços ao Consumidor Amplo Especial - IPCA, e ainda expressamente previsto no art. 101, caput e 107, §1º, II do ADCT (embora não seja de utilização obrigatória, como bem esclarece, mais uma vez, o Parecer n. 00149/2018/CJU-SP/CGU/AGU. </w:t>
      </w:r>
    </w:p>
    <w:p w14:paraId="518E7BB2" w14:textId="77777777" w:rsidR="00B91A64" w:rsidRDefault="00B91A64" w:rsidP="00B91A64">
      <w:pPr>
        <w:pStyle w:val="Textodecomentrio"/>
      </w:pPr>
      <w:r>
        <w:rPr>
          <w:i/>
          <w:iCs/>
        </w:rPr>
        <w:t>173. De qualquer forma, não é à toa que houve todo um trabalho de formação de entendimentos e interpretações para consolidar o posicionamento de que se aplica a repactuação somente para os insumos relacionados à mão de obra nos contratos com mão de obra exclusiva e, para os demais insumos e demais contratos, aplica-se o reajuste, com a adoção de índices gerais, em não havendo setoriais ou específicos”.</w:t>
      </w:r>
    </w:p>
    <w:p w14:paraId="729DDEDB" w14:textId="77777777" w:rsidR="00B91A64" w:rsidRDefault="00B91A64" w:rsidP="00B91A64">
      <w:pPr>
        <w:pStyle w:val="Textodecomentrio"/>
      </w:pPr>
      <w:r>
        <w:rPr>
          <w:i/>
          <w:iCs/>
        </w:rPr>
        <w:t>Em hipóteses tais, a Administração deverá atentar para que o índice utilizado seja o indicador mais próximo da efetiva variação dos preços dos insumos e materiais a serem fornecidos, valendo-se, pois, em regra, da adoção de índices setoriais ou específicos. “Caso inexistam índices setoriais ou específicos, deverá ser adotado o índice geral de preços que melhor esteja correlacionado com os custos do objeto contratual ou, ainda, em caráter subsidiário, verificar se existe, no mercado, algum índice geral de adoção consagrada para o objeto contratado. Não havendo índices com uma dessas características, deve ser adotado o reajustamento pelo IPCA/IBGE, pois é o índice oficial de monitoramento da inflação no Brasil. Qualquer que seja o índice utilizado, a Administração deverá justificar sua escolha tecnicamente. A Administração poderá, ainda, se valer de índices diferenciados, de forma justificada, de acordo com as peculiaridades envolvidas no objeto contratual”. (Parecer n.º 04/2013/CPLC/DEPCONSU/PGF/AGU, NUP: 00407.001847/2013-61).</w:t>
      </w:r>
    </w:p>
  </w:comment>
  <w:comment w:id="91" w:author="Autor" w:initials="A">
    <w:p w14:paraId="500622A4" w14:textId="53611ACE" w:rsidR="00E718C4" w:rsidRDefault="00D712FA" w:rsidP="00E718C4">
      <w:pPr>
        <w:pStyle w:val="Textodecomentrio"/>
      </w:pPr>
      <w:r>
        <w:rPr>
          <w:rStyle w:val="Refdecomentrio"/>
        </w:rPr>
        <w:annotationRef/>
      </w:r>
      <w:r w:rsidR="00E718C4">
        <w:rPr>
          <w:b/>
          <w:bCs/>
          <w:i/>
          <w:iCs/>
        </w:rPr>
        <w:t xml:space="preserve">Nota Explicativa: </w:t>
      </w:r>
      <w:r w:rsidR="00E718C4">
        <w:rPr>
          <w:i/>
          <w:iCs/>
        </w:rPr>
        <w:t xml:space="preserve">Essa disposição deverá ser </w:t>
      </w:r>
      <w:r w:rsidR="00E718C4">
        <w:rPr>
          <w:b/>
          <w:bCs/>
          <w:i/>
          <w:iCs/>
        </w:rPr>
        <w:t xml:space="preserve">excluída </w:t>
      </w:r>
      <w:r w:rsidR="00E718C4">
        <w:rPr>
          <w:i/>
          <w:iCs/>
        </w:rPr>
        <w:t xml:space="preserve">caso se trate de </w:t>
      </w:r>
      <w:r w:rsidR="00E718C4">
        <w:rPr>
          <w:b/>
          <w:bCs/>
          <w:i/>
          <w:iCs/>
        </w:rPr>
        <w:t>serviços de vigilância patrimonial</w:t>
      </w:r>
      <w:r w:rsidR="00E718C4">
        <w:rPr>
          <w:i/>
          <w:iCs/>
        </w:rPr>
        <w:t xml:space="preserve">, uma vez que, segundo a Solução de Consulta Cosit nº 345, de 26 de junho de 2017, a pessoa jurídica prestadora de serviços de vigilância patrimonial e de transporte de valores de que trata o artigo 10 da Lei nº 7.102, de 20 de junho de 1983, está sujeita ao regime </w:t>
      </w:r>
      <w:r w:rsidR="00E718C4">
        <w:rPr>
          <w:b/>
          <w:bCs/>
          <w:i/>
          <w:iCs/>
        </w:rPr>
        <w:t xml:space="preserve">cumulativo </w:t>
      </w:r>
      <w:r w:rsidR="00E718C4">
        <w:rPr>
          <w:i/>
          <w:iCs/>
        </w:rPr>
        <w:t xml:space="preserve">para apuração e recolhimento da contribuição para o PIS/Pasep e da COFINS. </w:t>
      </w:r>
      <w:r w:rsidR="00E718C4">
        <w:rPr>
          <w:i/>
          <w:iCs/>
          <w:highlight w:val="yellow"/>
        </w:rPr>
        <w:t>Esse entendimento se aplica também para a nova Lei nº 14.967, de 9 de setembro de 2024, que passou a reger os serviços de segurança privada.</w:t>
      </w:r>
    </w:p>
  </w:comment>
  <w:comment w:id="92" w:author="Autor" w:initials="A">
    <w:p w14:paraId="71446CE6" w14:textId="6EA279DF" w:rsidR="00E873B9" w:rsidRPr="00E51DA2" w:rsidRDefault="00E873B9" w:rsidP="00E873B9">
      <w:pPr>
        <w:pStyle w:val="Textodecomentrio"/>
        <w:rPr>
          <w:i/>
        </w:rPr>
      </w:pPr>
      <w:r>
        <w:rPr>
          <w:rStyle w:val="Refdecomentrio"/>
        </w:rPr>
        <w:annotationRef/>
      </w:r>
      <w:r w:rsidRPr="00E51DA2">
        <w:rPr>
          <w:b/>
          <w:i/>
        </w:rPr>
        <w:t>Nota Explicativa:</w:t>
      </w:r>
      <w:r>
        <w:t xml:space="preserve"> </w:t>
      </w:r>
      <w:r w:rsidRPr="00E51DA2">
        <w:rPr>
          <w:i/>
        </w:rPr>
        <w:t xml:space="preserve">Segundo a Orientação Normativa SLTI/MP nº 2, de 22 de agosto de 2014, a majoração da tarifa de transporte público geraria a possibilidade de repactuação do item relativo aos valores pagos a título de vale-transporte. Entretanto, além de ter sido editada sob a égide da Lei n.º 8.666/1993 e dos normativos que a regulamentavam, referida Orientação Normativa veio a ser expressamente revogada pelo art. 2º, inciso VI, da Instrução Normativa SEGES/ME nº 102, de 16 de outubro de 2020. </w:t>
      </w:r>
    </w:p>
    <w:p w14:paraId="6912AD16" w14:textId="77777777" w:rsidR="00E873B9" w:rsidRPr="00E51DA2" w:rsidRDefault="00E873B9" w:rsidP="00E873B9">
      <w:pPr>
        <w:pStyle w:val="Textodecomentrio"/>
        <w:rPr>
          <w:i/>
        </w:rPr>
      </w:pPr>
      <w:r w:rsidRPr="00E51DA2">
        <w:rPr>
          <w:i/>
        </w:rPr>
        <w:t xml:space="preserve">Diante disso, sobre a natureza dessa majoração de custos, deve-se ter em mente que, segundo a Lei n° 7.418, de 16 de dezembro de 1985, o vale-transporte deve ser emitido e comercializado ao preço da tarifa vigente do respectivo sistema de transporte coletivo público, urbano ou intermunicipal e/ou interestadual, utilizado pelo empregado em seu deslocamento, adotando-se, inclusive, para esse fim, a tarifa integral do deslocamento do trabalhador, por um ou mais meios de transporte, sem quaisquer descontos. Em outras palavras, o valor do vale-transporte está diretamente atrelado ao valor da tarifa de transporte coletivo público. </w:t>
      </w:r>
    </w:p>
    <w:p w14:paraId="0C8716D0" w14:textId="77777777" w:rsidR="00E873B9" w:rsidRPr="00E51DA2" w:rsidRDefault="00E873B9" w:rsidP="00E873B9">
      <w:pPr>
        <w:pStyle w:val="Textodecomentrio"/>
        <w:rPr>
          <w:i/>
        </w:rPr>
      </w:pPr>
      <w:r w:rsidRPr="00E51DA2">
        <w:rPr>
          <w:i/>
        </w:rPr>
        <w:t xml:space="preserve">O valor da tarifa de transporte coletivo público, por sua vez, deve ser fixado pela autoridade pública competente, como bem registrado no art. 1º da Lei n° 7.418/1985, por meio de lei ou ato normativo.  </w:t>
      </w:r>
    </w:p>
    <w:p w14:paraId="3582D9AB" w14:textId="77777777" w:rsidR="00E873B9" w:rsidRPr="00E51DA2" w:rsidRDefault="00E873B9" w:rsidP="00E873B9">
      <w:pPr>
        <w:pStyle w:val="Textodecomentrio"/>
        <w:rPr>
          <w:i/>
        </w:rPr>
      </w:pPr>
      <w:r w:rsidRPr="00E51DA2">
        <w:rPr>
          <w:i/>
        </w:rPr>
        <w:t>Dessa forma, a alteração do valor do vale-transporte, por decorrer da majoração da tarifa de transporte público pelo Poder Executivo local, configura hipótese de fato do príncipe, que, conforme o art. 124, inciso II, alínea “d”, da Lei n.º 14.133/2021, autoriza o reequilíbrio econômico-financeiro  dos preços contratados - e não a sua repactuação - nos casos em que o Poder Público, no uso de prerrogativas alheias à sua qualidade de contratante, adota medidas de ordem geral que repercutem no contrato administrativo e desbalanceiam o equilíbrio econômico-financeiro originalmente estabelecido.</w:t>
      </w:r>
    </w:p>
    <w:p w14:paraId="77E5401F" w14:textId="77777777" w:rsidR="00E873B9" w:rsidRPr="00E51DA2" w:rsidRDefault="00E873B9" w:rsidP="00E873B9">
      <w:pPr>
        <w:pStyle w:val="Textodecomentrio"/>
        <w:rPr>
          <w:i/>
        </w:rPr>
      </w:pPr>
      <w:r w:rsidRPr="00E51DA2">
        <w:rPr>
          <w:i/>
        </w:rPr>
        <w:t xml:space="preserve">Muito embora a revisão contratual com base no fato do príncipe demande, em regra, a alteração bilateral do contrato por meio de termo aditivo, entende-se que, havendo previsão em contrato, poderá ser utilizado o apostilamento para formalizar a alteração do valor do vale-transporte, uma vez que o art. 136, inciso II, da Lei n.º 14.133/2021, autoriza a simples apostila quando o contrato trouxer cláusulas para atualização de valores cuja incidência se dá de modo simplificado, como ocorre nesse caso. </w:t>
      </w:r>
    </w:p>
    <w:p w14:paraId="30D9DEA6" w14:textId="77777777" w:rsidR="00E873B9" w:rsidRPr="00E51DA2" w:rsidRDefault="00E873B9" w:rsidP="00E873B9">
      <w:pPr>
        <w:pStyle w:val="Textodecomentrio"/>
        <w:rPr>
          <w:i/>
        </w:rPr>
      </w:pPr>
      <w:r w:rsidRPr="00E51DA2">
        <w:rPr>
          <w:i/>
        </w:rPr>
        <w:t xml:space="preserve">Daí porque se mostra recomendável a inclusão de cláusula contratual expressa, nos termos acima, estabelecendo que a revisão dos custos do valor do vale-transporte deverá ser formalizada por apostilamento, e não por termo aditivo.   </w:t>
      </w:r>
    </w:p>
  </w:comment>
  <w:comment w:id="93" w:author="Autor" w:initials="A">
    <w:p w14:paraId="3547FBA9" w14:textId="77777777" w:rsidR="00A875C6" w:rsidRDefault="00447575">
      <w:pPr>
        <w:pStyle w:val="Textodecomentrio"/>
      </w:pPr>
      <w:r>
        <w:rPr>
          <w:rStyle w:val="Refdecomentrio"/>
        </w:rPr>
        <w:annotationRef/>
      </w:r>
      <w:r w:rsidR="00A875C6">
        <w:rPr>
          <w:b/>
          <w:bCs/>
          <w:i/>
          <w:iCs/>
          <w:color w:val="262626"/>
          <w:highlight w:val="white"/>
        </w:rPr>
        <w:t>Nota Explicativa 1</w:t>
      </w:r>
      <w:r w:rsidR="00A875C6">
        <w:rPr>
          <w:i/>
          <w:iCs/>
          <w:color w:val="262626"/>
          <w:highlight w:val="white"/>
        </w:rPr>
        <w:t>: Quando os serviços contratados não forem executados com mão de obra em regime de dedicação exclusiva ou predominância de mão de obra, a manutenção do equilíbrio econômico-financeiro será garantida por meio de reajuste com aplicação de índices (art. 6º, LVIII, art. 25, § 8º, inc. I, da Lei 14133/21).</w:t>
      </w:r>
    </w:p>
    <w:p w14:paraId="258E477B" w14:textId="77777777" w:rsidR="00A875C6" w:rsidRDefault="00A875C6">
      <w:pPr>
        <w:pStyle w:val="Textodecomentrio"/>
      </w:pPr>
    </w:p>
    <w:p w14:paraId="5E58FF4A" w14:textId="77777777" w:rsidR="00A875C6" w:rsidRDefault="00A875C6">
      <w:pPr>
        <w:pStyle w:val="Textodecomentrio"/>
      </w:pPr>
      <w:r>
        <w:rPr>
          <w:b/>
          <w:bCs/>
          <w:i/>
          <w:iCs/>
          <w:color w:val="262626"/>
          <w:highlight w:val="white"/>
        </w:rPr>
        <w:t>Nota Explicativa 2</w:t>
      </w:r>
      <w:r>
        <w:rPr>
          <w:i/>
          <w:iCs/>
          <w:color w:val="262626"/>
          <w:highlight w:val="white"/>
        </w:rPr>
        <w:t xml:space="preserve">: A Lei n.º 14.133, de 2021 em seu artigo 25, §7º, fixou a necessidade da estipulação no contrato, </w:t>
      </w:r>
      <w:r>
        <w:rPr>
          <w:b/>
          <w:bCs/>
          <w:i/>
          <w:iCs/>
          <w:color w:val="262626"/>
          <w:highlight w:val="white"/>
        </w:rPr>
        <w:t>independentemente do prazo de sua duração</w:t>
      </w:r>
      <w:r>
        <w:rPr>
          <w:i/>
          <w:iCs/>
          <w:color w:val="262626"/>
          <w:highlight w:val="white"/>
        </w:rPr>
        <w:t>, de índice de reajustamento de preço, com data-base vinculada à data do orçamento estimado.</w:t>
      </w:r>
    </w:p>
    <w:p w14:paraId="1746B046" w14:textId="77777777" w:rsidR="00A875C6" w:rsidRDefault="00A875C6">
      <w:pPr>
        <w:pStyle w:val="Textodecomentrio"/>
      </w:pPr>
      <w:r>
        <w:rPr>
          <w:i/>
          <w:iCs/>
          <w:color w:val="262626"/>
          <w:highlight w:val="white"/>
        </w:rPr>
        <w:t>Vale destacar que o aludido entendimento já vinha sendo adotado nos modelos da Advocacia-Geral da União, com base no entendimento do Tribunal de Contas da União (Acórdão nº 7184/2018 - Segunda Câmara, no Acórdão nº 2205/2016-TCU-Plenário) e no Parecer nº 79/2019/DECOR/CGU/AGU, aprovado nos termos do Despacho nº 480/2020/DECOR/CGU/AGU, pelo Despacho n. 00496/2020/DECOR/CGU/AGU e Despacho n. 00643/2020/GAB/CGU/AGU (NUP 08008.000351/2017-17).</w:t>
      </w:r>
    </w:p>
    <w:p w14:paraId="0DE5209C" w14:textId="77777777" w:rsidR="00A875C6" w:rsidRDefault="00A875C6">
      <w:pPr>
        <w:pStyle w:val="Textodecomentrio"/>
      </w:pPr>
      <w:r>
        <w:rPr>
          <w:i/>
          <w:iCs/>
          <w:color w:val="262626"/>
          <w:highlight w:val="white"/>
        </w:rPr>
        <w:t>A Lei n.º 14.133, de 2021 inova quanto à possibilidade do estabelecimento de mais de um índice específico ou setorial, desde que consentâneo com a realidade de mercado dos respectivos insumos. Assim, caso a contratação envolva vários insumos, resta a possibilidade da fixação de mais de um índice de reajuste com o intuito de melhor refletir a variação de custo sofrida.</w:t>
      </w:r>
    </w:p>
    <w:p w14:paraId="5D656220" w14:textId="77777777" w:rsidR="00A875C6" w:rsidRDefault="00A875C6" w:rsidP="00625AFC">
      <w:pPr>
        <w:pStyle w:val="Textodecomentrio"/>
      </w:pPr>
      <w:r>
        <w:rPr>
          <w:i/>
          <w:iCs/>
          <w:color w:val="262626"/>
          <w:highlight w:val="white"/>
        </w:rPr>
        <w:t xml:space="preserve">Importa enfatizar que o marco inicial para a contagem da anualidade é </w:t>
      </w:r>
      <w:r>
        <w:rPr>
          <w:b/>
          <w:bCs/>
          <w:i/>
          <w:iCs/>
          <w:color w:val="262626"/>
          <w:highlight w:val="white"/>
        </w:rPr>
        <w:t>a data do orçamento estimado</w:t>
      </w:r>
      <w:r>
        <w:rPr>
          <w:i/>
          <w:iCs/>
          <w:color w:val="262626"/>
          <w:highlight w:val="white"/>
        </w:rPr>
        <w:t>, o que representa um aperfeiçoamento em relação à sistemática anterior. Isso torna indispensável que o orçamento contenha a data específica a que se refere.</w:t>
      </w:r>
    </w:p>
  </w:comment>
  <w:comment w:id="94" w:author="Autor" w:initials="A">
    <w:p w14:paraId="6EE0E034" w14:textId="77777777" w:rsidR="00A875C6" w:rsidRDefault="009C2D2A" w:rsidP="00625AFC">
      <w:pPr>
        <w:pStyle w:val="Textodecomentrio"/>
      </w:pPr>
      <w:r>
        <w:rPr>
          <w:rStyle w:val="Refdecomentrio"/>
        </w:rPr>
        <w:annotationRef/>
      </w:r>
      <w:r w:rsidR="00A875C6">
        <w:rPr>
          <w:b/>
          <w:bCs/>
          <w:i/>
          <w:iCs/>
          <w:color w:val="262626"/>
          <w:highlight w:val="white"/>
        </w:rPr>
        <w:t>Nota explicativa</w:t>
      </w:r>
      <w:r w:rsidR="00A875C6">
        <w:rPr>
          <w:i/>
          <w:iCs/>
          <w:color w:val="262626"/>
          <w:highlight w:val="white"/>
        </w:rPr>
        <w:t xml:space="preserve">: O PARECER n. 00003/2023/DECOR/CGU/AGU, aprovado pelo Advogado-Geral da União, ratificou o entendimento da Consultoria-Geral da União de que o reajuste em sentido estrito dos preços contratados, por meio da aplicação de índice que reflita efetivamente as variações dos custos do mercado, não representa uma modificação contratual e </w:t>
      </w:r>
      <w:r w:rsidR="00A875C6">
        <w:rPr>
          <w:b/>
          <w:bCs/>
          <w:i/>
          <w:iCs/>
          <w:color w:val="262626"/>
          <w:highlight w:val="white"/>
        </w:rPr>
        <w:t>sua concessão ex officio pela Administração deve ser a regra</w:t>
      </w:r>
      <w:r w:rsidR="00A875C6">
        <w:rPr>
          <w:i/>
          <w:iCs/>
          <w:color w:val="262626"/>
          <w:highlight w:val="white"/>
        </w:rPr>
        <w:t xml:space="preserve">, independentemente da natureza do objeto, incluindo serviços continuados e contratos de escopo. Todavia, restou assentado, excepcionalmente, que, "Por caracterizar-se o reajuste em sentido estrito como direito de ordem patrimonial e disponível, não há óbice jurídico para que, em tese, seja consumada a renúncia tácita ou a preclusão lógica do seu exercício nos contratos continuados e nos contratos de escopo, </w:t>
      </w:r>
      <w:r w:rsidR="00A875C6">
        <w:rPr>
          <w:b/>
          <w:bCs/>
          <w:i/>
          <w:iCs/>
          <w:color w:val="262626"/>
          <w:highlight w:val="white"/>
        </w:rPr>
        <w:t>desde que cumulativamente</w:t>
      </w:r>
      <w:r w:rsidR="00A875C6">
        <w:rPr>
          <w:i/>
          <w:iCs/>
          <w:color w:val="262626"/>
          <w:highlight w:val="white"/>
        </w:rPr>
        <w:t xml:space="preserve">: (a) o edital ou contrato preveja expressamente que a concessão do reajuste resta condicionada à solicitação do contratado; (b) que não haja solicitação do reajuste antes da celebração de aditamento de vigência; (c) seja celebrado aditamento para a prorrogação do prazo de vigência do contrato sem qualquer ressalva quanto à ulterior análise pela Administração do reajuste e (d) o edital expressamente preveja que a formalização do aditamento sem a concessão do reajuste, ou ressalva de sua superveniente análise, será considerada como renúncia ou preclusão lógica do direito". Observe-se que, para condicionar o reajuste à solicitação do contratado, a Administração deverá apresentar </w:t>
      </w:r>
      <w:r w:rsidR="00A875C6">
        <w:rPr>
          <w:b/>
          <w:bCs/>
          <w:i/>
          <w:iCs/>
          <w:color w:val="262626"/>
          <w:highlight w:val="white"/>
        </w:rPr>
        <w:t xml:space="preserve">motivação idônea </w:t>
      </w:r>
      <w:r w:rsidR="00A875C6">
        <w:rPr>
          <w:i/>
          <w:iCs/>
          <w:color w:val="262626"/>
          <w:highlight w:val="white"/>
        </w:rPr>
        <w:t>nos autos do processo administrativo, promovendo as respectivas adequações na cláusula sétima da minuta de termo de contrato.</w:t>
      </w:r>
    </w:p>
  </w:comment>
  <w:comment w:id="95" w:author="Autor" w:initials="A">
    <w:p w14:paraId="1D23759C" w14:textId="77777777" w:rsidR="00324A5D" w:rsidRDefault="00D41907" w:rsidP="00324A5D">
      <w:pPr>
        <w:pStyle w:val="Textodecomentrio"/>
      </w:pPr>
      <w:r>
        <w:rPr>
          <w:rStyle w:val="Refdecomentrio"/>
        </w:rPr>
        <w:annotationRef/>
      </w:r>
      <w:r w:rsidR="00324A5D">
        <w:rPr>
          <w:b/>
          <w:bCs/>
          <w:i/>
          <w:iCs/>
        </w:rPr>
        <w:t>Nota Explicativa:</w:t>
      </w:r>
      <w:r w:rsidR="00324A5D">
        <w:rPr>
          <w:i/>
          <w:iCs/>
        </w:rPr>
        <w:t xml:space="preserve"> A Lei n.º 14.133, de 2021 (art. 25, § 7, e art. 92, inciso V e § 3º), exige que a Administração indique, no edital ou em seus anexos, a data-base do orçamento estimado, a fim de que os licitantes possam aferir, de antemão, a partir de quando os custos contratuais poderão ser atualizados. Como destacado na NOTA n. 00019/2023/CNMLC/CGU/AGU (NUP: 00688.008091/2023-44), compete ao gestor, em cada caso concreto, diante das circunstâncias apresentadas, fixar a data-base do orçamento estimado a ser considerado para fins de reajustamento em sentido estrito dos preços contratuais. </w:t>
      </w:r>
    </w:p>
  </w:comment>
  <w:comment w:id="96" w:author="Autor" w:initials="A">
    <w:p w14:paraId="47196F02" w14:textId="77777777" w:rsidR="00324A5D" w:rsidRDefault="00EF3ECD" w:rsidP="00324A5D">
      <w:pPr>
        <w:pStyle w:val="Textodecomentrio"/>
      </w:pPr>
      <w:r>
        <w:rPr>
          <w:rStyle w:val="Refdecomentrio"/>
        </w:rPr>
        <w:annotationRef/>
      </w:r>
      <w:r w:rsidR="00324A5D">
        <w:rPr>
          <w:b/>
          <w:bCs/>
          <w:i/>
          <w:iCs/>
        </w:rPr>
        <w:t>Nota Explicativa 1:</w:t>
      </w:r>
      <w:r w:rsidR="00324A5D">
        <w:rPr>
          <w:i/>
          <w:iCs/>
        </w:rPr>
        <w:t xml:space="preserve"> Caso se trate da contratação de obras ou serviços de engenharia, utilizar a segunda opção, grifada em verde. </w:t>
      </w:r>
    </w:p>
    <w:p w14:paraId="35C48747" w14:textId="77777777" w:rsidR="00324A5D" w:rsidRDefault="00324A5D" w:rsidP="00324A5D">
      <w:pPr>
        <w:pStyle w:val="Textodecomentrio"/>
      </w:pPr>
    </w:p>
    <w:p w14:paraId="74A74462" w14:textId="77777777" w:rsidR="00324A5D" w:rsidRDefault="00324A5D" w:rsidP="00324A5D">
      <w:pPr>
        <w:pStyle w:val="Textodecomentrio"/>
      </w:pPr>
      <w:r>
        <w:rPr>
          <w:b/>
          <w:bCs/>
          <w:i/>
          <w:iCs/>
        </w:rPr>
        <w:t>Nota Explicativa 2:</w:t>
      </w:r>
      <w:r>
        <w:rPr>
          <w:i/>
          <w:iCs/>
        </w:rPr>
        <w:t xml:space="preserve"> Caso não tenha sido utilizado SINAPI/SICRO como referência, mencionar o sistema utilizado e respectiva data, ou ainda a data de referência para um dos demais parâmetros do §2º do art. 23 da Lei nº 14.133, de 2021, que tenham servido para a estimativa de custos do serviço.</w:t>
      </w:r>
    </w:p>
  </w:comment>
  <w:comment w:id="97" w:author="Autor" w:initials="A">
    <w:p w14:paraId="0648260A" w14:textId="775CBEB6" w:rsidR="00022BBB" w:rsidRDefault="00793206" w:rsidP="00022BBB">
      <w:pPr>
        <w:pStyle w:val="Textodecomentrio"/>
      </w:pPr>
      <w:r>
        <w:rPr>
          <w:rStyle w:val="Refdecomentrio"/>
        </w:rPr>
        <w:annotationRef/>
      </w:r>
      <w:r w:rsidR="00022BBB">
        <w:rPr>
          <w:b/>
          <w:bCs/>
          <w:i/>
          <w:iCs/>
          <w:color w:val="000000"/>
        </w:rPr>
        <w:t>Nota Explicativa 1</w:t>
      </w:r>
      <w:r w:rsidR="00022BBB">
        <w:rPr>
          <w:i/>
          <w:iCs/>
          <w:color w:val="000000"/>
        </w:rPr>
        <w:t xml:space="preserve">: A Administração deverá atentar para que o índice utilizado seja o indicador mais próximo da efetiva variação dos preços dos bens a serem fornecidos, “...o qual deverá ser preferencialmente um índice setorial ou específico, e, apenas na ausência de tal índice, um índice geral, o qual deverá ser o mais conservador possível de forma a não onerar injustificadamente a administração...” – TCU, Ac. nº 114/2013-Plenário. </w:t>
      </w:r>
    </w:p>
    <w:p w14:paraId="18E80E73" w14:textId="77777777" w:rsidR="00022BBB" w:rsidRDefault="00022BBB" w:rsidP="00022BBB">
      <w:pPr>
        <w:pStyle w:val="Textodecomentrio"/>
      </w:pPr>
    </w:p>
    <w:p w14:paraId="1E06FD1E" w14:textId="77777777" w:rsidR="00022BBB" w:rsidRDefault="00022BBB" w:rsidP="00022BBB">
      <w:pPr>
        <w:pStyle w:val="Textodecomentrio"/>
      </w:pPr>
      <w:r>
        <w:rPr>
          <w:b/>
          <w:bCs/>
          <w:i/>
          <w:iCs/>
          <w:color w:val="000000"/>
        </w:rPr>
        <w:t xml:space="preserve">Nota Explicativa 2: </w:t>
      </w:r>
      <w:r>
        <w:rPr>
          <w:i/>
          <w:iCs/>
          <w:color w:val="000000"/>
        </w:rPr>
        <w:t>A Administração poderá, ainda, utilizar índices diferenciados, inclusive mais de um, de forma justificada, de acordo com as peculiaridades envolvidas no objeto contratual (</w:t>
      </w:r>
      <w:hyperlink r:id="rId72" w:anchor="art25§7" w:history="1">
        <w:r w:rsidRPr="00595D76">
          <w:rPr>
            <w:rStyle w:val="Hyperlink"/>
            <w:i/>
            <w:iCs/>
          </w:rPr>
          <w:t>art. 25, § 7º, da Lei n.º 14.133, de 2021</w:t>
        </w:r>
      </w:hyperlink>
      <w:r>
        <w:rPr>
          <w:i/>
          <w:iCs/>
          <w:color w:val="000000"/>
        </w:rPr>
        <w:t xml:space="preserve">). Caso haja a utilização de mais de um índice, deverá a Administração ajustar a redação da cláusula de modo a especificar o insumo respectivo sobre o qual incidirá cada índice de correção. </w:t>
      </w:r>
    </w:p>
  </w:comment>
  <w:comment w:id="98" w:author="Autor" w:initials="A">
    <w:p w14:paraId="5D013385" w14:textId="77777777" w:rsidR="00A37665" w:rsidRDefault="00A37665" w:rsidP="00A37665">
      <w:pPr>
        <w:pStyle w:val="Textodecomentrio"/>
      </w:pPr>
      <w:r>
        <w:rPr>
          <w:rStyle w:val="Refdecomentrio"/>
        </w:rPr>
        <w:annotationRef/>
      </w:r>
      <w:r>
        <w:rPr>
          <w:b/>
          <w:bCs/>
          <w:i/>
          <w:iCs/>
        </w:rPr>
        <w:t xml:space="preserve">Nota Explicativa: </w:t>
      </w:r>
      <w:r>
        <w:rPr>
          <w:i/>
          <w:iCs/>
        </w:rPr>
        <w:t>A previsão da admissibilidade da cessão de credito em editais e contratos administrativos, embora não obrigatória, continua admitida por força do Parecer JL-01, do Advogado-Geral da União (disponível em http://www.planalto.gov.br/ccivil_03/AGU/Pareceres/2019-2022/PRC-JL-01-2020.htm), aprovado pelo Sr. Presidente da República em 26/05/2020, e, portanto, vinculante para toda a administração pública (arts. 40, §1º e 41 da Lei Complementar nº 73, de 1993).</w:t>
      </w:r>
    </w:p>
    <w:p w14:paraId="12225CB8" w14:textId="77777777" w:rsidR="00A37665" w:rsidRDefault="00A37665" w:rsidP="00A37665">
      <w:pPr>
        <w:pStyle w:val="Textodecomentrio"/>
      </w:pPr>
      <w:r>
        <w:rPr>
          <w:i/>
          <w:iCs/>
        </w:rPr>
        <w:t>Quanto a estas últimas, importa destacar a seguinte condicionante que foi erigida pelo referido Parecer nº JL – 01/2020 como requisito para a sua admissibilidade em contratos administrativos: inexistência de vedação no instrumento convocatório. Assim, relativamente às cessões de crédito em geral, ter-se-á por admitida desde que não haja vedação em cláusula contratual ou no instrumento convocatório.</w:t>
      </w:r>
    </w:p>
    <w:p w14:paraId="4B4BCBCB" w14:textId="77777777" w:rsidR="00A37665" w:rsidRDefault="00A37665" w:rsidP="00A37665">
      <w:pPr>
        <w:pStyle w:val="Textodecomentrio"/>
      </w:pPr>
    </w:p>
    <w:p w14:paraId="35D6197E" w14:textId="77777777" w:rsidR="00A37665" w:rsidRDefault="00A37665" w:rsidP="00A37665">
      <w:pPr>
        <w:pStyle w:val="Textodecomentrio"/>
      </w:pPr>
      <w:r>
        <w:rPr>
          <w:i/>
          <w:iCs/>
        </w:rPr>
        <w:t>Por essa razão, tendo ou não a clausula, a cessão é admitida. Recomenda-se manter a disposição em razão das regras previstas no Parecer JL-01/2020, salvo se a cláusula for modificada para que conste uma vedação à cessão de crédito.</w:t>
      </w:r>
    </w:p>
  </w:comment>
  <w:comment w:id="99" w:author="Autor" w:initials="A">
    <w:p w14:paraId="719CBC14" w14:textId="77777777" w:rsidR="00A37665" w:rsidRDefault="00A37665" w:rsidP="00A37665">
      <w:pPr>
        <w:pStyle w:val="Textodecomentrio"/>
      </w:pPr>
      <w:r>
        <w:rPr>
          <w:rStyle w:val="Refdecomentrio"/>
        </w:rPr>
        <w:annotationRef/>
      </w:r>
      <w:r>
        <w:rPr>
          <w:b/>
          <w:bCs/>
        </w:rPr>
        <w:t xml:space="preserve">Nota Explicativa: </w:t>
      </w:r>
      <w:r>
        <w:t>No caso desse subitem, o órgão contratante pode optar por mudar a redação para já vedar de plano as cessões de crédito</w:t>
      </w:r>
    </w:p>
  </w:comment>
  <w:comment w:id="100" w:author="Autor" w:initials="A">
    <w:p w14:paraId="24E84C25" w14:textId="77777777" w:rsidR="00A37665" w:rsidRDefault="00A37665" w:rsidP="00A37665">
      <w:pPr>
        <w:pStyle w:val="Textodecomentrio"/>
      </w:pPr>
      <w:r>
        <w:rPr>
          <w:rStyle w:val="Refdecomentrio"/>
        </w:rPr>
        <w:annotationRef/>
      </w:r>
      <w:r>
        <w:rPr>
          <w:b/>
          <w:bCs/>
          <w:i/>
          <w:iCs/>
          <w:color w:val="000000"/>
        </w:rPr>
        <w:t>Nota Explicativa:</w:t>
      </w:r>
      <w:r>
        <w:rPr>
          <w:i/>
          <w:iCs/>
          <w:color w:val="000000"/>
        </w:rPr>
        <w:t xml:space="preserve"> Os condicionamentos desses subitens decorrem das conclusões do Parecer JL-01, de 18 de maio de 2020.</w:t>
      </w:r>
    </w:p>
  </w:comment>
  <w:comment w:id="101" w:author="Autor" w:initials="A">
    <w:p w14:paraId="7EBDEB19" w14:textId="77777777" w:rsidR="00A37665" w:rsidRDefault="00A37665" w:rsidP="00A37665">
      <w:pPr>
        <w:pStyle w:val="Textodecomentrio"/>
      </w:pPr>
      <w:r>
        <w:rPr>
          <w:rStyle w:val="Refdecomentrio"/>
        </w:rPr>
        <w:annotationRef/>
      </w:r>
      <w:r>
        <w:t>A Instrução Normativa SEGES/MGI nº 82/2025 enquadrou o AntecipaGov como uma operação de crédito comum. Não mais como uma cessão de crédito.</w:t>
      </w:r>
    </w:p>
    <w:p w14:paraId="56F11F1C" w14:textId="77777777" w:rsidR="00A37665" w:rsidRDefault="00A37665" w:rsidP="00A37665">
      <w:pPr>
        <w:pStyle w:val="Textodecomentrio"/>
      </w:pPr>
    </w:p>
    <w:p w14:paraId="7B4346EA" w14:textId="77777777" w:rsidR="00A37665" w:rsidRDefault="00A37665" w:rsidP="00A37665">
      <w:pPr>
        <w:pStyle w:val="Textodecomentrio"/>
      </w:pPr>
      <w:r>
        <w:t xml:space="preserve">Uma mudança de entendimento correta, já que, pelo funcionamento do sistema, o pagamento à contratada é perfectibilizado, já que feito em conta de sua titularidade, sem qualquer cessão de crédito. </w:t>
      </w:r>
    </w:p>
    <w:p w14:paraId="5F0485BA" w14:textId="77777777" w:rsidR="00A37665" w:rsidRDefault="00A37665" w:rsidP="00A37665">
      <w:pPr>
        <w:pStyle w:val="Textodecomentrio"/>
      </w:pPr>
    </w:p>
    <w:p w14:paraId="4B8B2130" w14:textId="77777777" w:rsidR="00A37665" w:rsidRDefault="00A37665" w:rsidP="00A37665">
      <w:pPr>
        <w:pStyle w:val="Textodecomentrio"/>
      </w:pPr>
      <w:r>
        <w:t>Mesmo se houver a necessidade de "resgate" pela instituição financeira dos valores depositados nessa conta, como esta é do contratado, não é uma cessao de crédito, de haveres futuros, mas sim uma simples transferência pelo contratado à instituição financeira. O Antecipagov possibilita que se coloque como garantia, em operações de credito, o valor recebido a título de pagamentos contratuais, mas não haveres futuros, já que o pagamento ainda é feito à contratada e não à instituição financeira.</w:t>
      </w:r>
    </w:p>
    <w:p w14:paraId="33850881" w14:textId="77777777" w:rsidR="00A37665" w:rsidRDefault="00A37665" w:rsidP="00A37665">
      <w:pPr>
        <w:pStyle w:val="Textodecomentrio"/>
      </w:pPr>
    </w:p>
    <w:p w14:paraId="11A3FD14" w14:textId="77777777" w:rsidR="00A37665" w:rsidRDefault="00A37665" w:rsidP="00A37665">
      <w:pPr>
        <w:pStyle w:val="Textodecomentrio"/>
      </w:pPr>
      <w:r>
        <w:t>Não sendo, portanto, uma cessão de crédito, nem mesmo fiduciária, a operação não é regulada pelo Parecer JL-01, de 2020 ou por esta seção. Nesse sentido, a própria Instrução Normativa dispõe que "A ausência de previsão expressa no contrato ou no termo de referência não impede a realização</w:t>
      </w:r>
    </w:p>
    <w:p w14:paraId="5B30B54A" w14:textId="77777777" w:rsidR="00A37665" w:rsidRDefault="00A37665" w:rsidP="00A37665">
      <w:pPr>
        <w:pStyle w:val="Textodecomentrio"/>
      </w:pPr>
      <w:r>
        <w:t xml:space="preserve"> de operação de crédito no Portal AntecipaGov".</w:t>
      </w:r>
    </w:p>
  </w:comment>
  <w:comment w:id="102" w:author="Autor" w:initials="A">
    <w:p w14:paraId="727C4C84" w14:textId="77777777" w:rsidR="0001559C" w:rsidRDefault="00D62468">
      <w:pPr>
        <w:pStyle w:val="Textodecomentrio"/>
      </w:pPr>
      <w:r>
        <w:rPr>
          <w:rStyle w:val="Refdecomentrio"/>
        </w:rPr>
        <w:annotationRef/>
      </w:r>
      <w:r w:rsidR="0001559C">
        <w:rPr>
          <w:b/>
          <w:bCs/>
          <w:i/>
          <w:iCs/>
        </w:rPr>
        <w:t xml:space="preserve">Nota Explicativa: </w:t>
      </w:r>
      <w:r w:rsidR="0001559C">
        <w:rPr>
          <w:i/>
          <w:iCs/>
        </w:rPr>
        <w:t xml:space="preserve">O art. 121, § 3º, incisos III e V, da Lei n.º 14.133/2021, estabelece que, </w:t>
      </w:r>
      <w:r w:rsidR="0001559C">
        <w:rPr>
          <w:b/>
          <w:bCs/>
          <w:i/>
          <w:iCs/>
        </w:rPr>
        <w:t>nas contratações de serviços contínuos com regime de dedicação exclusiva de mão de obra</w:t>
      </w:r>
      <w:r w:rsidR="0001559C">
        <w:rPr>
          <w:i/>
          <w:iCs/>
        </w:rPr>
        <w:t>, para assegurar o cumprimento de obrigações trabalhistas pelo contratado, a Administração, mediante disposição em edital ou em contrato, poderá, entre outras medidas, “III-  efetuar o depósito de valores em conta vinculada;” e  “V - estabelecer que os valores destinados a férias, a décimo terceiro salário, a ausências legais e a verbas rescisórias dos empregados do contratado que participarem da execução dos serviços contratados serão pagos pelo contratante ao contratado somente na ocorrência do fato gerador”.</w:t>
      </w:r>
      <w:r w:rsidR="0001559C">
        <w:t xml:space="preserve"> </w:t>
      </w:r>
    </w:p>
    <w:p w14:paraId="2397DBE8" w14:textId="77777777" w:rsidR="0001559C" w:rsidRDefault="0001559C" w:rsidP="00625AFC">
      <w:pPr>
        <w:pStyle w:val="Textodecomentrio"/>
      </w:pPr>
      <w:r>
        <w:rPr>
          <w:i/>
          <w:iCs/>
        </w:rPr>
        <w:t xml:space="preserve">Como já mencionado, a </w:t>
      </w:r>
      <w:r>
        <w:rPr>
          <w:i/>
          <w:iCs/>
          <w:color w:val="000000"/>
        </w:rPr>
        <w:t xml:space="preserve">Instrução Normativa SEGES/ME nº 98, de 26 de dezembro de 2022 </w:t>
      </w:r>
      <w:r>
        <w:rPr>
          <w:i/>
          <w:iCs/>
        </w:rPr>
        <w:t xml:space="preserve">autoriza a utilização da IN SEGES/MP nº 05/2017, no que couber, quanto à atuação da gestão e fiscalização da execução contratual nos processos de contratação direta de que dispõe a Lei nº 14.133/2021. O art. 39 da IN SEGES/MP nº 05/ 2017, a seu turno, inclui na gestão </w:t>
      </w:r>
      <w:r>
        <w:rPr>
          <w:b/>
          <w:bCs/>
          <w:i/>
          <w:iCs/>
        </w:rPr>
        <w:t>contratual</w:t>
      </w:r>
      <w:r>
        <w:rPr>
          <w:i/>
          <w:iCs/>
        </w:rPr>
        <w:t xml:space="preserve"> as ações que têm por objetivo “verificar a regularidade das obrigações previdenciárias, fiscais e trabalhistas”, bem como a “instrução processual e o encaminhamento da documentação pertinente” para “pagamento”.</w:t>
      </w:r>
    </w:p>
  </w:comment>
  <w:comment w:id="103" w:author="Autor" w:initials="A">
    <w:p w14:paraId="56B3B9D2" w14:textId="77777777" w:rsidR="0001559C" w:rsidRDefault="00D62468">
      <w:pPr>
        <w:pStyle w:val="Textodecomentrio"/>
      </w:pPr>
      <w:r>
        <w:rPr>
          <w:rStyle w:val="Refdecomentrio"/>
        </w:rPr>
        <w:annotationRef/>
      </w:r>
      <w:r w:rsidR="0001559C">
        <w:rPr>
          <w:b/>
          <w:bCs/>
          <w:i/>
          <w:iCs/>
        </w:rPr>
        <w:t>Nota Explicativa:</w:t>
      </w:r>
      <w:r w:rsidR="0001559C">
        <w:rPr>
          <w:i/>
          <w:iCs/>
        </w:rPr>
        <w:t xml:space="preserve"> O pagamento pelo fato gerador está previsto no artigo 18, inciso II, da IN SEGES/MP n. 05/2017, aplicável, no caso, por força do art. 1º da IN SEGES/ME n.º</w:t>
      </w:r>
      <w:r w:rsidR="0001559C">
        <w:rPr>
          <w:i/>
          <w:iCs/>
          <w:color w:val="0078D4"/>
        </w:rPr>
        <w:t xml:space="preserve"> 98, de 2022</w:t>
      </w:r>
      <w:r w:rsidR="0001559C">
        <w:rPr>
          <w:i/>
          <w:iCs/>
        </w:rPr>
        <w:t xml:space="preserve">. Eis a definição constante do Anexo I da IN SEGES/MP n. 05/2017: </w:t>
      </w:r>
    </w:p>
    <w:p w14:paraId="47EC95AA" w14:textId="77777777" w:rsidR="0001559C" w:rsidRDefault="0001559C">
      <w:pPr>
        <w:pStyle w:val="Textodecomentrio"/>
      </w:pPr>
      <w:r>
        <w:rPr>
          <w:i/>
          <w:iCs/>
        </w:rPr>
        <w:t xml:space="preserve">XIV – PAGAMENTO PELO FATO GERADOR: Situação de fato ou conjunto de fatos, prevista na lei ou contrato, necessária e suficiente a sua materialização, que gera obrigação de pagamento do contratante à contratada. Caso a Administração opte por efetuar o pagamento pelo Fato Gerador, deverá ajustar seu mapa de riscos a essa opção.  </w:t>
      </w:r>
    </w:p>
    <w:p w14:paraId="5A368109" w14:textId="77777777" w:rsidR="0001559C" w:rsidRDefault="0001559C">
      <w:pPr>
        <w:pStyle w:val="Textodecomentrio"/>
      </w:pPr>
      <w:r>
        <w:rPr>
          <w:i/>
          <w:iCs/>
        </w:rPr>
        <w:t xml:space="preserve">Vale ressaltar que, em atenção ao art. 18, § 1º, inciso II, da IN SEGES/MP n.º 05/2017, foi editado pela SEGES/MP o Caderno de Logística contendo orientações básicas para operacionalização do Pagamento pelo Fato Gerador, as quais deverão ser integralmente observadas pela Administração (disponível em </w:t>
      </w:r>
      <w:hyperlink r:id="rId73" w:history="1">
        <w:r w:rsidRPr="00074CA3">
          <w:rPr>
            <w:rStyle w:val="Hyperlink"/>
            <w:i/>
            <w:iCs/>
          </w:rPr>
          <w:t>https://www.comprasgovernamentais.gov.br/images/conteudo/ArquivosCGNOR/fato_gerador.pdf</w:t>
        </w:r>
      </w:hyperlink>
      <w:r>
        <w:rPr>
          <w:i/>
          <w:iCs/>
        </w:rPr>
        <w:t>)</w:t>
      </w:r>
      <w:r>
        <w:rPr>
          <w:i/>
          <w:iCs/>
          <w:highlight w:val="white"/>
        </w:rPr>
        <w:t xml:space="preserve"> </w:t>
      </w:r>
      <w:r>
        <w:rPr>
          <w:i/>
          <w:iCs/>
        </w:rPr>
        <w:t xml:space="preserve"> </w:t>
      </w:r>
    </w:p>
    <w:p w14:paraId="78010DC8" w14:textId="77777777" w:rsidR="0001559C" w:rsidRDefault="0001559C">
      <w:pPr>
        <w:pStyle w:val="Textodecomentrio"/>
      </w:pPr>
      <w:r>
        <w:rPr>
          <w:i/>
          <w:iCs/>
        </w:rPr>
        <w:t xml:space="preserve">Rememore-se, por fim, que o art. 121, § 3º, incisos III e V, da Lei n.º 14.133/2021, prevê que, em contratos continuados com dedicação exclusiva de mão-de-obra, a Administração poderá prever em edital ou contrato, dentre outras medidas, a necessidade de ser efetuado o depósito de valores em conta vinculada ou, ainda, estabelecer que os valores destinados a férias, a décimo terceiro salário, a ausências legais e a verbas rescisórias dos empregados do contratado que participarem da execução dos serviços serão pagos pelo contratante ao contratado somente na ocorrência do fato gerador.  </w:t>
      </w:r>
    </w:p>
    <w:p w14:paraId="15B02BAF" w14:textId="77777777" w:rsidR="0001559C" w:rsidRDefault="0001559C" w:rsidP="00625AFC">
      <w:pPr>
        <w:pStyle w:val="Textodecomentrio"/>
      </w:pPr>
      <w:r>
        <w:rPr>
          <w:i/>
          <w:iCs/>
        </w:rPr>
        <w:t xml:space="preserve">Dessa forma, e considerando que se trata de mecanismos, em princípio, excludentes entre si, incumbe à Administração escolher, alternativamente, entre a utilização da Conta-Vinculada ou do Pagamento pelo Fato Gerador. </w:t>
      </w:r>
    </w:p>
  </w:comment>
  <w:comment w:id="105" w:author="Autor" w:initials="A">
    <w:p w14:paraId="09A5FDC8" w14:textId="77777777" w:rsidR="002163DF" w:rsidRDefault="006B1AE7" w:rsidP="00625AFC">
      <w:pPr>
        <w:pStyle w:val="Textodecomentrio"/>
      </w:pPr>
      <w:r>
        <w:rPr>
          <w:rStyle w:val="Refdecomentrio"/>
        </w:rPr>
        <w:annotationRef/>
      </w:r>
      <w:r w:rsidR="002163DF">
        <w:rPr>
          <w:b/>
          <w:bCs/>
          <w:i/>
          <w:iCs/>
          <w:color w:val="000000"/>
        </w:rPr>
        <w:t xml:space="preserve">Nota Explicativa 1: </w:t>
      </w:r>
      <w:r w:rsidR="002163DF">
        <w:rPr>
          <w:i/>
          <w:iCs/>
          <w:color w:val="000000"/>
        </w:rPr>
        <w:t>Os prazos e percentuais para a aplicação da multa moratória em caso de atraso na apresentação da garantia são aqueles indicados nas alíneas "e" e "f" do item 3.1 do Anexo VII-F da Instrução Normativa SEGES/MP n.º 05/2017, cuja aplicação aos processos regidos pela Lei n.º 14.133, de 2021, foi autorizada pela Instrução Normativa SEGES/ME nº 98, de 26 de dezembro de 2022.</w:t>
      </w:r>
    </w:p>
  </w:comment>
  <w:comment w:id="104" w:author="Autor" w:initials="A">
    <w:p w14:paraId="3AA7694E" w14:textId="77777777" w:rsidR="007D54B0" w:rsidRDefault="00C018AD" w:rsidP="007C4769">
      <w:pPr>
        <w:pStyle w:val="Textodecomentrio"/>
      </w:pPr>
      <w:r>
        <w:rPr>
          <w:rStyle w:val="Refdecomentrio"/>
        </w:rPr>
        <w:annotationRef/>
      </w:r>
      <w:r w:rsidR="007D54B0">
        <w:rPr>
          <w:b/>
          <w:bCs/>
          <w:i/>
          <w:iCs/>
        </w:rPr>
        <w:t>Nota Explicativa :</w:t>
      </w:r>
      <w:r w:rsidR="007D54B0">
        <w:rPr>
          <w:i/>
          <w:iCs/>
        </w:rPr>
        <w:t xml:space="preserve"> A </w:t>
      </w:r>
      <w:hyperlink r:id="rId74" w:history="1">
        <w:r w:rsidR="007D54B0" w:rsidRPr="00153063">
          <w:rPr>
            <w:rStyle w:val="Hyperlink"/>
          </w:rPr>
          <w:t>Lei nº 14.133, de 2021 (art. 162, parágrafo único)</w:t>
        </w:r>
      </w:hyperlink>
      <w:r w:rsidR="007D54B0">
        <w:rPr>
          <w:i/>
          <w:iCs/>
        </w:rPr>
        <w:t xml:space="preserve">, apregoa que “a aplicação de multa de mora não impedirá que a Administração a converta em compensatória e promova a extinção unilateral do contrato com a aplicação cumulada de outras sanções”. Dessa forma, a Administração deve decidir, caso a caso, de acordo com o objeto, </w:t>
      </w:r>
      <w:r w:rsidR="007D54B0">
        <w:rPr>
          <w:b/>
          <w:bCs/>
          <w:i/>
          <w:iCs/>
        </w:rPr>
        <w:t>qual o prazo limite para a mora do contratado,</w:t>
      </w:r>
      <w:r w:rsidR="007D54B0">
        <w:rPr>
          <w:i/>
          <w:iCs/>
        </w:rPr>
        <w:t xml:space="preserve"> a partir do qual a execução da prestação deixa de ser útil e enseja </w:t>
      </w:r>
      <w:r w:rsidR="007D54B0">
        <w:rPr>
          <w:i/>
          <w:iCs/>
          <w:highlight w:val="yellow"/>
        </w:rPr>
        <w:t xml:space="preserve">a substituição da multa moratória pela multa compensatória, além da </w:t>
      </w:r>
      <w:r w:rsidR="007D54B0">
        <w:rPr>
          <w:i/>
          <w:iCs/>
        </w:rPr>
        <w:t>rescisão do contrato. Lembre-se que esse modelo é apenas uma sugestão; é possível escalonar as multas conforme os dias de atraso, por exemplo.</w:t>
      </w:r>
    </w:p>
  </w:comment>
  <w:comment w:id="106" w:author="Autor" w:initials="A">
    <w:p w14:paraId="3033ED48" w14:textId="0A00534E" w:rsidR="00C018AD" w:rsidRDefault="00C018AD">
      <w:pPr>
        <w:pStyle w:val="Textodecomentrio"/>
      </w:pPr>
      <w:r>
        <w:rPr>
          <w:rStyle w:val="Refdecomentrio"/>
        </w:rPr>
        <w:annotationRef/>
      </w:r>
      <w:r>
        <w:rPr>
          <w:b/>
          <w:bCs/>
          <w:i/>
          <w:iCs/>
          <w:color w:val="000000"/>
        </w:rPr>
        <w:t xml:space="preserve">Nota Explicativa 1: </w:t>
      </w:r>
      <w:r>
        <w:rPr>
          <w:i/>
          <w:iCs/>
          <w:color w:val="000000"/>
        </w:rPr>
        <w:t>Os prazos e percentuais para a aplicação da multa moratória em caso de atraso na apresentação da garantia são aqueles indicados nas alíneas "e" e "f" do item 3.1 do Anexo VII-F da Instrução Normativa SEGES/MP n.º 05/2017, cuja aplicação aos processos regidos pela Lei n.º 14.133, de 2021, foi autorizada pela Instrução Normativa SEGES/ME nº 98, de 26 de dezembro de 2022.</w:t>
      </w:r>
    </w:p>
    <w:p w14:paraId="5322B5F3" w14:textId="77777777" w:rsidR="00C018AD" w:rsidRDefault="00C018AD">
      <w:pPr>
        <w:pStyle w:val="Textodecomentrio"/>
      </w:pPr>
    </w:p>
    <w:p w14:paraId="0D702A3A" w14:textId="77777777" w:rsidR="00C018AD" w:rsidRDefault="00C018AD" w:rsidP="007C4769">
      <w:pPr>
        <w:pStyle w:val="Textodecomentrio"/>
      </w:pPr>
      <w:r>
        <w:rPr>
          <w:b/>
          <w:bCs/>
          <w:i/>
          <w:iCs/>
        </w:rPr>
        <w:t xml:space="preserve">Nota Explicativa 2: </w:t>
      </w:r>
      <w:r>
        <w:rPr>
          <w:i/>
          <w:iCs/>
        </w:rPr>
        <w:t>Recomenda-se suprimir a sanção relativa à apresentação, reposição ou suplementação da garantia caso esta não seja exigida para a contratação.</w:t>
      </w:r>
    </w:p>
  </w:comment>
  <w:comment w:id="107" w:author="Autor" w:initials="A">
    <w:p w14:paraId="2D4E7AA2" w14:textId="77777777" w:rsidR="006330AE" w:rsidRDefault="006330AE">
      <w:pPr>
        <w:pStyle w:val="Textodecomentrio"/>
      </w:pPr>
      <w:r>
        <w:rPr>
          <w:rStyle w:val="Refdecomentrio"/>
        </w:rPr>
        <w:annotationRef/>
      </w:r>
      <w:r>
        <w:rPr>
          <w:b/>
          <w:bCs/>
          <w:i/>
          <w:iCs/>
          <w:color w:val="000000"/>
          <w:highlight w:val="white"/>
        </w:rPr>
        <w:t>Nota Explicativa</w:t>
      </w:r>
      <w:r>
        <w:rPr>
          <w:i/>
          <w:iCs/>
          <w:color w:val="000000"/>
          <w:highlight w:val="white"/>
        </w:rPr>
        <w:t xml:space="preserve">: O art. 156, §3º, da Lei nº 14.133, de 2021, esclarece que “a multa não poderá ser inferior a 0,5% (cinco décimos por cento) nem superior a 30% (trinta por cento) do valor do contrato licitado ou celebrado com contratação direta e será aplicada ao responsável por qualquer das infrações administrativas previstas no art. 155 desta Lei”. </w:t>
      </w:r>
    </w:p>
    <w:p w14:paraId="36C37756" w14:textId="77777777" w:rsidR="006330AE" w:rsidRDefault="006330AE">
      <w:pPr>
        <w:pStyle w:val="Textodecomentrio"/>
      </w:pPr>
      <w:r>
        <w:rPr>
          <w:i/>
          <w:iCs/>
          <w:color w:val="333333"/>
          <w:highlight w:val="yellow"/>
        </w:rPr>
        <w:t xml:space="preserve">Referidos limites são aplicáveis à </w:t>
      </w:r>
      <w:r>
        <w:rPr>
          <w:b/>
          <w:bCs/>
          <w:i/>
          <w:iCs/>
          <w:color w:val="333333"/>
          <w:highlight w:val="yellow"/>
        </w:rPr>
        <w:t>multa compensatória</w:t>
      </w:r>
      <w:r>
        <w:rPr>
          <w:i/>
          <w:iCs/>
          <w:color w:val="333333"/>
          <w:highlight w:val="yellow"/>
        </w:rPr>
        <w:t xml:space="preserve">, prevista no art. 156, inciso II, da Lei n.º 14.133/2021, e não à multa moratória, disciplinada no art. 162, da Lei n.º 14.133/2021, em relação à qual a Lei n.º 14.133/2021 não estabeleceu os respectivos parâmetros. Entende-se que o limite máximo para a multa moratória consiste no </w:t>
      </w:r>
      <w:r>
        <w:rPr>
          <w:b/>
          <w:bCs/>
          <w:i/>
          <w:iCs/>
          <w:color w:val="333333"/>
          <w:highlight w:val="yellow"/>
        </w:rPr>
        <w:t>valor da obrigação contratual principal</w:t>
      </w:r>
      <w:r>
        <w:rPr>
          <w:i/>
          <w:iCs/>
          <w:color w:val="333333"/>
          <w:highlight w:val="yellow"/>
        </w:rPr>
        <w:t xml:space="preserve">, com base no art. 412 do Código Civil, aplicável aos contratos administrativos por força do caput do art. 89 da Lei n.º 14.133/2021, excluindo-se, com isso, a aplicação subsidiária da Lei de Usura e da Lei 9.430/1996 ("Dispõe sobre a legislação tributária federal, as contribuições para a seguridade social, o processo administrativo de consulta"). </w:t>
      </w:r>
    </w:p>
    <w:p w14:paraId="365CAE6D" w14:textId="77777777" w:rsidR="006330AE" w:rsidRDefault="006330AE" w:rsidP="007C4769">
      <w:pPr>
        <w:pStyle w:val="Textodecomentrio"/>
      </w:pPr>
      <w:r>
        <w:rPr>
          <w:i/>
          <w:iCs/>
          <w:color w:val="333333"/>
          <w:highlight w:val="yellow"/>
        </w:rPr>
        <w:t xml:space="preserve">Esse é o entendimento sustentado no </w:t>
      </w:r>
      <w:r>
        <w:rPr>
          <w:b/>
          <w:bCs/>
          <w:i/>
          <w:iCs/>
          <w:color w:val="333333"/>
          <w:highlight w:val="yellow"/>
        </w:rPr>
        <w:t>PARECER n. 00008/2020/CPLC/DEPCONSU/PGF/AGU</w:t>
      </w:r>
      <w:r>
        <w:rPr>
          <w:i/>
          <w:iCs/>
          <w:color w:val="333333"/>
          <w:highlight w:val="yellow"/>
        </w:rPr>
        <w:t xml:space="preserve"> (NUP 21181.000350/2020-17) e que, inclusive, foi expressamente adotado pelo T</w:t>
      </w:r>
      <w:r>
        <w:rPr>
          <w:b/>
          <w:bCs/>
          <w:i/>
          <w:iCs/>
          <w:color w:val="333333"/>
          <w:highlight w:val="yellow"/>
        </w:rPr>
        <w:t>CU no Acórdão 1685/2021 – Plenário,</w:t>
      </w:r>
      <w:r>
        <w:rPr>
          <w:i/>
          <w:iCs/>
          <w:color w:val="333333"/>
          <w:highlight w:val="yellow"/>
        </w:rPr>
        <w:t xml:space="preserve"> por meio do qual o Tribunal considerou oportuno reavaliar a adoção da Lei de Usura como critério apto a nortear o percentual máximo da multa moratória aplicável aos contratos administrativos. </w:t>
      </w:r>
    </w:p>
  </w:comment>
  <w:comment w:id="109" w:author="Autor" w:initials="A">
    <w:p w14:paraId="76425966" w14:textId="77777777" w:rsidR="00B74C43" w:rsidRDefault="00F01258" w:rsidP="00B74C43">
      <w:pPr>
        <w:pStyle w:val="Textodecomentrio"/>
      </w:pPr>
      <w:r>
        <w:rPr>
          <w:rStyle w:val="Refdecomentrio"/>
        </w:rPr>
        <w:annotationRef/>
      </w:r>
      <w:r w:rsidR="00B74C43">
        <w:rPr>
          <w:b/>
          <w:bCs/>
          <w:i/>
          <w:iCs/>
        </w:rPr>
        <w:t xml:space="preserve">Nota Explicativa1 : </w:t>
      </w:r>
      <w:r w:rsidR="00B74C43">
        <w:rPr>
          <w:i/>
          <w:iCs/>
        </w:rPr>
        <w:t>Para o caso de contratação direta, adequar o título da subseção e registrar a justificativa para a dispensa ou inexigibilidade de licitação.</w:t>
      </w:r>
    </w:p>
    <w:p w14:paraId="6A6C9DBB" w14:textId="77777777" w:rsidR="00B74C43" w:rsidRDefault="00B74C43" w:rsidP="00B74C43">
      <w:pPr>
        <w:pStyle w:val="Textodecomentrio"/>
      </w:pPr>
    </w:p>
    <w:p w14:paraId="2991AFAE" w14:textId="77777777" w:rsidR="00B74C43" w:rsidRDefault="00B74C43" w:rsidP="00B74C43">
      <w:pPr>
        <w:pStyle w:val="Textodecomentrio"/>
      </w:pPr>
      <w:r>
        <w:rPr>
          <w:b/>
          <w:bCs/>
          <w:i/>
          <w:iCs/>
        </w:rPr>
        <w:t>Nota Explicativa 2:</w:t>
      </w:r>
      <w:r>
        <w:rPr>
          <w:i/>
          <w:iCs/>
        </w:rPr>
        <w:t xml:space="preserve"> A Lei n.º 14.133, de 2021, ao contrário da Lei n.º 8.666, de 1993, não define as modalidades de licitação em razão do valor do objeto, mas, sim, em razão de sua natureza ou complexidade. Assim, enquanto o pregão é a modalidade de licitação obrigatória para aquisição de bens e serviços comuns (art. 6º, inciso XLI, c/c art. 29), exclusivamente pelos critérios de julgamento de menor preço ou maior desconto, a concorrência é a modalidade cabível para a contratação de bens e serviços especiais e de obras e serviços comuns e especiais de engenharia (art. 6º, inciso XXXVIII, c/c o art. 29), pelos critérios de menor preço, melhor técnica ou conteúdo artístico, técnica e preço, maior retorno econômico e maior desconto. A Administração deverá atentar para o regramento legal e definir a modalidade de licitação e o critério de julgamento a serem adotados, conforme a natureza do objeto e suas especificidades. </w:t>
      </w:r>
    </w:p>
  </w:comment>
  <w:comment w:id="111" w:author="Autor" w:initials="A">
    <w:p w14:paraId="7334A95E" w14:textId="6F44A375" w:rsidR="00294B3A" w:rsidRDefault="00D62468" w:rsidP="007C4769">
      <w:pPr>
        <w:pStyle w:val="Textodecomentrio"/>
      </w:pPr>
      <w:r>
        <w:rPr>
          <w:rStyle w:val="Refdecomentrio"/>
        </w:rPr>
        <w:annotationRef/>
      </w:r>
      <w:r w:rsidR="00294B3A">
        <w:rPr>
          <w:b/>
          <w:bCs/>
          <w:i/>
          <w:iCs/>
        </w:rPr>
        <w:t>Nota Explicativa</w:t>
      </w:r>
      <w:r w:rsidR="00294B3A">
        <w:t xml:space="preserve">: </w:t>
      </w:r>
      <w:r w:rsidR="00294B3A">
        <w:rPr>
          <w:i/>
          <w:iCs/>
        </w:rPr>
        <w:t>O regime de execução deve ser sopesado e explicitado pela Administração, em particular em termos de eficiência na gestão contratual. Como regra, exige-se que as características qualitativas e quantitativas do objeto sejam previamente definidas no edital, termo de referência ou aviso de contratação, permitindo-se aos interessados a elaboração de proposta fundada em dados objetivos e seguros. Quando isso não é possível, ou seja, quando não se sabe ao certo a estimativa precisa dos itens e quantitativos que compõem o objeto a ser contratado, o gestor deve avaliar a melhor forma de execução contratual. Na empreitada por preço global, cada parte assume, em tese, o risco de eventuais distorções nos quantitativos a serem executados, que podem ser superiores ou inferiores àqueles originalmente previstos na planilha orçamentária da contratação. Justamente por isso, a adoção de tal regime pressupõe um Termo de Referência de boa qualidade, que estime com adequado nível de precisão as especificações e quantitativos da obra ou serviço, fornecendo aos interessados todos os elementos e informações necessários para o total e completo conhecimento do objeto e a elaboração de proposta fidedigna, para evitar distorções relevantes no decorrer da execução contratual (TCU. Acórdão 1978/2013-Plenário, TC 007.109/2013-0, relator Ministro Valmir Campelo, 31.7.2013). Já na empreitada por preço unitário, em que o preço é fixado por unidade determinada, os pagamentos correspondem à medição dos serviços efetivamente executados, de modo que os riscos dos contratantes em relação a diferenças de quantitativos são menores. Tal regime é mais apropriado para os casos em que não se conhecem de antemão, com adequado nível de precisão, os quantitativos totais da obra ou serviço: a execução das “unidades” se dará de acordo com a necessidade observada, com a realização de medições periódicas a fim de quantificar os serviços efetivamente executados e os correspondentes valores devidos (TCU. Acórdão 1978/2013-Plenário, TC 007.109/2013-0, relator Ministro Valmir Campelo, 31.7.2013). Assim, na empreitada por preço unitário haverá a execução do contrato conforme a demanda, e esse regime de execução foi criado para resolver o problema da necessidade de fixar uma remuneração sem que se tivesse, desde logo, a quantidade exata do encargo a ser executado. A opção da Administração por um ou outro regime não decorre de mera conveniência, mas sim da possibilidade, no caso concreto, de predefinir uma </w:t>
      </w:r>
      <w:r w:rsidR="00294B3A">
        <w:rPr>
          <w:b/>
          <w:bCs/>
          <w:i/>
          <w:iCs/>
        </w:rPr>
        <w:t>estimativa precisa dos itens e respectivos quantitativos que compõem o objeto a ser contratado. Se tal possibilidade existir, a regra é a adoção da empreitada por preço global, normalmente atrelada às obras e serviços de menor complexidade. Do contrário, deve ser adotada a empreitada por preço unitário.</w:t>
      </w:r>
    </w:p>
  </w:comment>
  <w:comment w:id="112" w:author="Autor" w:initials="A">
    <w:p w14:paraId="6F187BCD" w14:textId="77777777" w:rsidR="00843F98" w:rsidRDefault="00843F98" w:rsidP="00843F98">
      <w:pPr>
        <w:pStyle w:val="Textodecomentrio"/>
      </w:pPr>
      <w:r>
        <w:rPr>
          <w:rStyle w:val="Refdecomentrio"/>
        </w:rPr>
        <w:annotationRef/>
      </w:r>
      <w:r>
        <w:rPr>
          <w:b/>
          <w:bCs/>
          <w:i/>
          <w:iCs/>
        </w:rPr>
        <w:t>Nota Explicativa</w:t>
      </w:r>
      <w:r>
        <w:rPr>
          <w:i/>
          <w:iCs/>
        </w:rPr>
        <w:t>: Caso o objeto envolva parte sujeita ao regime de empreitada por preço global e parte sujeita ao regime de empreitada por preço unitário, em que os serviços são prestados e pagos sob demanda, ajustar a cláusula conforme a necessidade.</w:t>
      </w:r>
    </w:p>
  </w:comment>
  <w:comment w:id="114" w:author="Autor" w:initials="A">
    <w:p w14:paraId="66EAA31C" w14:textId="77777777" w:rsidR="00324A5D" w:rsidRDefault="00243342" w:rsidP="00324A5D">
      <w:pPr>
        <w:pStyle w:val="Textodecomentrio"/>
      </w:pPr>
      <w:r>
        <w:rPr>
          <w:rStyle w:val="Refdecomentrio"/>
        </w:rPr>
        <w:annotationRef/>
      </w:r>
      <w:r w:rsidR="00324A5D">
        <w:rPr>
          <w:b/>
          <w:bCs/>
          <w:i/>
          <w:iCs/>
          <w:color w:val="000000"/>
        </w:rPr>
        <w:t xml:space="preserve">Nota Explicativa 1: </w:t>
      </w:r>
      <w:r w:rsidR="00324A5D">
        <w:rPr>
          <w:i/>
          <w:iCs/>
          <w:color w:val="000000"/>
        </w:rPr>
        <w:t xml:space="preserve">Inserir essas disposições sobre o critério de aceitabilidade de preços caso se trate da contratação de obras e serviços de engenharia. </w:t>
      </w:r>
    </w:p>
    <w:p w14:paraId="52806986" w14:textId="77777777" w:rsidR="00324A5D" w:rsidRDefault="00324A5D" w:rsidP="00324A5D">
      <w:pPr>
        <w:pStyle w:val="Textodecomentrio"/>
      </w:pPr>
    </w:p>
    <w:p w14:paraId="57F2FB3A" w14:textId="77777777" w:rsidR="00324A5D" w:rsidRDefault="00324A5D" w:rsidP="00324A5D">
      <w:pPr>
        <w:pStyle w:val="Textodecomentrio"/>
      </w:pPr>
      <w:r>
        <w:rPr>
          <w:b/>
          <w:bCs/>
          <w:i/>
          <w:iCs/>
          <w:color w:val="000000"/>
        </w:rPr>
        <w:t>Nota Explicativa 2:</w:t>
      </w:r>
      <w:r>
        <w:rPr>
          <w:i/>
          <w:iCs/>
          <w:color w:val="000000"/>
        </w:rPr>
        <w:t xml:space="preserve"> Se o regime não é de empreitada por preço unitário, não cabe desclassificação em razão de custos unitários superiores aos orçados pela Administração, por força do art. 56, §5º, da Lei nº 14.133/2021. Por essa razão, essa planilha, neste momento, servirá apenas para aferir a exequibilidade da proposta e não eventual sobrepreço de preços unitários. Embora isso possa representar um risco em relação a um futuro jogo de planilhas pelo contratado, os artigos 127 e principalmente 128 impedem que os preços unitários maiores sejam usados como parâmetro de futuros aditivos.</w:t>
      </w:r>
    </w:p>
  </w:comment>
  <w:comment w:id="115" w:author="Autor" w:initials="A">
    <w:p w14:paraId="1F9CBE42" w14:textId="459FFD08" w:rsidR="00243342" w:rsidRDefault="00243342" w:rsidP="00243342">
      <w:pPr>
        <w:pStyle w:val="Textodecomentrio"/>
      </w:pPr>
      <w:r>
        <w:rPr>
          <w:rStyle w:val="Refdecomentrio"/>
        </w:rPr>
        <w:annotationRef/>
      </w:r>
      <w:r>
        <w:rPr>
          <w:b/>
          <w:bCs/>
          <w:i/>
          <w:iCs/>
          <w:color w:val="000000"/>
        </w:rPr>
        <w:t xml:space="preserve">Nota Explicativa: </w:t>
      </w:r>
      <w:r>
        <w:rPr>
          <w:i/>
          <w:iCs/>
          <w:color w:val="000000"/>
        </w:rPr>
        <w:t>Se o regime é o de empreitada por preço unitário, cabe desclassificação em razão de custos unitários superiores aos orçados pela Administração, conforme art. 59, §3º, da Lei nº 14.133/2021, que expressamente se refere ao critério de aceitabilidade de preços unitário e global a ser fixado aqui, bem como pela definição de sobrepreço do art. 6º, LVI, que expressamente estabelece que esse pode ocorrer em relação ao preço unitário nesse regime. Assim, em princípio, é cabível estabelecer um critério próprio, conforme as peculiaridades do caso, que pode envolver os custos tidos como relevantes, eventual margem em relação ao preço de referência etc..</w:t>
      </w:r>
    </w:p>
    <w:p w14:paraId="5B3BA9D0" w14:textId="77777777" w:rsidR="00243342" w:rsidRDefault="00243342" w:rsidP="00243342">
      <w:pPr>
        <w:pStyle w:val="Textodecomentrio"/>
      </w:pPr>
      <w:r>
        <w:rPr>
          <w:i/>
          <w:iCs/>
          <w:color w:val="000000"/>
        </w:rPr>
        <w:t>Na disposição acima, a título de sugestão, incluímos os custos unitários relevantes como critério de aceitabilidade no regime de empreitada por preço unitário. Entretanto, trata-se de um aspecto técnico a ser definido pelo órgão.</w:t>
      </w:r>
    </w:p>
    <w:p w14:paraId="1AEE877A" w14:textId="77777777" w:rsidR="00243342" w:rsidRDefault="00243342" w:rsidP="00243342">
      <w:pPr>
        <w:pStyle w:val="Textodecomentrio"/>
      </w:pPr>
      <w:r>
        <w:rPr>
          <w:i/>
          <w:iCs/>
          <w:color w:val="000000"/>
        </w:rPr>
        <w:t>Importante lembrar que, qualquer que seja o regime de execução (inclusive na empreitada por preço unitário), o valor global deverá ser sempre considerado como critério de aceitabilidade (art. 59, § 3º c/c 56, §5º).</w:t>
      </w:r>
    </w:p>
  </w:comment>
  <w:comment w:id="116" w:author="Autor" w:initials="A">
    <w:p w14:paraId="6B62CDEE" w14:textId="77777777" w:rsidR="00324A5D" w:rsidRDefault="004A5A99" w:rsidP="00324A5D">
      <w:pPr>
        <w:pStyle w:val="Textodecomentrio"/>
      </w:pPr>
      <w:r>
        <w:rPr>
          <w:rStyle w:val="Refdecomentrio"/>
        </w:rPr>
        <w:annotationRef/>
      </w:r>
      <w:r w:rsidR="00324A5D">
        <w:rPr>
          <w:b/>
          <w:bCs/>
          <w:i/>
          <w:iCs/>
        </w:rPr>
        <w:t xml:space="preserve">Nota Explicativa: </w:t>
      </w:r>
      <w:r w:rsidR="00324A5D">
        <w:rPr>
          <w:i/>
          <w:iCs/>
        </w:rPr>
        <w:t>A previsão decorre do disposto no art. 5º, do Decreto n.º 12.174, de 2024, bem como do art. 4º, § 2º e § 3º, da Instrução Normativa SEGES/MGI n.º 176, de 25 de novembro de 2024.</w:t>
      </w:r>
    </w:p>
  </w:comment>
  <w:comment w:id="118" w:author="Autor" w:initials="A">
    <w:p w14:paraId="65808B25" w14:textId="77777777" w:rsidR="00324A5D" w:rsidRDefault="00196321" w:rsidP="00324A5D">
      <w:pPr>
        <w:pStyle w:val="Textodecomentrio"/>
      </w:pPr>
      <w:r>
        <w:rPr>
          <w:rStyle w:val="Refdecomentrio"/>
        </w:rPr>
        <w:annotationRef/>
      </w:r>
      <w:r w:rsidR="00324A5D">
        <w:rPr>
          <w:b/>
          <w:bCs/>
          <w:i/>
          <w:iCs/>
        </w:rPr>
        <w:t>Nota Explicativa:</w:t>
      </w:r>
      <w:r w:rsidR="00324A5D">
        <w:rPr>
          <w:i/>
          <w:iCs/>
        </w:rPr>
        <w:t xml:space="preserve"> A previsão é aplicável no âmbito do Sistema de Registro de Preços e decorre do disposto no art. 13, inciso I, do Decreto n.º 11.462, de 31 de março de 2023. </w:t>
      </w:r>
    </w:p>
  </w:comment>
  <w:comment w:id="119" w:author="Autor" w:initials="A">
    <w:p w14:paraId="0AB969EE" w14:textId="488DE8E1" w:rsidR="00FE1F34" w:rsidRDefault="00D62468">
      <w:pPr>
        <w:pStyle w:val="Textodecomentrio"/>
      </w:pPr>
      <w:r>
        <w:rPr>
          <w:rStyle w:val="Refdecomentrio"/>
        </w:rPr>
        <w:annotationRef/>
      </w:r>
      <w:r w:rsidR="00FE1F34">
        <w:rPr>
          <w:b/>
          <w:bCs/>
          <w:i/>
          <w:iCs/>
          <w:color w:val="000000"/>
        </w:rPr>
        <w:t xml:space="preserve">Nota Explicativa: </w:t>
      </w:r>
      <w:r w:rsidR="00FE1F34">
        <w:rPr>
          <w:i/>
          <w:iCs/>
          <w:color w:val="000000"/>
        </w:rPr>
        <w:t xml:space="preserve">É fundamental que a Administração observe que exigências demasiadas poderão prejudicar a competitividade da licitação e ofender a o disposto no </w:t>
      </w:r>
      <w:hyperlink r:id="rId75" w:anchor="art37" w:history="1">
        <w:r w:rsidR="00FE1F34" w:rsidRPr="00FD66BF">
          <w:rPr>
            <w:rStyle w:val="Hyperlink"/>
            <w:i/>
            <w:iCs/>
          </w:rPr>
          <w:t>art. 37, inciso XXI da Constituição Federal</w:t>
        </w:r>
      </w:hyperlink>
      <w:r w:rsidR="00FE1F34">
        <w:rPr>
          <w:i/>
          <w:iCs/>
          <w:color w:val="000000"/>
        </w:rPr>
        <w:t>, o qual preceitua que “o processo de licitação pública... somente permitirá as exigências de qualificação técnica e econômica indispensáveis à garantia do cumprimento das obrigações”.</w:t>
      </w:r>
    </w:p>
    <w:p w14:paraId="062195BF" w14:textId="77777777" w:rsidR="00FE1F34" w:rsidRDefault="00FE1F34">
      <w:pPr>
        <w:pStyle w:val="Textodecomentrio"/>
      </w:pPr>
      <w:r>
        <w:rPr>
          <w:i/>
          <w:iCs/>
          <w:color w:val="000000"/>
        </w:rPr>
        <w:t xml:space="preserve">O </w:t>
      </w:r>
      <w:hyperlink r:id="rId76" w:history="1">
        <w:r w:rsidRPr="00FD66BF">
          <w:rPr>
            <w:rStyle w:val="Hyperlink"/>
            <w:i/>
            <w:iCs/>
          </w:rPr>
          <w:t>art. 70, III, da Lei Nº 14.133/2021</w:t>
        </w:r>
      </w:hyperlink>
      <w:r>
        <w:rPr>
          <w:i/>
          <w:iCs/>
          <w:color w:val="000000"/>
        </w:rPr>
        <w:t xml:space="preserve">, por sua vez, dispõe que as exigências de habilitação poderão ser dispensadas, “total ou parcialmente, nas contratações para entrega imediata, nas contratações em valores inferiores a 1/4 (um quarto) do limite para dispensa de licitação para compras em geral e nas contratações de produto para pesquisa e </w:t>
      </w:r>
    </w:p>
    <w:p w14:paraId="517A8266" w14:textId="77777777" w:rsidR="00FE1F34" w:rsidRDefault="00FE1F34">
      <w:pPr>
        <w:pStyle w:val="Textodecomentrio"/>
      </w:pPr>
      <w:r>
        <w:rPr>
          <w:i/>
          <w:iCs/>
          <w:color w:val="000000"/>
        </w:rPr>
        <w:t>desenvolvimento até o valor de R$ 300.000,00 (trezentos mil reais).” (Referidos valores são atualizados anualmente por Decreto, conforme art. 182 da mesma Lei).</w:t>
      </w:r>
    </w:p>
    <w:p w14:paraId="63E95DDE" w14:textId="77777777" w:rsidR="00FE1F34" w:rsidRDefault="00FE1F34">
      <w:pPr>
        <w:pStyle w:val="Textodecomentrio"/>
      </w:pPr>
      <w:r>
        <w:rPr>
          <w:i/>
          <w:iCs/>
          <w:color w:val="000000"/>
        </w:rPr>
        <w:t xml:space="preserve">A combinação da disposição constitucional com a disposição legal resulta que as exigências de qualificação técnica e econômica nas situações retratadas no art. 70, III, deve ser excepcional e justificada. Nas demais situações, em razão da diretriz constitucional, a Administração deve observar, diante do caso concreto, se o objeto da contratação demanda a exigência de todos os requisitos de habilitação apresentados neste modelo, levando-se em consideração o vulto e/ou a complexidade do objeto, a essencialidade do serviço e os riscos decorrentes de sua paralisação em função da eventual incapacidade econômica da contratada em suportar vicissitudes contratuais, excluindo-se o que entender excessivo. </w:t>
      </w:r>
    </w:p>
    <w:p w14:paraId="0AC2ED30" w14:textId="77777777" w:rsidR="00FE1F34" w:rsidRDefault="00FE1F34">
      <w:pPr>
        <w:pStyle w:val="Textodecomentrio"/>
      </w:pPr>
      <w:r>
        <w:rPr>
          <w:i/>
          <w:iCs/>
          <w:color w:val="000000"/>
        </w:rPr>
        <w:t>Em contratações divididas em itens, as exigências de habilitação podem adequar-se a essa divisibilidade, sendo possível, em um mesmo instrumento, a exigência de requisitos de habilitação mais amplos somente para alguns itens. Para se fazer isso, basta acrescentar uma ressalva ao final na exigência pertinente, tal como “(exigência relativa somente aos itens X, Y, Z)”.</w:t>
      </w:r>
    </w:p>
    <w:p w14:paraId="54046BE8" w14:textId="77777777" w:rsidR="00FE1F34" w:rsidRDefault="00FE1F34" w:rsidP="007C4769">
      <w:pPr>
        <w:pStyle w:val="Textodecomentrio"/>
      </w:pPr>
      <w:r>
        <w:rPr>
          <w:i/>
          <w:iCs/>
          <w:color w:val="000000"/>
        </w:rPr>
        <w:t xml:space="preserve">É vedada a inclusão de requisitos que não tenham suporte nos </w:t>
      </w:r>
      <w:hyperlink r:id="rId77" w:history="1">
        <w:r w:rsidRPr="00FD66BF">
          <w:rPr>
            <w:rStyle w:val="Hyperlink"/>
            <w:i/>
            <w:iCs/>
          </w:rPr>
          <w:t>arts. 66 a 69 da Lei nº 14.133, de 2021.</w:t>
        </w:r>
      </w:hyperlink>
    </w:p>
  </w:comment>
  <w:comment w:id="121" w:author="Autor" w:initials="A">
    <w:p w14:paraId="242C7947" w14:textId="6E7227F3" w:rsidR="008217C2" w:rsidRDefault="008217C2">
      <w:pPr>
        <w:pStyle w:val="Textodecomentrio"/>
      </w:pPr>
      <w:r>
        <w:rPr>
          <w:rStyle w:val="Refdecomentrio"/>
        </w:rPr>
        <w:annotationRef/>
      </w:r>
      <w:r>
        <w:rPr>
          <w:b/>
          <w:bCs/>
          <w:i/>
          <w:iCs/>
          <w:color w:val="000000"/>
        </w:rPr>
        <w:t>Nota Explicativa:</w:t>
      </w:r>
      <w:r>
        <w:rPr>
          <w:i/>
          <w:iCs/>
          <w:color w:val="000000"/>
        </w:rPr>
        <w:t xml:space="preserve"> A </w:t>
      </w:r>
      <w:hyperlink r:id="rId78" w:history="1">
        <w:r w:rsidRPr="006D0144">
          <w:rPr>
            <w:rStyle w:val="Hyperlink"/>
            <w:i/>
            <w:iCs/>
          </w:rPr>
          <w:t>Instrução Normativa SEGES/ME nº 116, de 21 de dezembro de 2021</w:t>
        </w:r>
      </w:hyperlink>
      <w:r>
        <w:rPr>
          <w:i/>
          <w:iCs/>
          <w:color w:val="000000"/>
        </w:rPr>
        <w:t xml:space="preserve">, estabelece procedimentos para a participação de pessoa física nas contratações públicas regidas pela </w:t>
      </w:r>
      <w:hyperlink r:id="rId79" w:history="1">
        <w:r w:rsidRPr="006D0144">
          <w:rPr>
            <w:rStyle w:val="Hyperlink"/>
            <w:i/>
            <w:iCs/>
          </w:rPr>
          <w:t>Lei nº 14.133, de 2021</w:t>
        </w:r>
      </w:hyperlink>
      <w:r>
        <w:rPr>
          <w:i/>
          <w:iCs/>
          <w:color w:val="000000"/>
        </w:rPr>
        <w:t>, no âmbito da Administração Pública federal direta, autárquica e fundacional. Em seu art. 2º, a norma considera pessoa física “ todo o trabalhador autônomo, sem qualquer vínculo de subordinação para fins de execução do objeto da contratação pública, incluindo os profissionais liberais não enquadrados como sociedade empresária ou empresário individual, nos termos das legislações específicas, que participa ou manifesta a intenção de participar de processo de contratação pública, sendo equiparado a fornecedor ou ao prestador de serviço que, em atendimento à solicitação da Administração, oferece proposta”.</w:t>
      </w:r>
    </w:p>
    <w:p w14:paraId="59354CA4" w14:textId="77777777" w:rsidR="008217C2" w:rsidRDefault="008217C2">
      <w:pPr>
        <w:pStyle w:val="Textodecomentrio"/>
      </w:pPr>
      <w:r>
        <w:rPr>
          <w:i/>
          <w:iCs/>
          <w:color w:val="000000"/>
        </w:rPr>
        <w:t xml:space="preserve">A IN SEGES/ME nº 116, de 2021, determina, em seu art. 4º, caput, que os editais ou os avisos de contratação direta possibilitem a contratação das pessoas físicas, em observância aos objetivos da isonomia e da justa competição. Ainda de acordo com o parágrafo único desse mesmo dispositivo, será ressalvada a participação de pessoas físicas nas licitações ou contratações diretas, “quando a contratação exigir </w:t>
      </w:r>
      <w:r>
        <w:rPr>
          <w:b/>
          <w:bCs/>
          <w:i/>
          <w:iCs/>
          <w:color w:val="000000"/>
        </w:rPr>
        <w:t>capital social mínimo</w:t>
      </w:r>
      <w:r>
        <w:rPr>
          <w:i/>
          <w:iCs/>
          <w:color w:val="000000"/>
        </w:rPr>
        <w:t xml:space="preserve"> e </w:t>
      </w:r>
      <w:r>
        <w:rPr>
          <w:b/>
          <w:bCs/>
          <w:i/>
          <w:iCs/>
          <w:color w:val="000000"/>
        </w:rPr>
        <w:t>estrutura mínima</w:t>
      </w:r>
      <w:r>
        <w:rPr>
          <w:i/>
          <w:iCs/>
          <w:color w:val="000000"/>
        </w:rPr>
        <w:t xml:space="preserve">, com equipamentos, instalações e equipe de profissionais ou corpo técnico para a execução do objeto </w:t>
      </w:r>
      <w:r>
        <w:rPr>
          <w:b/>
          <w:bCs/>
          <w:i/>
          <w:iCs/>
          <w:color w:val="000000"/>
        </w:rPr>
        <w:t>incompatíveis com a natureza profissional da pessoa física</w:t>
      </w:r>
      <w:r>
        <w:rPr>
          <w:i/>
          <w:iCs/>
          <w:color w:val="000000"/>
        </w:rPr>
        <w:t xml:space="preserve">, conforme </w:t>
      </w:r>
      <w:r>
        <w:rPr>
          <w:b/>
          <w:bCs/>
          <w:i/>
          <w:iCs/>
          <w:color w:val="000000"/>
        </w:rPr>
        <w:t>demonstrado em estudo técnico preliminar</w:t>
      </w:r>
      <w:r>
        <w:rPr>
          <w:i/>
          <w:iCs/>
          <w:color w:val="000000"/>
        </w:rPr>
        <w:t xml:space="preserve">”. Portanto, a possibilidade, ou não, de contratação de pessoas físicas deverá ser objeto de prévia análise e manifestação técnica por parte do órgão contratante, na fase de planejamento da contratação. </w:t>
      </w:r>
    </w:p>
    <w:p w14:paraId="359ED848" w14:textId="77777777" w:rsidR="008217C2" w:rsidRDefault="008217C2" w:rsidP="007E253C">
      <w:pPr>
        <w:pStyle w:val="Textodecomentrio"/>
      </w:pPr>
      <w:r>
        <w:rPr>
          <w:i/>
          <w:iCs/>
          <w:color w:val="000000"/>
        </w:rPr>
        <w:t xml:space="preserve">O </w:t>
      </w:r>
      <w:hyperlink r:id="rId80" w:history="1">
        <w:r w:rsidRPr="006D0144">
          <w:rPr>
            <w:rStyle w:val="Hyperlink"/>
            <w:i/>
            <w:iCs/>
          </w:rPr>
          <w:t>Decreto n.º 10.977, de 23 de fevereiro de 2022</w:t>
        </w:r>
      </w:hyperlink>
      <w:r>
        <w:rPr>
          <w:i/>
          <w:iCs/>
          <w:color w:val="000000"/>
        </w:rPr>
        <w:t xml:space="preserve">, que regulamenta a </w:t>
      </w:r>
      <w:hyperlink r:id="rId81" w:history="1">
        <w:r w:rsidRPr="006D0144">
          <w:rPr>
            <w:rStyle w:val="Hyperlink"/>
            <w:i/>
            <w:iCs/>
          </w:rPr>
          <w:t>Lei nº 7.116, de 29 de agosto de 1983</w:t>
        </w:r>
      </w:hyperlink>
      <w:r>
        <w:rPr>
          <w:i/>
          <w:iCs/>
          <w:color w:val="000000"/>
        </w:rPr>
        <w:t xml:space="preserve">, e a </w:t>
      </w:r>
      <w:hyperlink r:id="rId82" w:anchor="art3" w:history="1">
        <w:r w:rsidRPr="006D0144">
          <w:rPr>
            <w:rStyle w:val="Hyperlink"/>
            <w:i/>
            <w:iCs/>
          </w:rPr>
          <w:t>Lei nº 9.454, de 7 de abril de 1997</w:t>
        </w:r>
      </w:hyperlink>
      <w:r>
        <w:rPr>
          <w:i/>
          <w:iCs/>
          <w:color w:val="000000"/>
        </w:rPr>
        <w:t>, estabelece, em seu art. 3º, que a Carteira de Identidade passa a adotar o número de inscrição no Cadastro de Pessoas Físicas - CPF como o número do registro geral nacional previsto no inciso IV do </w:t>
      </w:r>
      <w:r>
        <w:rPr>
          <w:b/>
          <w:bCs/>
          <w:i/>
          <w:iCs/>
          <w:color w:val="000000"/>
        </w:rPr>
        <w:t>caput </w:t>
      </w:r>
      <w:r>
        <w:rPr>
          <w:i/>
          <w:iCs/>
          <w:color w:val="000000"/>
        </w:rPr>
        <w:t>do seu art. 11.</w:t>
      </w:r>
    </w:p>
  </w:comment>
  <w:comment w:id="122" w:author="Autor" w:initials="A">
    <w:p w14:paraId="59BF5060" w14:textId="77777777" w:rsidR="008217C2" w:rsidRDefault="008217C2">
      <w:pPr>
        <w:pStyle w:val="Textodecomentrio"/>
      </w:pPr>
      <w:r>
        <w:rPr>
          <w:rStyle w:val="Refdecomentrio"/>
        </w:rPr>
        <w:annotationRef/>
      </w:r>
      <w:r>
        <w:rPr>
          <w:b/>
          <w:bCs/>
          <w:i/>
          <w:iCs/>
          <w:color w:val="000000"/>
        </w:rPr>
        <w:t>Nota Explicativa:</w:t>
      </w:r>
      <w:r>
        <w:rPr>
          <w:i/>
          <w:iCs/>
          <w:color w:val="000000"/>
        </w:rPr>
        <w:t xml:space="preserve"> O </w:t>
      </w:r>
      <w:hyperlink r:id="rId83" w:anchor="art41" w:history="1">
        <w:r w:rsidRPr="00EB2D55">
          <w:rPr>
            <w:rStyle w:val="Hyperlink"/>
            <w:i/>
            <w:iCs/>
          </w:rPr>
          <w:t>art. 41 da Lei nº 14.195, de 26 de agosto de 2021</w:t>
        </w:r>
      </w:hyperlink>
      <w:r>
        <w:rPr>
          <w:i/>
          <w:iCs/>
          <w:color w:val="000000"/>
        </w:rPr>
        <w:t>, transformou todas as empresas individuais de responsabilidade limitada (EIRELI) existentes na data da entrada em vigor da Lei em sociedades limitadas unipessoais (SLU), independentemente de qualquer alteração em seus respectivos atos constitutivos.</w:t>
      </w:r>
    </w:p>
    <w:p w14:paraId="1B7B59AE" w14:textId="77777777" w:rsidR="008217C2" w:rsidRDefault="008217C2">
      <w:pPr>
        <w:pStyle w:val="Textodecomentrio"/>
      </w:pPr>
      <w:r>
        <w:rPr>
          <w:i/>
          <w:iCs/>
          <w:color w:val="000000"/>
        </w:rPr>
        <w:t xml:space="preserve">Posteriormente, o </w:t>
      </w:r>
      <w:hyperlink r:id="rId84" w:anchor="art20" w:history="1">
        <w:r w:rsidRPr="00EB2D55">
          <w:rPr>
            <w:rStyle w:val="Hyperlink"/>
            <w:i/>
            <w:iCs/>
          </w:rPr>
          <w:t>inciso VI, alíneas “a” e “b”, art. 20, da Lei nº 14.382, de 27 de junho de 2022</w:t>
        </w:r>
      </w:hyperlink>
      <w:r>
        <w:rPr>
          <w:i/>
          <w:iCs/>
          <w:color w:val="000000"/>
        </w:rPr>
        <w:t>, revogou as disposições sobre EIRELI constantes do inciso VI do caput do art. 44 e do Título I-A do Livro II da Parte Especial do Código Civil (</w:t>
      </w:r>
      <w:hyperlink r:id="rId85" w:anchor="art44" w:history="1">
        <w:r w:rsidRPr="00EB2D55">
          <w:rPr>
            <w:rStyle w:val="Hyperlink"/>
            <w:i/>
            <w:iCs/>
          </w:rPr>
          <w:t>Lei nº 10.406, de 10 de janeiro de 2002</w:t>
        </w:r>
      </w:hyperlink>
      <w:r>
        <w:rPr>
          <w:i/>
          <w:iCs/>
          <w:color w:val="000000"/>
        </w:rPr>
        <w:t>).</w:t>
      </w:r>
    </w:p>
    <w:p w14:paraId="231DEFC3" w14:textId="77777777" w:rsidR="008217C2" w:rsidRDefault="008217C2">
      <w:pPr>
        <w:pStyle w:val="Textodecomentrio"/>
      </w:pPr>
      <w:r>
        <w:rPr>
          <w:i/>
          <w:iCs/>
          <w:color w:val="000000"/>
        </w:rPr>
        <w:t>Diante dessa situação, orientamos os agentes de contratação da seguinte forma: se a empresa for identificada como EIRELI em seus atos constitutivos, ela deverá ser considerada como convertida em SLU, automaticamente, durante o processo de contratação. Os atos constitutivos, inclusive, deverão ser considerados regulares como EIRELI, mas a empresa deverá se comportar na contratação como uma SLU.</w:t>
      </w:r>
    </w:p>
  </w:comment>
  <w:comment w:id="124" w:author="Autor" w:initials="A">
    <w:p w14:paraId="03EBA2F0" w14:textId="77777777" w:rsidR="00C9393E" w:rsidRDefault="008217C2" w:rsidP="00C9393E">
      <w:pPr>
        <w:pStyle w:val="Textodecomentrio"/>
      </w:pPr>
      <w:r>
        <w:rPr>
          <w:rStyle w:val="Refdecomentrio"/>
        </w:rPr>
        <w:annotationRef/>
      </w:r>
      <w:r w:rsidR="00C9393E">
        <w:rPr>
          <w:b/>
          <w:bCs/>
          <w:i/>
          <w:iCs/>
          <w:color w:val="000000"/>
        </w:rPr>
        <w:t>Nota Explicativa:</w:t>
      </w:r>
      <w:r w:rsidR="00C9393E">
        <w:rPr>
          <w:i/>
          <w:iCs/>
          <w:color w:val="000000"/>
        </w:rPr>
        <w:t xml:space="preserve"> O subitem tem como fundamento a parte final do disposto no </w:t>
      </w:r>
      <w:hyperlink r:id="rId86" w:anchor="art66" w:history="1">
        <w:r w:rsidR="00C9393E" w:rsidRPr="00274394">
          <w:rPr>
            <w:rStyle w:val="Hyperlink"/>
            <w:i/>
            <w:iCs/>
          </w:rPr>
          <w:t>art. 66 da Lei nº 14.133, de 2021</w:t>
        </w:r>
      </w:hyperlink>
      <w:r w:rsidR="00C9393E">
        <w:rPr>
          <w:i/>
          <w:iCs/>
          <w:color w:val="000000"/>
        </w:rPr>
        <w:t>. Cabe ao órgão ou entidade analisar se a atividade relativa ao objeto a ser contratado exige registro ou autorização para funcionamento, em razão de previsão legal ou normativa. Em caso positivo, deverão ser especificados o documento a ser apresentado, o órgão competente para expedi-lo e o respectivo fundamento legal. Cite-se, como exemplo, a necessidade de registro de pessoas físicas ou jurídicas no Exército, com vistas ao exercício de qualquer atividade relativa a Produto Controlado pelo Exército (PCE), tais como a fabricação, o comércio, a importação, a exportação, a utilização e a prestação de serviços envolvendo arma de fogo, explosivo, munição, dentre outros.</w:t>
      </w:r>
    </w:p>
  </w:comment>
  <w:comment w:id="125" w:author="Autor" w:initials="A">
    <w:p w14:paraId="1AC1D90D" w14:textId="3B262A87" w:rsidR="008217C2" w:rsidRDefault="008217C2" w:rsidP="003C7829">
      <w:pPr>
        <w:pStyle w:val="Textodecomentrio"/>
      </w:pPr>
      <w:r>
        <w:rPr>
          <w:rStyle w:val="Refdecomentrio"/>
        </w:rPr>
        <w:annotationRef/>
      </w:r>
      <w:r>
        <w:rPr>
          <w:b/>
          <w:bCs/>
          <w:i/>
          <w:iCs/>
          <w:color w:val="000000"/>
        </w:rPr>
        <w:t>Nota Explicativa:</w:t>
      </w:r>
      <w:r>
        <w:rPr>
          <w:i/>
          <w:iCs/>
          <w:color w:val="000000"/>
        </w:rPr>
        <w:t xml:space="preserve"> O </w:t>
      </w:r>
      <w:hyperlink r:id="rId87" w:anchor="art193" w:history="1">
        <w:r w:rsidRPr="00041455">
          <w:rPr>
            <w:rStyle w:val="Hyperlink"/>
            <w:i/>
            <w:iCs/>
          </w:rPr>
          <w:t>artigo 193 do Código Tributário Nacional (Lei nº 5.172, de 25 de outubro de 1966</w:t>
        </w:r>
      </w:hyperlink>
      <w:r>
        <w:rPr>
          <w:i/>
          <w:iCs/>
          <w:color w:val="000000"/>
        </w:rPr>
        <w:t xml:space="preserve">) preceitua que a prova da quitação de todos os tributos devidos dar-se-á no âmbito da Fazenda Pública interessada, “relativos à atividade em cujo exercício contrata ou concorre”. Nessa mesma linha, o </w:t>
      </w:r>
      <w:hyperlink r:id="rId88" w:anchor="art68" w:history="1">
        <w:r w:rsidRPr="00041455">
          <w:rPr>
            <w:rStyle w:val="Hyperlink"/>
            <w:i/>
            <w:iCs/>
          </w:rPr>
          <w:t>art. 68, inciso II, da Lei n.º 14.133, de 2021</w:t>
        </w:r>
      </w:hyperlink>
      <w:r>
        <w:rPr>
          <w:i/>
          <w:iCs/>
          <w:color w:val="000000"/>
        </w:rPr>
        <w:t xml:space="preserve">, estabelece a exigência de “inscrição no cadastro de contribuintes estadual e/ou municipal, se houver, relativo ao domicílio ou sede do licitante, pertinente ao seu ramo de atividade e compatível com o objeto contratual”. Dessa forma, a prova de inscrição no cadastro de contribuintes estadual ou municipal e a prova de regularidade fiscal correspondente deve levar em conta a natureza da atividade objeto da contratação e o âmbito da tributação sobre ele incidente:  tratando-se de serviços em geral, incide o ISS, tributo de competência municipal, ao passo que, para aquisições incide o ICMS, tributo de competência estadual. </w:t>
      </w:r>
      <w:r w:rsidRPr="009868BC">
        <w:rPr>
          <w:i/>
          <w:iCs/>
          <w:color w:val="000000"/>
        </w:rPr>
        <w:t>Como o presente modelo envolve a prestação de serviços com disponibilização de mão de obra, a possível incidência do ICMS será bastante remota. Por isso optou-se por manter na disposição apenas a previsão da Fazenda Municipal. Caso entretanto seja exigível também o ICMS, então deve-se exigir a regularidade fiscal em todas as esferas da Federação, alterando-se a redação das disposições acima para inserção da Fazenda Estadual.</w:t>
      </w:r>
    </w:p>
  </w:comment>
  <w:comment w:id="127" w:author="Autor" w:initials="A">
    <w:p w14:paraId="7351B2CC" w14:textId="77777777" w:rsidR="008217C2" w:rsidRDefault="008217C2" w:rsidP="00265AD0">
      <w:pPr>
        <w:pStyle w:val="Textodecomentrio"/>
      </w:pPr>
      <w:r>
        <w:rPr>
          <w:rStyle w:val="Refdecomentrio"/>
        </w:rPr>
        <w:annotationRef/>
      </w:r>
      <w:r>
        <w:rPr>
          <w:b/>
          <w:bCs/>
          <w:i/>
          <w:iCs/>
        </w:rPr>
        <w:t xml:space="preserve">Nota Explicativa: </w:t>
      </w:r>
      <w:r>
        <w:rPr>
          <w:i/>
          <w:iCs/>
          <w:color w:val="000000"/>
        </w:rPr>
        <w:t>A apresentação do Certificado de Condição de Microempreendedor Individual – CCMEI supre as exigências de inscrição nos cadastros fiscais, na medida em que essas informações constam no próprio Certificado.</w:t>
      </w:r>
    </w:p>
  </w:comment>
  <w:comment w:id="128" w:author="Autor" w:initials="A">
    <w:p w14:paraId="41B5A7F9" w14:textId="77777777" w:rsidR="00FE1F34" w:rsidRDefault="008217C2">
      <w:pPr>
        <w:pStyle w:val="Textodecomentrio"/>
      </w:pPr>
      <w:r>
        <w:rPr>
          <w:rStyle w:val="Refdecomentrio"/>
        </w:rPr>
        <w:annotationRef/>
      </w:r>
      <w:r w:rsidR="00FE1F34">
        <w:rPr>
          <w:b/>
          <w:bCs/>
          <w:i/>
          <w:iCs/>
          <w:color w:val="000000"/>
        </w:rPr>
        <w:t xml:space="preserve">Nota Explicativa 1: </w:t>
      </w:r>
      <w:r w:rsidR="00FE1F34">
        <w:rPr>
          <w:i/>
          <w:iCs/>
          <w:color w:val="000000"/>
        </w:rPr>
        <w:t xml:space="preserve">A Administração deve examinar, diante do caso concreto, se o objeto da contratação demanda a exigência de todos os requisitos de habilitação apresentados neste modelo, levando-se em consideração o vulto e/ou a complexidade e a essencialidade do objeto, bem como os riscos decorrentes de sua paralisação em função da eventual incapacidade econômica da contratada em suportar os deveres contratuais, excluindo-se o que entender excessivo. Nesse sentido, a exigência pode restringir-se a alguns itens, como, por exemplo, somente aos itens não exclusivos a microempresa e empresas de pequeno porte, ou mesmo não ser exigida para nenhum deles, caso em que deve ser suprimida do edital/TR. Conforme Nota Explicativa do início deste tópico, a exigência de qualificação técnica e econômica nas circunstâncias previstas no </w:t>
      </w:r>
      <w:hyperlink r:id="rId89" w:anchor="art70" w:history="1">
        <w:r w:rsidR="00FE1F34" w:rsidRPr="00797663">
          <w:rPr>
            <w:rStyle w:val="Hyperlink"/>
            <w:i/>
            <w:iCs/>
          </w:rPr>
          <w:t>art. 70, III da Lei n.º 14.133, de 2021</w:t>
        </w:r>
      </w:hyperlink>
      <w:r w:rsidR="00FE1F34">
        <w:rPr>
          <w:i/>
          <w:iCs/>
          <w:color w:val="000000"/>
        </w:rPr>
        <w:t xml:space="preserve">, deve ser excepcional e justificada, à luz do </w:t>
      </w:r>
      <w:hyperlink r:id="rId90" w:history="1">
        <w:r w:rsidR="00FE1F34" w:rsidRPr="00797663">
          <w:rPr>
            <w:rStyle w:val="Hyperlink"/>
            <w:i/>
            <w:iCs/>
          </w:rPr>
          <w:t>art. 37, XXI, da Constituição Federal.</w:t>
        </w:r>
      </w:hyperlink>
    </w:p>
    <w:p w14:paraId="70F9E16F" w14:textId="77777777" w:rsidR="00FE1F34" w:rsidRDefault="00FE1F34">
      <w:pPr>
        <w:pStyle w:val="Textodecomentrio"/>
      </w:pPr>
    </w:p>
    <w:p w14:paraId="3D4A4155" w14:textId="77777777" w:rsidR="00FE1F34" w:rsidRDefault="00FE1F34">
      <w:pPr>
        <w:pStyle w:val="Textodecomentrio"/>
      </w:pPr>
      <w:r>
        <w:rPr>
          <w:b/>
          <w:bCs/>
          <w:i/>
          <w:iCs/>
          <w:color w:val="000000"/>
        </w:rPr>
        <w:t xml:space="preserve">Nota Explicativa 2: </w:t>
      </w:r>
      <w:r>
        <w:rPr>
          <w:i/>
          <w:iCs/>
          <w:color w:val="000000"/>
        </w:rPr>
        <w:t>É possível adotar critérios de habilitação econômico-financeira com requisitos diferenciados, estabelecidos conforme as peculiaridades do objeto a ser contratado, com justificativa do percentual adotado nos autos do processo.</w:t>
      </w:r>
    </w:p>
    <w:p w14:paraId="64B923D5" w14:textId="77777777" w:rsidR="00FE1F34" w:rsidRDefault="00FE1F34">
      <w:pPr>
        <w:pStyle w:val="Textodecomentrio"/>
      </w:pPr>
    </w:p>
    <w:p w14:paraId="647F39C0" w14:textId="77777777" w:rsidR="00FE1F34" w:rsidRDefault="00FE1F34" w:rsidP="007C4769">
      <w:pPr>
        <w:pStyle w:val="Textodecomentrio"/>
      </w:pPr>
      <w:r>
        <w:rPr>
          <w:b/>
          <w:bCs/>
          <w:i/>
          <w:iCs/>
          <w:color w:val="000000"/>
          <w:highlight w:val="yellow"/>
        </w:rPr>
        <w:t>Nota Explicativa 3:</w:t>
      </w:r>
      <w:r>
        <w:rPr>
          <w:i/>
          <w:iCs/>
          <w:color w:val="000000"/>
          <w:highlight w:val="yellow"/>
        </w:rPr>
        <w:t xml:space="preserve"> Em se tratando de contratação direta não precedida de dispensa eletrônica, os aspectos da habilitação da empresa, sobretudo os ligados à qualificação técnica e econômica, podem estar discriminados no processo administrativo, ao se motivar a escolha do fornecedor, caso em que não precisam constar do Termo de Referência.</w:t>
      </w:r>
    </w:p>
  </w:comment>
  <w:comment w:id="130" w:author="Autor" w:initials="A">
    <w:p w14:paraId="73455FF5" w14:textId="77777777" w:rsidR="00324A5D" w:rsidRDefault="00B74C43" w:rsidP="00324A5D">
      <w:pPr>
        <w:pStyle w:val="Textodecomentrio"/>
      </w:pPr>
      <w:r>
        <w:rPr>
          <w:rStyle w:val="Refdecomentrio"/>
        </w:rPr>
        <w:annotationRef/>
      </w:r>
      <w:r w:rsidR="00324A5D">
        <w:rPr>
          <w:b/>
          <w:bCs/>
          <w:i/>
          <w:iCs/>
        </w:rPr>
        <w:t xml:space="preserve">Nota Explicativa 1: </w:t>
      </w:r>
      <w:r w:rsidR="00324A5D">
        <w:rPr>
          <w:i/>
          <w:iCs/>
        </w:rPr>
        <w:t xml:space="preserve">A Lei n.º 14.133 de 2021, em seu art. 69, inciso I, prevê que a prova de qualificação econômico-financeira do licitante será restrita à apresentação, dentre outros documentos, do balanço patrimonial, das demonstrações de resultado e demais demonstrações contábeis dos </w:t>
      </w:r>
      <w:r w:rsidR="00324A5D">
        <w:rPr>
          <w:b/>
          <w:bCs/>
          <w:i/>
          <w:iCs/>
        </w:rPr>
        <w:t>2 (dois) últimos</w:t>
      </w:r>
      <w:r w:rsidR="00324A5D">
        <w:rPr>
          <w:i/>
          <w:iCs/>
        </w:rPr>
        <w:t xml:space="preserve"> exercícios sociais, ampliando, com isso, o limite temporal da exigência constante do art. 31, inciso I, da Lei n.º 8.666 de 1993, que limitava a exigência à documentação relativa ao “último exercício social”. </w:t>
      </w:r>
    </w:p>
    <w:p w14:paraId="477F2D3E" w14:textId="77777777" w:rsidR="00324A5D" w:rsidRDefault="00324A5D" w:rsidP="00324A5D">
      <w:pPr>
        <w:pStyle w:val="Textodecomentrio"/>
      </w:pPr>
      <w:r>
        <w:rPr>
          <w:i/>
          <w:iCs/>
        </w:rPr>
        <w:t xml:space="preserve">Ao interpretar a referida disposição, o PARECER n. 00017/2024/CNLCA/CGU/AGU (NUP: 08658.083758/2024-38) concluiu pela ausência de previsão legal expressa indicando que os índices previstos no caput do artigo 69 da Lei n.º 14.133, de 2021, devam </w:t>
      </w:r>
      <w:r>
        <w:rPr>
          <w:b/>
          <w:bCs/>
          <w:i/>
          <w:iCs/>
        </w:rPr>
        <w:t>necessariamente</w:t>
      </w:r>
      <w:r>
        <w:rPr>
          <w:i/>
          <w:iCs/>
        </w:rPr>
        <w:t xml:space="preserve"> ser atingidos nos dois últimos exercícios, de modo que tal exigência “pode alcançar mais de um ano </w:t>
      </w:r>
      <w:r>
        <w:rPr>
          <w:b/>
          <w:bCs/>
          <w:i/>
          <w:iCs/>
        </w:rPr>
        <w:t>em hipóteses que estejam devidamente justificadas pela Administração</w:t>
      </w:r>
      <w:r>
        <w:rPr>
          <w:i/>
          <w:iCs/>
        </w:rPr>
        <w:t xml:space="preserve">.”, sendo conferida ao gestor, assim, “a possibilidade de </w:t>
      </w:r>
      <w:r>
        <w:rPr>
          <w:b/>
          <w:bCs/>
          <w:i/>
          <w:iCs/>
        </w:rPr>
        <w:t>modulação da exigência</w:t>
      </w:r>
      <w:r>
        <w:rPr>
          <w:i/>
          <w:iCs/>
        </w:rPr>
        <w:t xml:space="preserve"> e limitá-la a um período menor, como por exemplo apenas o último exercício social”.  Nesse contexto, caberá ao gestor, em cada caso concreto, avaliar, fundamentadamente, a pertinência de exigir a prova de atendimento dos índices estabelecidos no edital em relação ao último ou aos dois últimos exercícios sociais, fixando apenas as exigências de qualificação econômico-financeiras consideradas indispensáveis à garantia do cumprimento das obrigações do futuro contrato, nos termos do art. 37, inciso XXI, da Constituição. Caso a Administração decida, de forma justificada, por estender a exigência aos dois últimos exercícios sociais, a apuração dos indicadores a serem atendidos deverá ser feita </w:t>
      </w:r>
      <w:r>
        <w:rPr>
          <w:b/>
          <w:bCs/>
          <w:i/>
          <w:iCs/>
        </w:rPr>
        <w:t>separadamente, em relação a cada um dos exercícios sociais</w:t>
      </w:r>
      <w:r>
        <w:rPr>
          <w:i/>
          <w:iCs/>
        </w:rPr>
        <w:t xml:space="preserve">, tal como se mostra usualmente adotado no âmbito da contabilidade (art. 69, § 5º, da Lei n.º 14.133, de 2021). </w:t>
      </w:r>
    </w:p>
    <w:p w14:paraId="74F78B72" w14:textId="77777777" w:rsidR="00324A5D" w:rsidRDefault="00324A5D" w:rsidP="00324A5D">
      <w:pPr>
        <w:pStyle w:val="Textodecomentrio"/>
      </w:pPr>
    </w:p>
    <w:p w14:paraId="1FED414F" w14:textId="77777777" w:rsidR="00324A5D" w:rsidRDefault="00324A5D" w:rsidP="00324A5D">
      <w:pPr>
        <w:pStyle w:val="Textodecomentrio"/>
      </w:pPr>
      <w:r>
        <w:rPr>
          <w:b/>
          <w:bCs/>
          <w:i/>
          <w:iCs/>
        </w:rPr>
        <w:t>Nota Explicativa 2:</w:t>
      </w:r>
      <w:r>
        <w:rPr>
          <w:i/>
          <w:iCs/>
        </w:rPr>
        <w:t xml:space="preserve"> O mesmo PARECER n. 00017/2024/CNLCA/CGU/AGU (NUP: 08658.083758/2024-38) concluiu que “Enquanto não houver alteração na regulamentação da IN 5/2017, nas contratações de </w:t>
      </w:r>
      <w:r>
        <w:rPr>
          <w:b/>
          <w:bCs/>
          <w:i/>
          <w:iCs/>
        </w:rPr>
        <w:t>serviços com dedicação exclusiva de mão de obra</w:t>
      </w:r>
      <w:r>
        <w:rPr>
          <w:i/>
          <w:iCs/>
        </w:rPr>
        <w:t xml:space="preserve">, as exigências de (i) índices de Liquidez Geral (LG),Liquidez Corrente (LC) e Solvência Geral (SG) superiores a um, (ii) Capital Circulante Líquido ou Capital de Giro (Ativo Circulante - Passivo Circulante) de, no mínimo, 16,66% (dezesseis inteiros e sessenta e seis centésimos por cento) do valor estimado da contratação e (iii) patrimônio líquido de 10% (dez por cento) do valor estimado da contratação devem ter como base o balanço patrimonial e as demonstrações contábeis </w:t>
      </w:r>
      <w:r>
        <w:rPr>
          <w:b/>
          <w:bCs/>
          <w:i/>
          <w:iCs/>
        </w:rPr>
        <w:t>do último exercício social</w:t>
      </w:r>
      <w:r>
        <w:rPr>
          <w:i/>
          <w:iCs/>
        </w:rPr>
        <w:t xml:space="preserve">, </w:t>
      </w:r>
      <w:r>
        <w:rPr>
          <w:b/>
          <w:bCs/>
          <w:i/>
          <w:iCs/>
        </w:rPr>
        <w:t>caso não haja justificativa específica do gestor para estipular a abrangência a 2 (dois) exercícios sociais”</w:t>
      </w:r>
      <w:r>
        <w:rPr>
          <w:i/>
          <w:iCs/>
        </w:rPr>
        <w:t>.</w:t>
      </w:r>
      <w:r>
        <w:t xml:space="preserve"> </w:t>
      </w:r>
      <w:r>
        <w:rPr>
          <w:i/>
          <w:iCs/>
        </w:rPr>
        <w:t>Nesse tipo de serviço, portanto, a apuração dos índices, do capital circulante ou de giro e do patrimônio líquido deverá ter por base</w:t>
      </w:r>
      <w:r>
        <w:rPr>
          <w:b/>
          <w:bCs/>
          <w:i/>
          <w:iCs/>
        </w:rPr>
        <w:t>, em regra</w:t>
      </w:r>
      <w:r>
        <w:rPr>
          <w:i/>
          <w:iCs/>
        </w:rPr>
        <w:t xml:space="preserve">, a documentação relativa ao último exercício social, salvo eventuais justificativas relativas à extensão da exigência para os dois últimos exercícios. </w:t>
      </w:r>
    </w:p>
  </w:comment>
  <w:comment w:id="132" w:author="Autor" w:initials="A">
    <w:p w14:paraId="04890D9E" w14:textId="38CC677D" w:rsidR="00B74C43" w:rsidRDefault="00670427" w:rsidP="00B74C43">
      <w:pPr>
        <w:pStyle w:val="Textodecomentrio"/>
      </w:pPr>
      <w:r>
        <w:rPr>
          <w:rStyle w:val="Refdecomentrio"/>
        </w:rPr>
        <w:annotationRef/>
      </w:r>
      <w:r w:rsidR="00B74C43">
        <w:rPr>
          <w:b/>
          <w:bCs/>
          <w:i/>
          <w:iCs/>
          <w:color w:val="000000"/>
        </w:rPr>
        <w:t>Nota Explicativa 1:</w:t>
      </w:r>
      <w:r w:rsidR="00B74C43">
        <w:rPr>
          <w:i/>
          <w:iCs/>
          <w:color w:val="000000"/>
        </w:rPr>
        <w:t xml:space="preserve"> Não podem ser cumulativas as exigências de capital mínimo e de patrimônio líquido mínimo, razão pela qual a Administração deverá escolher motivadamente entre uma das duas opções. Caso, entretanto, se trate da contratação de serviços </w:t>
      </w:r>
      <w:r w:rsidR="00B74C43">
        <w:rPr>
          <w:b/>
          <w:bCs/>
          <w:i/>
          <w:iCs/>
          <w:color w:val="000000"/>
        </w:rPr>
        <w:t>com dedicação exclusiva de mão de obra,</w:t>
      </w:r>
      <w:r w:rsidR="00B74C43">
        <w:rPr>
          <w:i/>
          <w:iCs/>
          <w:color w:val="000000"/>
        </w:rPr>
        <w:t xml:space="preserve"> deverá ser exigida, </w:t>
      </w:r>
      <w:r w:rsidR="00B74C43">
        <w:rPr>
          <w:b/>
          <w:bCs/>
          <w:i/>
          <w:iCs/>
          <w:color w:val="000000"/>
        </w:rPr>
        <w:t>cumulativamente,</w:t>
      </w:r>
      <w:r w:rsidR="00B74C43">
        <w:rPr>
          <w:i/>
          <w:iCs/>
          <w:color w:val="000000"/>
        </w:rPr>
        <w:t xml:space="preserve"> a comprovação do Capital Circulante Líquido ou Capital de Giro de, no mínimo, 16,66%, e do patrimônio líquido de 10% do valor estimado da contratação, independentemente do resultado dos índices de Liquidez e Solvência, com base no item 11, "b" e "c", do Anexo VII-A da IN SEGES/MP n.º 05/2017, aplicável por força da IN SEGES/ME n.º 98/2022.</w:t>
      </w:r>
    </w:p>
    <w:p w14:paraId="18DC2963" w14:textId="77777777" w:rsidR="00B74C43" w:rsidRDefault="00B74C43" w:rsidP="00B74C43">
      <w:pPr>
        <w:pStyle w:val="Textodecomentrio"/>
      </w:pPr>
    </w:p>
    <w:p w14:paraId="512C7D47" w14:textId="77777777" w:rsidR="00B74C43" w:rsidRDefault="00B74C43" w:rsidP="00B74C43">
      <w:pPr>
        <w:pStyle w:val="Textodecomentrio"/>
      </w:pPr>
      <w:r>
        <w:rPr>
          <w:b/>
          <w:bCs/>
          <w:i/>
          <w:iCs/>
          <w:color w:val="000000"/>
        </w:rPr>
        <w:t>Nota Explicativa 2:</w:t>
      </w:r>
      <w:r>
        <w:rPr>
          <w:i/>
          <w:iCs/>
          <w:color w:val="000000"/>
        </w:rPr>
        <w:t xml:space="preserve"> A fixação do percentual se insere na esfera de atuação discricionária da Administração até o limite legal de 10% (dez por cento) do valor estimado da contratação e deve ser proporcional aos riscos que a inexecução total ou parcial do contrato poderá acarretar para a Administração, considerando-se, entre outros fatores, o valor do contrato, a essencialidade do objeto, o tempo de duração do contrato. </w:t>
      </w:r>
    </w:p>
    <w:p w14:paraId="64E4E4BB" w14:textId="77777777" w:rsidR="00B74C43" w:rsidRDefault="00B74C43" w:rsidP="00B74C43">
      <w:pPr>
        <w:pStyle w:val="Textodecomentrio"/>
      </w:pPr>
      <w:r>
        <w:rPr>
          <w:i/>
          <w:iCs/>
          <w:color w:val="000000"/>
        </w:rPr>
        <w:t>A sondagem do mercado se afigura importante, a fim de obter dados sobre o porte das empresas que atuam na área objeto da contratação. Ressalte-se que, se o referido percentual for fixado em seu mais alto patamar e o valor total estimado da contratação também for significativo, trará como consequência a necessidade de comprovação de patrimônio líquido elevado, o que poderá resultar na restrição à participação de interessados no certame, em especial, de microempresas ou empresas de pequeno porte, podendo ferir o princípio constitucional de incentivo a essas unidades empresariais. Por essa razão, é indispensável avaliação técnica sobre o assunto.</w:t>
      </w:r>
    </w:p>
  </w:comment>
  <w:comment w:id="131" w:author="Autor" w:initials="A">
    <w:p w14:paraId="70DA3E96" w14:textId="77777777" w:rsidR="00677FEB" w:rsidRDefault="0066789B" w:rsidP="00677FEB">
      <w:pPr>
        <w:pStyle w:val="Textodecomentrio"/>
      </w:pPr>
      <w:r>
        <w:rPr>
          <w:rStyle w:val="Refdecomentrio"/>
        </w:rPr>
        <w:annotationRef/>
      </w:r>
      <w:r w:rsidR="00677FEB">
        <w:rPr>
          <w:b/>
          <w:bCs/>
          <w:i/>
          <w:iCs/>
        </w:rPr>
        <w:t>Nota Explicativa</w:t>
      </w:r>
      <w:r w:rsidR="00677FEB">
        <w:rPr>
          <w:i/>
          <w:iCs/>
        </w:rPr>
        <w:t xml:space="preserve">: Segundo o Acórdão nº 1.087/2025 – Plenário, a jurisprudência do TCU é firme no sentido de que, para fins de qualificação econômico-financeira, a exigência de comprovação de Capital Circulante Líquido (CCL) ou Capital de Giro (Ativo Circulante - Passivo Circulante) de, no mínimo, 16,66% deve incidir sobre o </w:t>
      </w:r>
      <w:r w:rsidR="00677FEB">
        <w:rPr>
          <w:b/>
          <w:bCs/>
          <w:i/>
          <w:iCs/>
        </w:rPr>
        <w:t>valor estimado da contratação para 12 (doze) meses</w:t>
      </w:r>
      <w:r w:rsidR="00677FEB">
        <w:rPr>
          <w:i/>
          <w:iCs/>
        </w:rPr>
        <w:t>, mesmo que o prazo inicial de vigência do contrato seja superior a este período</w:t>
      </w:r>
      <w:r w:rsidR="00677FEB">
        <w:t xml:space="preserve">. </w:t>
      </w:r>
      <w:r w:rsidR="00677FEB">
        <w:rPr>
          <w:i/>
          <w:iCs/>
        </w:rPr>
        <w:t xml:space="preserve">Na mesma linha, indica o Acórdão que o Tribunal “tem entendimento, assentado e anterior à edição da Lei 14.133/2021, de que </w:t>
      </w:r>
      <w:r w:rsidR="00677FEB">
        <w:rPr>
          <w:b/>
          <w:bCs/>
          <w:i/>
          <w:iCs/>
        </w:rPr>
        <w:t>as exigências econômico-financeiras devem se ater ao valor estimado para o período de 12 (doze) meses de contrato</w:t>
      </w:r>
      <w:r w:rsidR="00677FEB">
        <w:rPr>
          <w:i/>
          <w:iCs/>
        </w:rPr>
        <w:t xml:space="preserve">, </w:t>
      </w:r>
      <w:r w:rsidR="00677FEB">
        <w:rPr>
          <w:b/>
          <w:bCs/>
          <w:i/>
          <w:iCs/>
        </w:rPr>
        <w:t>independente da sua duração</w:t>
      </w:r>
      <w:r w:rsidR="00677FEB">
        <w:rPr>
          <w:i/>
          <w:iCs/>
        </w:rPr>
        <w:t xml:space="preserve">, sob o risco de </w:t>
      </w:r>
      <w:r w:rsidR="00677FEB">
        <w:rPr>
          <w:b/>
          <w:bCs/>
          <w:i/>
          <w:iCs/>
        </w:rPr>
        <w:t>restrição à competitividade e direcionamento do certame</w:t>
      </w:r>
      <w:r w:rsidR="00677FEB">
        <w:rPr>
          <w:i/>
          <w:iCs/>
        </w:rPr>
        <w:t xml:space="preserve">”. Sendo assim, todas as exigências relacionadas aos indicadores de </w:t>
      </w:r>
      <w:r w:rsidR="00677FEB">
        <w:rPr>
          <w:b/>
          <w:bCs/>
          <w:i/>
          <w:iCs/>
        </w:rPr>
        <w:t>capital mínimo ou patrimônio líquido mínimo</w:t>
      </w:r>
      <w:r w:rsidR="00677FEB">
        <w:rPr>
          <w:i/>
          <w:iCs/>
        </w:rPr>
        <w:t xml:space="preserve">, em caso contratações de serviços continuados (com ou sem regime de dedicação exclusiva de mão de obra), deverão incidir sobre o valor estimado da contratação para 12 meses, ainda que a duração inicial do contrato seja superior a este período. Nos contratos de serviços por escopo, a exigência, quando formulada, deverá considerar o valor total estimado da contratação. </w:t>
      </w:r>
    </w:p>
  </w:comment>
  <w:comment w:id="133" w:author="Autor" w:initials="A">
    <w:p w14:paraId="7C646475" w14:textId="1146EE54" w:rsidR="00324A5D" w:rsidRDefault="00132A7A" w:rsidP="00324A5D">
      <w:pPr>
        <w:pStyle w:val="Textodecomentrio"/>
      </w:pPr>
      <w:r>
        <w:rPr>
          <w:rStyle w:val="Refdecomentrio"/>
        </w:rPr>
        <w:annotationRef/>
      </w:r>
      <w:r w:rsidR="00324A5D">
        <w:rPr>
          <w:b/>
          <w:bCs/>
          <w:i/>
          <w:iCs/>
        </w:rPr>
        <w:t>Nota Explicativa:</w:t>
      </w:r>
      <w:r w:rsidR="00324A5D">
        <w:rPr>
          <w:i/>
          <w:iCs/>
        </w:rPr>
        <w:t xml:space="preserve"> Inserir essa previsão quando for fixada a necessidade de apresentação do balanço e  das demais demonstrações contábeis relativos aos </w:t>
      </w:r>
      <w:r w:rsidR="00324A5D">
        <w:rPr>
          <w:b/>
          <w:bCs/>
          <w:i/>
          <w:iCs/>
        </w:rPr>
        <w:t xml:space="preserve">2 (dois) últimos exercícios sociais.  </w:t>
      </w:r>
    </w:p>
  </w:comment>
  <w:comment w:id="134" w:author="Autor" w:initials="A">
    <w:p w14:paraId="01F18801" w14:textId="26452ED8" w:rsidR="00FE1F34" w:rsidRDefault="00D62468" w:rsidP="007C4769">
      <w:pPr>
        <w:pStyle w:val="Textodecomentrio"/>
      </w:pPr>
      <w:r>
        <w:rPr>
          <w:rStyle w:val="Refdecomentrio"/>
        </w:rPr>
        <w:annotationRef/>
      </w:r>
      <w:r w:rsidR="00FE1F34">
        <w:rPr>
          <w:b/>
          <w:bCs/>
          <w:i/>
          <w:iCs/>
        </w:rPr>
        <w:t>Nota Explicativa:</w:t>
      </w:r>
      <w:r w:rsidR="00FE1F34">
        <w:rPr>
          <w:b/>
          <w:bCs/>
        </w:rPr>
        <w:t xml:space="preserve"> </w:t>
      </w:r>
      <w:r w:rsidR="00FE1F34">
        <w:rPr>
          <w:i/>
          <w:iCs/>
        </w:rPr>
        <w:t xml:space="preserve">Previsão que decorre do disposto no </w:t>
      </w:r>
      <w:hyperlink r:id="rId91" w:anchor="art69%C2%A71" w:history="1">
        <w:r w:rsidR="00FE1F34" w:rsidRPr="000A31C4">
          <w:rPr>
            <w:rStyle w:val="Hyperlink"/>
            <w:i/>
            <w:iCs/>
          </w:rPr>
          <w:t>art. 69, §1º da Lei nº 14.133, de 2021</w:t>
        </w:r>
      </w:hyperlink>
      <w:r w:rsidR="00FE1F34">
        <w:rPr>
          <w:i/>
          <w:iCs/>
        </w:rPr>
        <w:t>, podendo a Administração optar por tal disposição, desde que justificadamente.</w:t>
      </w:r>
    </w:p>
  </w:comment>
  <w:comment w:id="136" w:author="Autor" w:initials="A">
    <w:p w14:paraId="40C34685" w14:textId="77777777" w:rsidR="003244D7" w:rsidRDefault="00A91E4C" w:rsidP="003244D7">
      <w:pPr>
        <w:pStyle w:val="Textodecomentrio"/>
      </w:pPr>
      <w:r>
        <w:rPr>
          <w:rStyle w:val="Refdecomentrio"/>
        </w:rPr>
        <w:annotationRef/>
      </w:r>
      <w:r w:rsidR="003244D7">
        <w:rPr>
          <w:b/>
          <w:bCs/>
          <w:i/>
          <w:iCs/>
          <w:color w:val="000000"/>
        </w:rPr>
        <w:t>Nota Explicativa:</w:t>
      </w:r>
      <w:r w:rsidR="003244D7">
        <w:rPr>
          <w:i/>
          <w:iCs/>
          <w:color w:val="000000"/>
        </w:rPr>
        <w:t xml:space="preserve"> Essa exigência, destinada especificamente aos serviços </w:t>
      </w:r>
      <w:r w:rsidR="003244D7">
        <w:rPr>
          <w:b/>
          <w:bCs/>
          <w:i/>
          <w:iCs/>
          <w:color w:val="000000"/>
        </w:rPr>
        <w:t>com dedicação exclusiva de mão de obra</w:t>
      </w:r>
      <w:r w:rsidR="003244D7">
        <w:rPr>
          <w:i/>
          <w:iCs/>
          <w:color w:val="000000"/>
        </w:rPr>
        <w:t xml:space="preserve">, tem como fundamento o item 11, "d", do Anexo VII-A da IN SEGES/MP n.º 05/2017, aplicável por força da IN SEGES/ME n.º 98/2022. </w:t>
      </w:r>
    </w:p>
  </w:comment>
  <w:comment w:id="137" w:author="Autor" w:initials="A">
    <w:p w14:paraId="1A74B8F5" w14:textId="77777777" w:rsidR="003244D7" w:rsidRDefault="008217C2" w:rsidP="003244D7">
      <w:pPr>
        <w:pStyle w:val="Textodecomentrio"/>
      </w:pPr>
      <w:r>
        <w:rPr>
          <w:rStyle w:val="Refdecomentrio"/>
        </w:rPr>
        <w:annotationRef/>
      </w:r>
      <w:r w:rsidR="003244D7">
        <w:rPr>
          <w:b/>
          <w:bCs/>
          <w:i/>
          <w:iCs/>
          <w:color w:val="000000"/>
        </w:rPr>
        <w:t xml:space="preserve">Nota Explicativa 1: </w:t>
      </w:r>
      <w:r w:rsidR="003244D7">
        <w:rPr>
          <w:i/>
          <w:iCs/>
          <w:color w:val="000000"/>
        </w:rPr>
        <w:t>Além de avaliar a pertinência de exigir qualificação técnica, o rigor das exigências também deve ser avaliado, promovendo-se adaptações pela área demandante em face do tipo de contratação que se pretende fazer. A redação ora apresentada visa a dispor sobre as possibilidades gerais trazidas pela lei, mas a área competente do órgão contratante deverá, NECESSARIAMENTE, ajustar TODAS as cláusulas aqui presentes à realidade de sua demanda específica, com base em justificativa do ETP.</w:t>
      </w:r>
    </w:p>
    <w:p w14:paraId="0AE84E3F" w14:textId="77777777" w:rsidR="003244D7" w:rsidRDefault="003244D7" w:rsidP="003244D7">
      <w:pPr>
        <w:pStyle w:val="Textodecomentrio"/>
      </w:pPr>
    </w:p>
    <w:p w14:paraId="385A6F13" w14:textId="77777777" w:rsidR="003244D7" w:rsidRDefault="003244D7" w:rsidP="003244D7">
      <w:pPr>
        <w:pStyle w:val="Textodecomentrio"/>
      </w:pPr>
      <w:r>
        <w:rPr>
          <w:b/>
          <w:bCs/>
          <w:i/>
          <w:iCs/>
        </w:rPr>
        <w:t>Nota Explicativa 2</w:t>
      </w:r>
      <w:r>
        <w:rPr>
          <w:i/>
          <w:iCs/>
        </w:rPr>
        <w:t xml:space="preserve">: Conforme exposto na Nota Explicativa sobre os requisitos da contratação – vistoria –, essa declaração só deve ser exigida caso tenha sido considerada imprescindível a avaliação prévia do local de execução para o conhecimento pleno das condições e peculiaridades do objeto a ser contratado. </w:t>
      </w:r>
    </w:p>
  </w:comment>
  <w:comment w:id="139" w:author="Autor" w:initials="A">
    <w:p w14:paraId="3BE4C3B0" w14:textId="77777777" w:rsidR="003244D7" w:rsidRDefault="008217C2" w:rsidP="003244D7">
      <w:pPr>
        <w:pStyle w:val="Textodecomentrio"/>
      </w:pPr>
      <w:r>
        <w:rPr>
          <w:rStyle w:val="Refdecomentrio"/>
        </w:rPr>
        <w:annotationRef/>
      </w:r>
      <w:r w:rsidR="003244D7">
        <w:rPr>
          <w:b/>
          <w:bCs/>
          <w:i/>
          <w:iCs/>
          <w:color w:val="000000"/>
        </w:rPr>
        <w:t>Nota explicativa 1:</w:t>
      </w:r>
      <w:r w:rsidR="003244D7">
        <w:rPr>
          <w:i/>
          <w:iCs/>
          <w:color w:val="000000"/>
        </w:rPr>
        <w:t xml:space="preserve"> Esta exigência só deve ser formulada quando, por determinação legal, o exercício de determinada atividade afeta ao objeto contratual esteja sujeita à fiscalização da entidade profissional competente, a ser indicada expressamente no dispositivo. </w:t>
      </w:r>
    </w:p>
    <w:p w14:paraId="52340948" w14:textId="77777777" w:rsidR="003244D7" w:rsidRDefault="003244D7" w:rsidP="003244D7">
      <w:pPr>
        <w:pStyle w:val="Textodecomentrio"/>
      </w:pPr>
      <w:r>
        <w:rPr>
          <w:i/>
          <w:iCs/>
          <w:color w:val="000000"/>
        </w:rPr>
        <w:t>Quando não existir determinação legal atrelando o exercício de determinada atividade ao correspondente conselho de fiscalização profissional, a exigência de registro ou inscrição, para fim de habilitação, torna-se inaplicável. Nessas situações, o referido subitem deve ser excluído.</w:t>
      </w:r>
    </w:p>
    <w:p w14:paraId="315500E6" w14:textId="77777777" w:rsidR="003244D7" w:rsidRDefault="003244D7" w:rsidP="003244D7">
      <w:pPr>
        <w:pStyle w:val="Textodecomentrio"/>
      </w:pPr>
    </w:p>
    <w:p w14:paraId="2510470E" w14:textId="77777777" w:rsidR="003244D7" w:rsidRDefault="003244D7" w:rsidP="003244D7">
      <w:pPr>
        <w:pStyle w:val="Textodecomentrio"/>
      </w:pPr>
      <w:r>
        <w:rPr>
          <w:b/>
          <w:bCs/>
          <w:i/>
          <w:iCs/>
          <w:color w:val="000000"/>
        </w:rPr>
        <w:t>Nota Explicativa 2</w:t>
      </w:r>
      <w:r>
        <w:rPr>
          <w:i/>
          <w:iCs/>
          <w:color w:val="000000"/>
        </w:rPr>
        <w:t>: A Administração deverá definir os profissionais que serão necessários à execução do objeto para, então, delimitar a necessidade de inscrição da contratada no conselho profissional competente (ex., CREA, CAU ou CRT), podendo envolver mais de um em caso de objeto que exija atuação de equipe multidisciplinar. A exigência de inscrição na entidade profissional competente está prevista no art. 67, V, da Lei nº 14.133, de 2021.</w:t>
      </w:r>
    </w:p>
    <w:p w14:paraId="7C82B335" w14:textId="77777777" w:rsidR="003244D7" w:rsidRDefault="003244D7" w:rsidP="003244D7">
      <w:pPr>
        <w:pStyle w:val="Textodecomentrio"/>
      </w:pPr>
    </w:p>
    <w:p w14:paraId="7114B2D0" w14:textId="77777777" w:rsidR="003244D7" w:rsidRDefault="003244D7" w:rsidP="003244D7">
      <w:pPr>
        <w:pStyle w:val="Textodecomentrio"/>
      </w:pPr>
      <w:r>
        <w:rPr>
          <w:b/>
          <w:bCs/>
          <w:i/>
          <w:iCs/>
          <w:color w:val="000000"/>
        </w:rPr>
        <w:t>Nota Explicativa 2</w:t>
      </w:r>
      <w:r>
        <w:rPr>
          <w:i/>
          <w:iCs/>
          <w:color w:val="000000"/>
        </w:rPr>
        <w:t>: Nesse ponto, destaca-se que a Lei n° 13.639, de 26 de março de 2018, criou o Conselho Federal dos Técnicos Industriais – CFT e a Resolução CFT n° 101, de 4 de junho de 2020, prescreve as atribuições desses profissionais. Assim, compete ao órgão ou entidade avaliar qual profissional é o necessário e adequado ao objeto contratado e estabelecer a exigência pertinente. O mais importante nessa avaliação é cuidar para não excluir profissionais que possuam competência para executar o objeto, segundo as normas da respectiva categoria, porque isso representaria restrição indevida à competitividade.</w:t>
      </w:r>
    </w:p>
  </w:comment>
  <w:comment w:id="141" w:author="Autor" w:initials="A">
    <w:p w14:paraId="52328B5F" w14:textId="5A317EAA" w:rsidR="008217C2" w:rsidRDefault="008217C2" w:rsidP="003D37F3">
      <w:pPr>
        <w:pStyle w:val="Textodecomentrio"/>
      </w:pPr>
      <w:r>
        <w:rPr>
          <w:rStyle w:val="Refdecomentrio"/>
        </w:rPr>
        <w:annotationRef/>
      </w:r>
      <w:r>
        <w:rPr>
          <w:b/>
          <w:bCs/>
          <w:i/>
          <w:iCs/>
          <w:color w:val="000000"/>
        </w:rPr>
        <w:t>Nota Explicativa:</w:t>
      </w:r>
      <w:r>
        <w:rPr>
          <w:i/>
          <w:iCs/>
          <w:color w:val="000000"/>
        </w:rPr>
        <w:t xml:space="preserve"> Eventuais requisitos de qualificação técnica previstos em lei específica e que incidam sobre a atividade objeto da contratação deverão ser indicados aqui, com fundamento no art. 67, inciso IV, da Lei nº 14.133, de 2021. Cita-se, exemplificativamente, a exigência, dentre os documentos de habilitação técnica, da chamada Autorização Especial, emitida pela Agência Nacional de Vigilância Sanitária – Anvisa, nas contratações para aquisição de medicamentos sujeitos a controle especial, com base na Lei n.º 6.360, de 23 de setembro de 1976, e na Resolução da Diretoria Colegiada da RDC/Anvisa nº 16, de 1º de abril de 2014.</w:t>
      </w:r>
    </w:p>
  </w:comment>
  <w:comment w:id="143" w:author="Autor" w:initials="A">
    <w:p w14:paraId="64B32163" w14:textId="77777777" w:rsidR="00677FEB" w:rsidRDefault="006C16A6" w:rsidP="00677FEB">
      <w:pPr>
        <w:pStyle w:val="Textodecomentrio"/>
      </w:pPr>
      <w:r>
        <w:rPr>
          <w:rStyle w:val="Refdecomentrio"/>
        </w:rPr>
        <w:annotationRef/>
      </w:r>
      <w:r w:rsidR="00677FEB">
        <w:rPr>
          <w:b/>
          <w:bCs/>
          <w:i/>
          <w:iCs/>
        </w:rPr>
        <w:t xml:space="preserve">Nota Explicativa: </w:t>
      </w:r>
      <w:r w:rsidR="00677FEB">
        <w:rPr>
          <w:i/>
          <w:iCs/>
        </w:rPr>
        <w:t xml:space="preserve"> A Resolução Confea n.º 1.137, de 31 de março de 2023, passou a prever edição, pelos Conselhos Regionais de Engenharia e Agronomia, da chamada </w:t>
      </w:r>
      <w:r w:rsidR="00677FEB">
        <w:rPr>
          <w:b/>
          <w:bCs/>
          <w:i/>
          <w:iCs/>
        </w:rPr>
        <w:t>Certidão de Acervo Operacional – CAO</w:t>
      </w:r>
      <w:r w:rsidR="00677FEB">
        <w:rPr>
          <w:i/>
          <w:iCs/>
        </w:rPr>
        <w:t xml:space="preserve">, definida como “o instrumento que certifica, para os efeitos legais, que consta dos assentamentos do(s) Creas, o registro da(s) anotação(ções) de responsabilidade técnica (ART) registrada(s)” (art. 53). Prevê a norma (art. 46) que o acervo técnico-operacional da pessoa jurídica será aferido a partir das ARTs registradas no Crea pelos profissionais vinculados à empresa (pertencentes ao seu quadro técnico ou por ela contratados para desempenhar as atividades constantes da ART). A CAO, por sua vez, será emitida pelo Crea justamente com base nessas ARTs constantes do acervo técnico-operacional da empresa. </w:t>
      </w:r>
    </w:p>
    <w:p w14:paraId="4714C887" w14:textId="77777777" w:rsidR="00677FEB" w:rsidRDefault="00677FEB" w:rsidP="00677FEB">
      <w:pPr>
        <w:pStyle w:val="Textodecomentrio"/>
      </w:pPr>
      <w:r>
        <w:rPr>
          <w:i/>
          <w:iCs/>
        </w:rPr>
        <w:t xml:space="preserve">Na mesma linha, a Resolução CAU/BR n.º 93, de 7 de novembro de 2014, criou a chamada </w:t>
      </w:r>
      <w:r>
        <w:rPr>
          <w:b/>
          <w:bCs/>
          <w:i/>
          <w:iCs/>
        </w:rPr>
        <w:t>Certidão de Acervo Técnico-Operacional (CAT-O),</w:t>
      </w:r>
      <w:r>
        <w:rPr>
          <w:i/>
          <w:iCs/>
        </w:rPr>
        <w:t xml:space="preserve"> que certifica o acervo operacional da pessoa jurídica registrada no Conselho de Arquitetura e Urbanismo, a partir do "conjunto de Certidões de Acervo Técnico-Profissional com Atestado (CAT-A) de arquitetos (as) e urbanistas, emitidas a partir de Registros de Responsabilidade Técnica (RRT) no qual a pessoa jurídica conste como empresa contratada" (art. 21-A). </w:t>
      </w:r>
    </w:p>
    <w:p w14:paraId="14E77C66" w14:textId="77777777" w:rsidR="00677FEB" w:rsidRDefault="00677FEB" w:rsidP="00677FEB">
      <w:pPr>
        <w:pStyle w:val="Textodecomentrio"/>
      </w:pPr>
      <w:r>
        <w:rPr>
          <w:i/>
          <w:iCs/>
        </w:rPr>
        <w:t xml:space="preserve">Portanto, a CAO e a CAT-O consistem em documentos hábeis para a comprovação da </w:t>
      </w:r>
      <w:r>
        <w:rPr>
          <w:b/>
          <w:bCs/>
          <w:i/>
          <w:iCs/>
        </w:rPr>
        <w:t>qualificação técnico-operacional</w:t>
      </w:r>
      <w:r>
        <w:rPr>
          <w:i/>
          <w:iCs/>
        </w:rPr>
        <w:t xml:space="preserve"> </w:t>
      </w:r>
      <w:r>
        <w:rPr>
          <w:b/>
          <w:bCs/>
          <w:i/>
          <w:iCs/>
        </w:rPr>
        <w:t>das pessoas jurídicas</w:t>
      </w:r>
      <w:r>
        <w:rPr>
          <w:i/>
          <w:iCs/>
        </w:rPr>
        <w:t xml:space="preserve"> nas contratações de obras e serviços de engenharia e arquitetura. </w:t>
      </w:r>
    </w:p>
  </w:comment>
  <w:comment w:id="144" w:author="Autor" w:initials="A">
    <w:p w14:paraId="512C7C92" w14:textId="3E1B5C29" w:rsidR="007F53B4" w:rsidRDefault="00450A85" w:rsidP="00625AFC">
      <w:pPr>
        <w:pStyle w:val="Textodecomentrio"/>
      </w:pPr>
      <w:r>
        <w:rPr>
          <w:rStyle w:val="Refdecomentrio"/>
        </w:rPr>
        <w:annotationRef/>
      </w:r>
      <w:r w:rsidR="007F53B4">
        <w:rPr>
          <w:b/>
          <w:bCs/>
          <w:i/>
          <w:iCs/>
        </w:rPr>
        <w:t xml:space="preserve">Nota Explicativa: </w:t>
      </w:r>
      <w:r w:rsidR="007F53B4">
        <w:rPr>
          <w:i/>
          <w:iCs/>
        </w:rPr>
        <w:t>Somente podem ser exigidos atestados relativos às parcelas de maior relevância ou valor significativo do objeto da licitação, assim consideradas as que tenham valor individual igual ou superior a 4% (quatro por cento) do valor total estimado da contratação (art. 67, §1º, da Lei 14133/21).</w:t>
      </w:r>
    </w:p>
  </w:comment>
  <w:comment w:id="145" w:author="Autor" w:initials="A">
    <w:p w14:paraId="219D1529" w14:textId="77777777" w:rsidR="003B587E" w:rsidRDefault="003B587E" w:rsidP="003B587E">
      <w:pPr>
        <w:pStyle w:val="Textodecomentrio"/>
      </w:pPr>
      <w:r>
        <w:rPr>
          <w:rStyle w:val="Refdecomentrio"/>
        </w:rPr>
        <w:annotationRef/>
      </w:r>
      <w:r>
        <w:rPr>
          <w:b/>
          <w:bCs/>
          <w:i/>
          <w:iCs/>
        </w:rPr>
        <w:t xml:space="preserve">Nota Explicativa: </w:t>
      </w:r>
      <w:r>
        <w:rPr>
          <w:i/>
          <w:iCs/>
        </w:rPr>
        <w:t>Em caso de s</w:t>
      </w:r>
      <w:r>
        <w:rPr>
          <w:b/>
          <w:bCs/>
          <w:i/>
          <w:iCs/>
        </w:rPr>
        <w:t>erviços contínuos,</w:t>
      </w:r>
      <w:r>
        <w:rPr>
          <w:i/>
          <w:iCs/>
        </w:rPr>
        <w:t xml:space="preserve"> o edital poderá exigir a comprovação de que o licitante tenha executado serviços similares ao objeto da licitação, </w:t>
      </w:r>
      <w:r>
        <w:rPr>
          <w:b/>
          <w:bCs/>
          <w:i/>
          <w:iCs/>
        </w:rPr>
        <w:t>em períodos sucessivos ou não,</w:t>
      </w:r>
      <w:r>
        <w:rPr>
          <w:i/>
          <w:iCs/>
        </w:rPr>
        <w:t xml:space="preserve"> por um prazo mínimo n</w:t>
      </w:r>
      <w:r>
        <w:rPr>
          <w:b/>
          <w:bCs/>
          <w:i/>
          <w:iCs/>
        </w:rPr>
        <w:t>ão superior a 3 (três) anos</w:t>
      </w:r>
      <w:r>
        <w:rPr>
          <w:i/>
          <w:iCs/>
        </w:rPr>
        <w:t xml:space="preserve"> (art. 67, §5º, da Lei 14133/21; Anexo VII-A, item 10.6 e item 10.7, IN Seges 5/2017).</w:t>
      </w:r>
    </w:p>
  </w:comment>
  <w:comment w:id="146" w:author="Autor" w:initials="A">
    <w:p w14:paraId="5463A1BE" w14:textId="77777777" w:rsidR="00826D11" w:rsidRDefault="00826D11" w:rsidP="00826D11">
      <w:pPr>
        <w:pStyle w:val="Textodecomentrio"/>
      </w:pPr>
      <w:r>
        <w:rPr>
          <w:rStyle w:val="Refdecomentrio"/>
        </w:rPr>
        <w:annotationRef/>
      </w:r>
      <w:r>
        <w:rPr>
          <w:b/>
          <w:bCs/>
        </w:rPr>
        <w:t xml:space="preserve">Nota Explicativa: </w:t>
      </w:r>
      <w:r>
        <w:t>A exigência de atestados com quantidades mínimas deve ser limitada a 50% das parcelas de maior relevância ou valor significativo do objeto da licitação, nos termos do art. 67, § 2º, da Lei nº 14.133, de 2021, ainda que se trate de contratação por postos de trabalho. Assim, não pode ser exigida a execução simultânea de 100% do quantitativo de postos previstos (Acórdão TCU n. 1604/2025-Plenário).</w:t>
      </w:r>
    </w:p>
    <w:p w14:paraId="7D2284A1" w14:textId="77777777" w:rsidR="00826D11" w:rsidRDefault="00826D11" w:rsidP="00826D11">
      <w:pPr>
        <w:pStyle w:val="Textodecomentrio"/>
      </w:pPr>
      <w:r>
        <w:t>O TCU concluiu que o item 10.6, "c.2", do Anexo VII-A IN SEGES/MP n. 5, de 2017, é incompatível com a Lei n. 14.133, de 2021 e, portanto, deve ser afastado.</w:t>
      </w:r>
    </w:p>
  </w:comment>
  <w:comment w:id="147" w:author="Autor" w:initials="A">
    <w:p w14:paraId="279327C0" w14:textId="0C47ADE1" w:rsidR="003B587E" w:rsidRDefault="008217C2">
      <w:pPr>
        <w:pStyle w:val="Textodecomentrio"/>
      </w:pPr>
      <w:r>
        <w:rPr>
          <w:rStyle w:val="Refdecomentrio"/>
        </w:rPr>
        <w:annotationRef/>
      </w:r>
      <w:r w:rsidR="003B587E">
        <w:rPr>
          <w:b/>
          <w:bCs/>
          <w:i/>
          <w:iCs/>
        </w:rPr>
        <w:t>Nota Explicativa 1</w:t>
      </w:r>
      <w:r w:rsidR="003B587E">
        <w:rPr>
          <w:i/>
          <w:iCs/>
        </w:rPr>
        <w:t>: Compete ao órgão avaliar as características mínimas sugeridas no presente modelo, mantendo-as, alterando-as ou as suprimindo, bem como avaliar se outras características devem ser mencionadas.</w:t>
      </w:r>
    </w:p>
    <w:p w14:paraId="5368B981" w14:textId="77777777" w:rsidR="003B587E" w:rsidRDefault="003B587E">
      <w:pPr>
        <w:pStyle w:val="Textodecomentrio"/>
      </w:pPr>
      <w:r>
        <w:rPr>
          <w:b/>
          <w:bCs/>
          <w:i/>
          <w:iCs/>
        </w:rPr>
        <w:br/>
        <w:t xml:space="preserve">Nota Explicativa 2: </w:t>
      </w:r>
      <w:r>
        <w:rPr>
          <w:i/>
          <w:iCs/>
        </w:rPr>
        <w:t>Caso seja permitida a subcontratação de fornecimento com aspectos técnicos específicos, poderá ser admitida a apresentação de atestados relativos a potencial subcontratado, limitado a 25% do objeto licitado, conforme art. 67, §9º da Lei nº 14.133, de 2021.</w:t>
      </w:r>
    </w:p>
    <w:p w14:paraId="73A17203" w14:textId="77777777" w:rsidR="003B587E" w:rsidRDefault="003B587E">
      <w:pPr>
        <w:pStyle w:val="Textodecomentrio"/>
      </w:pPr>
      <w:r>
        <w:rPr>
          <w:i/>
          <w:iCs/>
        </w:rPr>
        <w:t xml:space="preserve">Em sendo esse o caso do processo, recomenda-se inserir a seguinte disposição: </w:t>
      </w:r>
    </w:p>
    <w:p w14:paraId="171E9B82" w14:textId="77777777" w:rsidR="003B587E" w:rsidRDefault="003B587E" w:rsidP="007C4769">
      <w:pPr>
        <w:pStyle w:val="Textodecomentrio"/>
      </w:pPr>
      <w:r>
        <w:rPr>
          <w:i/>
          <w:iCs/>
        </w:rPr>
        <w:t>"Será admitida a apresentação de atestados relativos a potencial subcontratado em relação à parcela do fornecimento de.... ..., cuja subcontratação foi expressamente autorizada no tópico pertinente."</w:t>
      </w:r>
    </w:p>
  </w:comment>
  <w:comment w:id="148" w:author="Autor" w:initials="A">
    <w:p w14:paraId="1E34CCB8" w14:textId="77777777" w:rsidR="009A07BD" w:rsidRDefault="00435D45" w:rsidP="009A07BD">
      <w:pPr>
        <w:pStyle w:val="Textodecomentrio"/>
      </w:pPr>
      <w:r>
        <w:rPr>
          <w:rStyle w:val="Refdecomentrio"/>
        </w:rPr>
        <w:annotationRef/>
      </w:r>
      <w:r w:rsidR="009A07BD">
        <w:rPr>
          <w:b/>
          <w:bCs/>
          <w:i/>
          <w:iCs/>
        </w:rPr>
        <w:t>Nota Explicativa:</w:t>
      </w:r>
      <w:r w:rsidR="009A07BD">
        <w:rPr>
          <w:b/>
          <w:bCs/>
        </w:rPr>
        <w:t xml:space="preserve"> </w:t>
      </w:r>
      <w:r w:rsidR="009A07BD">
        <w:rPr>
          <w:i/>
          <w:iCs/>
        </w:rPr>
        <w:t xml:space="preserve">A previsão decorre do item 10.9 do Anexo VII-A da IN SEGES/MP n. 5/2017, aplicável por força da IN SEGES/ME nº 98/2022, e deverá ser contemplada no TR caso tenha sido formulada a exigência de comprovação de quantitativos mínimos pelos atestados. </w:t>
      </w:r>
    </w:p>
  </w:comment>
  <w:comment w:id="149" w:author="Autor" w:initials="A">
    <w:p w14:paraId="1B8BBB4F" w14:textId="2CA33EEB" w:rsidR="00E2024B" w:rsidRDefault="00D62468" w:rsidP="009A07BD">
      <w:pPr>
        <w:pStyle w:val="Textodecomentrio"/>
      </w:pPr>
      <w:r>
        <w:rPr>
          <w:rStyle w:val="Refdecomentrio"/>
        </w:rPr>
        <w:annotationRef/>
      </w:r>
      <w:r w:rsidR="00E2024B">
        <w:rPr>
          <w:b/>
          <w:bCs/>
          <w:i/>
          <w:iCs/>
        </w:rPr>
        <w:t>Nota Explicativa:</w:t>
      </w:r>
      <w:r w:rsidR="00E2024B">
        <w:rPr>
          <w:i/>
          <w:iCs/>
        </w:rPr>
        <w:t xml:space="preserve"> </w:t>
      </w:r>
      <w:r w:rsidR="00E2024B">
        <w:rPr>
          <w:i/>
          <w:iCs/>
          <w:color w:val="000000"/>
        </w:rPr>
        <w:t>Conforme Anexo VII-A da IN SEGES/MP n. 5/2017.</w:t>
      </w:r>
    </w:p>
  </w:comment>
  <w:comment w:id="151" w:author="Autor" w:initials="A">
    <w:p w14:paraId="66F3AE0F" w14:textId="77777777" w:rsidR="009A07BD" w:rsidRDefault="00D62468" w:rsidP="009A07BD">
      <w:pPr>
        <w:pStyle w:val="Textodecomentrio"/>
      </w:pPr>
      <w:r>
        <w:rPr>
          <w:rStyle w:val="Refdecomentrio"/>
        </w:rPr>
        <w:annotationRef/>
      </w:r>
      <w:r w:rsidR="009A07BD">
        <w:rPr>
          <w:b/>
          <w:bCs/>
          <w:i/>
          <w:iCs/>
        </w:rPr>
        <w:t xml:space="preserve">Nota Explicativa: </w:t>
      </w:r>
      <w:r w:rsidR="009A07BD">
        <w:rPr>
          <w:i/>
          <w:iCs/>
        </w:rPr>
        <w:t xml:space="preserve">Essa declaração apenas poderá ser exigida caso tenha sido justificada pela Administração, na seção deste Termo de Referência destinada aos requisitos da contratação, a necessidade de instalação de escritório pelo futuro contratado para a adequada execução dos serviços contratados. </w:t>
      </w:r>
    </w:p>
  </w:comment>
  <w:comment w:id="152" w:author="Autor" w:initials="A">
    <w:p w14:paraId="32127F51" w14:textId="77777777" w:rsidR="00324A5D" w:rsidRDefault="00234CE9" w:rsidP="00324A5D">
      <w:pPr>
        <w:pStyle w:val="Textodecomentrio"/>
      </w:pPr>
      <w:r>
        <w:rPr>
          <w:rStyle w:val="Refdecomentrio"/>
        </w:rPr>
        <w:annotationRef/>
      </w:r>
      <w:r w:rsidR="00324A5D">
        <w:rPr>
          <w:b/>
          <w:bCs/>
          <w:i/>
          <w:iCs/>
        </w:rPr>
        <w:t xml:space="preserve">Nota Explicativa: </w:t>
      </w:r>
      <w:r w:rsidR="00324A5D">
        <w:rPr>
          <w:i/>
          <w:iCs/>
        </w:rPr>
        <w:t xml:space="preserve">A comprovação da </w:t>
      </w:r>
      <w:r w:rsidR="00324A5D">
        <w:rPr>
          <w:b/>
          <w:bCs/>
          <w:i/>
          <w:iCs/>
        </w:rPr>
        <w:t>qualificação técnico-profissional</w:t>
      </w:r>
      <w:r w:rsidR="00324A5D">
        <w:rPr>
          <w:i/>
          <w:iCs/>
        </w:rPr>
        <w:t xml:space="preserve">, em se tratando da contratação de obras e serviços de engenharia, poderá ser feita por meio da apresentação de </w:t>
      </w:r>
      <w:r w:rsidR="00324A5D">
        <w:rPr>
          <w:b/>
          <w:bCs/>
          <w:i/>
          <w:iCs/>
        </w:rPr>
        <w:t>Certidão de Acervo Técnico – CAT</w:t>
      </w:r>
      <w:r w:rsidR="00324A5D">
        <w:rPr>
          <w:i/>
          <w:iCs/>
        </w:rPr>
        <w:t xml:space="preserve"> expedida pelo CREA (Resolução Confea n.º 1.137, de 2023), pelo CAU (Resolução CAU/BR n° 93, de 2024) ou pelo CRT  (Resolução CTF n.º 55, de 18 de janeiro de 2019) da região pertinente, nos termos da legislação aplicável, em nome do(s) responsável(is) técnico(s) e/ou membros da equipe técnica que participarão da obra ou serviço, demonstrando a Anotação de Responsabilidade Técnica – ART, o Registro de Responsabilidade Técnica – RRT ou o Termo de Responsabilidade Técnica – TRT, respectivamente, relativo à execução dos serviços que compõem as parcelas de maior relevância técnica ou valor significativo do objeto da contratação. </w:t>
      </w:r>
    </w:p>
  </w:comment>
  <w:comment w:id="153" w:author="Autor" w:initials="A">
    <w:p w14:paraId="23FF7815" w14:textId="690BCAB9" w:rsidR="00E816C2" w:rsidRDefault="008217C2" w:rsidP="00E816C2">
      <w:pPr>
        <w:pStyle w:val="Textodecomentrio"/>
      </w:pPr>
      <w:r>
        <w:rPr>
          <w:rStyle w:val="Refdecomentrio"/>
        </w:rPr>
        <w:annotationRef/>
      </w:r>
      <w:r w:rsidR="00E816C2">
        <w:rPr>
          <w:b/>
          <w:bCs/>
        </w:rPr>
        <w:t xml:space="preserve">Nota Explicativa: </w:t>
      </w:r>
      <w:r w:rsidR="00E816C2">
        <w:rPr>
          <w:i/>
          <w:iCs/>
        </w:rPr>
        <w:t xml:space="preserve">O art. 67, III, da Lei nº 14.133/2021 prevê a possibilidade de exigência de indicação do pessoal técnico, das instalações e do aparelhamento adequados e disponíveis para a realização do objeto da contratação, bem como da </w:t>
      </w:r>
    </w:p>
    <w:p w14:paraId="1AAE706F" w14:textId="77777777" w:rsidR="00E816C2" w:rsidRDefault="00E816C2" w:rsidP="00E816C2">
      <w:pPr>
        <w:pStyle w:val="Textodecomentrio"/>
      </w:pPr>
      <w:r>
        <w:rPr>
          <w:i/>
          <w:iCs/>
        </w:rPr>
        <w:t>qualificação de cada membro da equipe técnica que se responsabilizará pelos trabalhos.</w:t>
      </w:r>
    </w:p>
    <w:p w14:paraId="311C0BA5" w14:textId="77777777" w:rsidR="00E816C2" w:rsidRDefault="00E816C2" w:rsidP="00E816C2">
      <w:pPr>
        <w:pStyle w:val="Textodecomentrio"/>
      </w:pPr>
      <w:r>
        <w:rPr>
          <w:i/>
          <w:iCs/>
        </w:rPr>
        <w:t>Desta forma, caso haja algum equipamento ou material específico, importante para a execução, pode ser feita a exigência de sua indicação prévia pela futura contratada. E para complementar tal exigência, poderia ser prevista uma sanção específica, no tópico próprio, para a não disponibilização desse item declarado.</w:t>
      </w:r>
    </w:p>
    <w:p w14:paraId="1BF7910F" w14:textId="77777777" w:rsidR="00E816C2" w:rsidRDefault="00E816C2" w:rsidP="00E816C2">
      <w:pPr>
        <w:pStyle w:val="Textodecomentrio"/>
      </w:pPr>
      <w:r>
        <w:rPr>
          <w:i/>
          <w:iCs/>
        </w:rPr>
        <w:t>Da mesma forma, caso haja pessoal técnico cuja atuação seja fundamental para a execução do objeto, pode ser feita a exigência de sua indicação, acompanhada da respectiva qualificação. Entretanto, nesse caso, pode haver certa redundância se também houver a exigência de apresentação do profissional detentor de determinados certificados, com a diferença de que, no caso da mera indicação, não se exige a comprovação mediante esses documentos emitidos pelo conselho profissional competente. Assim, é uma opção que se coloca para a Administração que reduz os custos transacionais para o futuro contratado e que também pode ser feita quando o pessoal técnico específico não estiver submetido a conselho profissional algum, apesar de ser especializado.</w:t>
      </w:r>
    </w:p>
    <w:p w14:paraId="0384B74E" w14:textId="77777777" w:rsidR="00E816C2" w:rsidRDefault="00E816C2" w:rsidP="00E816C2">
      <w:pPr>
        <w:pStyle w:val="Textodecomentrio"/>
      </w:pPr>
      <w:r>
        <w:rPr>
          <w:i/>
          <w:iCs/>
        </w:rPr>
        <w:t>De qualquer forma, caso a Administração repute necessária a indicação de determinado pessoal técnico, aparelhamento ou material deverá especificar exatamente qual seja, inserindo previsão no TR, conforme sugestão abaixo:</w:t>
      </w:r>
    </w:p>
    <w:p w14:paraId="1578F06C" w14:textId="77777777" w:rsidR="00E816C2" w:rsidRDefault="00E816C2" w:rsidP="00E816C2">
      <w:pPr>
        <w:pStyle w:val="Textodecomentrio"/>
      </w:pPr>
    </w:p>
    <w:p w14:paraId="25301BB7" w14:textId="77777777" w:rsidR="00E816C2" w:rsidRDefault="00E816C2" w:rsidP="00E816C2">
      <w:pPr>
        <w:pStyle w:val="Textodecomentrio"/>
      </w:pPr>
      <w:r>
        <w:t xml:space="preserve">10.4.8. indicação do pessoal técnico, das instalações e do aparelhamento adequados e disponíveis para a realização do objeto da contratação, bem como da qualificação de cada membro da equipe técnica que se responsabilizará pelos trabalhos, a saber: </w:t>
      </w:r>
      <w:r>
        <w:br/>
      </w:r>
      <w:r>
        <w:tab/>
        <w:t>10.4.8.1 (...)</w:t>
      </w:r>
    </w:p>
  </w:comment>
  <w:comment w:id="154" w:author="Autor" w:initials="A">
    <w:p w14:paraId="4BA3CAB0" w14:textId="760E427D" w:rsidR="008217C2" w:rsidRDefault="008217C2">
      <w:pPr>
        <w:pStyle w:val="Textodecomentrio"/>
      </w:pPr>
      <w:r>
        <w:rPr>
          <w:rStyle w:val="Refdecomentrio"/>
        </w:rPr>
        <w:annotationRef/>
      </w:r>
      <w:r w:rsidRPr="004B478E">
        <w:rPr>
          <w:b/>
          <w:bCs/>
          <w:i/>
          <w:iCs/>
        </w:rPr>
        <w:t>Nota Explicativa:</w:t>
      </w:r>
      <w:r w:rsidRPr="004B478E">
        <w:rPr>
          <w:i/>
          <w:iCs/>
        </w:rPr>
        <w:t xml:space="preserve"> Nesse sentido, o </w:t>
      </w:r>
      <w:hyperlink r:id="rId92" w:history="1">
        <w:r w:rsidRPr="004B478E">
          <w:rPr>
            <w:rStyle w:val="Hyperlink"/>
            <w:i/>
            <w:iCs/>
          </w:rPr>
          <w:t>Parecer n. 00005/2021/CNMLC/CGU/AGU</w:t>
        </w:r>
      </w:hyperlink>
      <w:r w:rsidRPr="004B478E">
        <w:rPr>
          <w:i/>
          <w:iCs/>
        </w:rPr>
        <w:t xml:space="preserve"> fixou que “se a filial pode até mesmo executar uma contratação formalizada com a matriz, não restam motivos para entender que os atestados de capacitação técnica emitidos em favor de uma não possam ser aproveitados pela outra, haja vista serem ambas rigorosamente a mesma empresa.” Vale observar que referido entendimento se inspirou na </w:t>
      </w:r>
      <w:hyperlink r:id="rId93" w:history="1">
        <w:r w:rsidRPr="004B478E">
          <w:rPr>
            <w:rStyle w:val="Hyperlink"/>
            <w:i/>
            <w:iCs/>
          </w:rPr>
          <w:t>ORIENTAÇÃO NORMATIVA Nº 66, DE 29 DE MAIO DE 2020.</w:t>
        </w:r>
      </w:hyperlink>
    </w:p>
  </w:comment>
  <w:comment w:id="155" w:author="Autor" w:initials="A">
    <w:p w14:paraId="45F8DF86" w14:textId="77777777" w:rsidR="00FE1F34" w:rsidRDefault="00002AB7">
      <w:pPr>
        <w:pStyle w:val="Textodecomentrio"/>
      </w:pPr>
      <w:r>
        <w:rPr>
          <w:rStyle w:val="Refdecomentrio"/>
        </w:rPr>
        <w:annotationRef/>
      </w:r>
      <w:r w:rsidR="00FE1F34">
        <w:rPr>
          <w:b/>
          <w:bCs/>
          <w:i/>
          <w:iCs/>
          <w:color w:val="000000"/>
        </w:rPr>
        <w:t>Nota Explicati</w:t>
      </w:r>
      <w:r w:rsidR="00FE1F34">
        <w:rPr>
          <w:i/>
          <w:iCs/>
          <w:color w:val="000000"/>
        </w:rPr>
        <w:t xml:space="preserve">va: Em relação à pessoa física ou jurídica que se caracterize como “potencial subcontratado”, é possível a previsão de exigência de atestados específicos, situação na qual mais de um interessado poderá apresentar atestado relativo ao mesmo potencial subcontratado. Nesse sentido é o teor do </w:t>
      </w:r>
      <w:hyperlink r:id="rId94" w:anchor="art67§9" w:history="1">
        <w:r w:rsidR="00FE1F34" w:rsidRPr="00E20232">
          <w:rPr>
            <w:rStyle w:val="Hyperlink"/>
            <w:i/>
            <w:iCs/>
          </w:rPr>
          <w:t>§ 9º do art. 67 da Lei nº 14.133, de 2021</w:t>
        </w:r>
      </w:hyperlink>
      <w:r w:rsidR="00FE1F34">
        <w:rPr>
          <w:i/>
          <w:iCs/>
          <w:color w:val="000000"/>
        </w:rPr>
        <w:t>:</w:t>
      </w:r>
    </w:p>
    <w:p w14:paraId="2B29C940" w14:textId="77777777" w:rsidR="00FE1F34" w:rsidRDefault="00FE1F34" w:rsidP="007C4769">
      <w:pPr>
        <w:pStyle w:val="Textodecomentrio"/>
      </w:pPr>
      <w:r>
        <w:rPr>
          <w:i/>
          <w:iCs/>
          <w:color w:val="000000"/>
        </w:rPr>
        <w:t>“O edital poderá prever, para aspectos técnicos específicos, que a qualificação técnica seja demonstrada por meio de atestados relativos a potencial subcontratado, limitado a 25% (vinte e cinco por cento) do objeto a ser licitado, hipótese em que mais de um interessado  poderá apresentar atestado relativo ao mesmo potencial subcontratado.”</w:t>
      </w:r>
    </w:p>
  </w:comment>
  <w:comment w:id="156" w:author="Autor" w:initials="A">
    <w:p w14:paraId="4EF82792" w14:textId="503493C0" w:rsidR="00324A5D" w:rsidRDefault="0003029C" w:rsidP="00324A5D">
      <w:pPr>
        <w:pStyle w:val="Textodecomentrio"/>
      </w:pPr>
      <w:r>
        <w:rPr>
          <w:rStyle w:val="Refdecomentrio"/>
        </w:rPr>
        <w:annotationRef/>
      </w:r>
      <w:r w:rsidR="00324A5D">
        <w:rPr>
          <w:b/>
          <w:bCs/>
          <w:i/>
          <w:iCs/>
        </w:rPr>
        <w:t xml:space="preserve">Nota Explicativa: </w:t>
      </w:r>
      <w:r w:rsidR="00324A5D">
        <w:rPr>
          <w:i/>
          <w:iCs/>
        </w:rPr>
        <w:t>Segundo o art. 7º, §§ 4º e 5º, da Instrução Normativa SEGES/ME n.º 65, de 2021, na hipótese de dispensa de licitação com base nos incisos I e II do art. 75 da Lei nº 14.133, de 2021 (contratações de pequeno valor), a estimativa de preços da contratação poderá ser realizada concomitantemente à seleção da proposta economicamente mais vantajosa, por meio de solicitação formal de cotações a fornecedores.</w:t>
      </w:r>
      <w:r w:rsidR="00644735">
        <w:rPr>
          <w:i/>
          <w:iCs/>
        </w:rPr>
        <w:t xml:space="preserve">d </w:t>
      </w:r>
    </w:p>
  </w:comment>
  <w:comment w:id="158" w:author="Autor" w:initials="A">
    <w:p w14:paraId="6505691D" w14:textId="1AB99E1B" w:rsidR="00FE1F34" w:rsidRDefault="00AD2DCD" w:rsidP="007C4769">
      <w:pPr>
        <w:pStyle w:val="Textodecomentrio"/>
      </w:pPr>
      <w:r>
        <w:rPr>
          <w:rStyle w:val="Refdecomentrio"/>
        </w:rPr>
        <w:annotationRef/>
      </w:r>
      <w:r w:rsidR="00FE1F34">
        <w:rPr>
          <w:b/>
          <w:bCs/>
        </w:rPr>
        <w:t>Nota Explicativa:</w:t>
      </w:r>
      <w:r w:rsidR="00FE1F34">
        <w:rPr>
          <w:b/>
          <w:bCs/>
          <w:i/>
          <w:iCs/>
        </w:rPr>
        <w:t xml:space="preserve"> </w:t>
      </w:r>
      <w:r w:rsidR="00FE1F34">
        <w:rPr>
          <w:i/>
          <w:iCs/>
        </w:rPr>
        <w:t>Art. 59, inciso III, da Lei 14133, de 2021.</w:t>
      </w:r>
    </w:p>
  </w:comment>
  <w:comment w:id="157" w:author="Autor" w:initials="A">
    <w:p w14:paraId="60518A6B" w14:textId="77777777" w:rsidR="009A07BD" w:rsidRDefault="008217C2" w:rsidP="009A07BD">
      <w:pPr>
        <w:pStyle w:val="Textodecomentrio"/>
      </w:pPr>
      <w:r>
        <w:rPr>
          <w:rStyle w:val="Refdecomentrio"/>
        </w:rPr>
        <w:annotationRef/>
      </w:r>
      <w:r w:rsidR="009A07BD">
        <w:rPr>
          <w:b/>
          <w:bCs/>
          <w:i/>
          <w:iCs/>
          <w:color w:val="000000"/>
        </w:rPr>
        <w:t xml:space="preserve">Nota Explicativa 1: </w:t>
      </w:r>
      <w:r w:rsidR="009A07BD">
        <w:rPr>
          <w:i/>
          <w:iCs/>
          <w:color w:val="000000"/>
          <w:u w:val="single"/>
        </w:rPr>
        <w:t xml:space="preserve">Pesquisa de Preços - </w:t>
      </w:r>
      <w:r w:rsidR="009A07BD">
        <w:rPr>
          <w:i/>
          <w:iCs/>
          <w:color w:val="000000"/>
        </w:rPr>
        <w:t xml:space="preserve">A estimativa de preços deve ser precedida de regular pesquisa, nos moldes do </w:t>
      </w:r>
      <w:hyperlink r:id="rId95" w:anchor="art23" w:history="1">
        <w:r w:rsidR="009A07BD" w:rsidRPr="009F2FA2">
          <w:rPr>
            <w:rStyle w:val="Hyperlink"/>
            <w:i/>
            <w:iCs/>
          </w:rPr>
          <w:t>art. 23 da Lei nº 14.133, de 2021</w:t>
        </w:r>
      </w:hyperlink>
      <w:r w:rsidR="009A07BD">
        <w:rPr>
          <w:i/>
          <w:iCs/>
          <w:color w:val="000000"/>
        </w:rPr>
        <w:t xml:space="preserve">, </w:t>
      </w:r>
      <w:hyperlink r:id="rId96" w:history="1">
        <w:r w:rsidR="009A07BD" w:rsidRPr="009F2FA2">
          <w:rPr>
            <w:rStyle w:val="Hyperlink"/>
            <w:i/>
            <w:iCs/>
          </w:rPr>
          <w:t>da Instrução Normativa SEGES/ME nº 65, de 7 de julho 2021</w:t>
        </w:r>
      </w:hyperlink>
      <w:r w:rsidR="009A07BD">
        <w:rPr>
          <w:i/>
          <w:iCs/>
          <w:color w:val="000000"/>
        </w:rPr>
        <w:t xml:space="preserve">, e da Instrução Normativa SEGES/ME n° 91, de 16 de dezembro de 2022., que autorizou a aplicação do Decreto nº 7.983, de 8 de abril de 2013, para a elaboração do orçamento de referência de obras e serviços de engenharia. </w:t>
      </w:r>
    </w:p>
    <w:p w14:paraId="333819B1" w14:textId="77777777" w:rsidR="009A07BD" w:rsidRDefault="009A07BD" w:rsidP="009A07BD">
      <w:pPr>
        <w:pStyle w:val="Textodecomentrio"/>
      </w:pPr>
      <w:r>
        <w:rPr>
          <w:i/>
          <w:iCs/>
          <w:color w:val="000000"/>
        </w:rPr>
        <w:t>ATENÇÃO: Para serviços comuns de engenharia, a Instrução Normativa SEGES/ME nº 65/2021 não é aplicável.</w:t>
      </w:r>
    </w:p>
    <w:p w14:paraId="0A3E6795" w14:textId="77777777" w:rsidR="009A07BD" w:rsidRDefault="009A07BD" w:rsidP="009A07BD">
      <w:pPr>
        <w:pStyle w:val="Textodecomentrio"/>
      </w:pPr>
    </w:p>
    <w:p w14:paraId="17186F29" w14:textId="77777777" w:rsidR="009A07BD" w:rsidRDefault="009A07BD" w:rsidP="009A07BD">
      <w:pPr>
        <w:pStyle w:val="Textodecomentrio"/>
      </w:pPr>
      <w:r>
        <w:rPr>
          <w:b/>
          <w:bCs/>
          <w:i/>
          <w:iCs/>
        </w:rPr>
        <w:t>Nota Explicativa 2:</w:t>
      </w:r>
      <w:r>
        <w:rPr>
          <w:i/>
          <w:iCs/>
        </w:rPr>
        <w:t xml:space="preserve"> Os preços unitários referenciais, as memórias de cálculo e os documentos que lhe dão suporte, com os parâmetros utilizados para a obtenção dos preços e para os respectivos cálculos, devem constar de anexo ao termo de referência,</w:t>
      </w:r>
      <w:r>
        <w:rPr>
          <w:i/>
          <w:iCs/>
          <w:color w:val="FF0000"/>
        </w:rPr>
        <w:t xml:space="preserve"> </w:t>
      </w:r>
      <w:r>
        <w:rPr>
          <w:i/>
          <w:iCs/>
        </w:rPr>
        <w:t xml:space="preserve">nos termos do </w:t>
      </w:r>
      <w:hyperlink r:id="rId97" w:history="1">
        <w:r w:rsidRPr="009F2FA2">
          <w:rPr>
            <w:rStyle w:val="Hyperlink"/>
            <w:i/>
            <w:iCs/>
          </w:rPr>
          <w:t>art. 9º, IX, da Instrução Normativa Seges/ME nº 81, de 2022</w:t>
        </w:r>
      </w:hyperlink>
      <w:r>
        <w:rPr>
          <w:i/>
          <w:iCs/>
        </w:rPr>
        <w:t xml:space="preserve">. Caso a Administração opte por preservar o sigilo da estimativa do valor da contratação, também deverá ser preservado o sigilo desse anexo. </w:t>
      </w:r>
    </w:p>
    <w:p w14:paraId="1F6D3BEF" w14:textId="77777777" w:rsidR="009A07BD" w:rsidRDefault="009A07BD" w:rsidP="009A07BD">
      <w:pPr>
        <w:pStyle w:val="Textodecomentrio"/>
      </w:pPr>
    </w:p>
    <w:p w14:paraId="3CA0F09A" w14:textId="77777777" w:rsidR="009A07BD" w:rsidRDefault="009A07BD" w:rsidP="009A07BD">
      <w:pPr>
        <w:pStyle w:val="Textodecomentrio"/>
      </w:pPr>
      <w:r>
        <w:rPr>
          <w:b/>
          <w:bCs/>
          <w:i/>
          <w:iCs/>
        </w:rPr>
        <w:t>Nota Explicativa 3:</w:t>
      </w:r>
      <w:r>
        <w:rPr>
          <w:i/>
          <w:iCs/>
          <w:color w:val="000000"/>
        </w:rPr>
        <w:t xml:space="preserve"> No caso de dispensa de pequeno valor feita por intermédio da dispensa eletrônica, é admitido que se faça a pesquisa de preços junto com a seleção da proposta mais vantajosa, conforme art. 7º, §§4º e 5º, da IN 65/2021.</w:t>
      </w:r>
    </w:p>
    <w:p w14:paraId="053B274E" w14:textId="77777777" w:rsidR="009A07BD" w:rsidRDefault="009A07BD" w:rsidP="009A07BD">
      <w:pPr>
        <w:pStyle w:val="Textodecomentrio"/>
      </w:pPr>
    </w:p>
    <w:p w14:paraId="467CFF25" w14:textId="77777777" w:rsidR="009A07BD" w:rsidRDefault="009A07BD" w:rsidP="009A07BD">
      <w:pPr>
        <w:pStyle w:val="Textodecomentrio"/>
      </w:pPr>
      <w:r>
        <w:rPr>
          <w:b/>
          <w:bCs/>
          <w:i/>
          <w:iCs/>
        </w:rPr>
        <w:t xml:space="preserve">Nota Explicativa 4: </w:t>
      </w:r>
      <w:r>
        <w:rPr>
          <w:i/>
          <w:iCs/>
        </w:rPr>
        <w:t>Utilizar esta redação na hipótese em que for adotado o critério de julgamento por menor preço, sem caráter sigiloso.</w:t>
      </w:r>
    </w:p>
  </w:comment>
  <w:comment w:id="159" w:author="Autor" w:initials="A">
    <w:p w14:paraId="164578BC" w14:textId="7121DCCD" w:rsidR="00FE1F34" w:rsidRDefault="008217C2" w:rsidP="007C4769">
      <w:pPr>
        <w:pStyle w:val="Textodecomentrio"/>
      </w:pPr>
      <w:r>
        <w:rPr>
          <w:rStyle w:val="Refdecomentrio"/>
        </w:rPr>
        <w:annotationRef/>
      </w:r>
      <w:r w:rsidR="00FE1F34">
        <w:rPr>
          <w:b/>
          <w:bCs/>
          <w:i/>
          <w:iCs/>
          <w:color w:val="000000"/>
        </w:rPr>
        <w:t xml:space="preserve">Nota Explicativa: </w:t>
      </w:r>
      <w:r w:rsidR="00FE1F34">
        <w:rPr>
          <w:i/>
          <w:iCs/>
          <w:color w:val="000000"/>
        </w:rPr>
        <w:t xml:space="preserve"> Utilizar essa redação  na hipótese em que for adotado o critério de julgamento por menor preço e caso a Administração opte por preservar a sua estimativa do valor da contratação. Na hipótese em que for adotado o critério de julgamento por maior desconto, o preço estimado ou o máximo aceitável </w:t>
      </w:r>
      <w:r w:rsidR="00FE1F34">
        <w:rPr>
          <w:b/>
          <w:bCs/>
          <w:i/>
          <w:iCs/>
          <w:color w:val="000000"/>
          <w:u w:val="single"/>
        </w:rPr>
        <w:t>não</w:t>
      </w:r>
      <w:r w:rsidR="00FE1F34">
        <w:rPr>
          <w:i/>
          <w:iCs/>
          <w:color w:val="000000"/>
        </w:rPr>
        <w:t xml:space="preserve"> poderá ser sigiloso (</w:t>
      </w:r>
      <w:hyperlink r:id="rId98" w:anchor="art24" w:history="1">
        <w:r w:rsidR="00FE1F34" w:rsidRPr="00C525C1">
          <w:rPr>
            <w:rStyle w:val="Hyperlink"/>
            <w:i/>
            <w:iCs/>
          </w:rPr>
          <w:t>art. 24, parágrafo único, da Lei nº 14.133, de 2021</w:t>
        </w:r>
      </w:hyperlink>
      <w:r w:rsidR="00FE1F34">
        <w:rPr>
          <w:i/>
          <w:iCs/>
          <w:color w:val="000000"/>
        </w:rPr>
        <w:t xml:space="preserve">, e </w:t>
      </w:r>
      <w:hyperlink r:id="rId99" w:history="1">
        <w:r w:rsidR="00FE1F34" w:rsidRPr="00C525C1">
          <w:rPr>
            <w:rStyle w:val="Hyperlink"/>
            <w:i/>
            <w:iCs/>
          </w:rPr>
          <w:t>Instrução Normativa Seges/ME nº 73, de 2022, art. 12, §3º</w:t>
        </w:r>
      </w:hyperlink>
      <w:r w:rsidR="00FE1F34">
        <w:rPr>
          <w:i/>
          <w:iCs/>
          <w:color w:val="000000"/>
        </w:rPr>
        <w:t>)</w:t>
      </w:r>
    </w:p>
  </w:comment>
  <w:comment w:id="160" w:author="Autor" w:initials="A">
    <w:p w14:paraId="63A80008" w14:textId="77777777" w:rsidR="0003029C" w:rsidRDefault="008217C2" w:rsidP="0003029C">
      <w:pPr>
        <w:pStyle w:val="Textodecomentrio"/>
      </w:pPr>
      <w:r>
        <w:rPr>
          <w:rStyle w:val="Refdecomentrio"/>
        </w:rPr>
        <w:annotationRef/>
      </w:r>
      <w:r w:rsidR="0003029C">
        <w:rPr>
          <w:b/>
          <w:bCs/>
          <w:i/>
          <w:iCs/>
          <w:color w:val="000000"/>
        </w:rPr>
        <w:t xml:space="preserve">Nota Explicativa 1: </w:t>
      </w:r>
      <w:r w:rsidR="0003029C">
        <w:rPr>
          <w:i/>
          <w:iCs/>
          <w:color w:val="000000"/>
        </w:rPr>
        <w:t xml:space="preserve">Em caso de utilização de matriz de alocação de risco, o custo estimado da contratação deve levar em consideração o conjunto de riscos alocados ao contratado, o que naturalmente implicará elevação no custo da contratação (cf. </w:t>
      </w:r>
      <w:hyperlink r:id="rId100" w:history="1">
        <w:r w:rsidR="0003029C" w:rsidRPr="00F461EF">
          <w:rPr>
            <w:rStyle w:val="Hyperlink"/>
            <w:i/>
            <w:iCs/>
          </w:rPr>
          <w:t>art. 22, caput, e art. 103, §3º, ambos da Lei n. 14.133, de 2021</w:t>
        </w:r>
      </w:hyperlink>
      <w:r w:rsidR="0003029C">
        <w:rPr>
          <w:i/>
          <w:iCs/>
          <w:color w:val="000000"/>
        </w:rPr>
        <w:t>).</w:t>
      </w:r>
    </w:p>
    <w:p w14:paraId="3F160C25" w14:textId="77777777" w:rsidR="0003029C" w:rsidRDefault="0003029C" w:rsidP="0003029C">
      <w:pPr>
        <w:pStyle w:val="Textodecomentrio"/>
      </w:pPr>
    </w:p>
    <w:p w14:paraId="06B03827" w14:textId="77777777" w:rsidR="0003029C" w:rsidRDefault="0003029C" w:rsidP="0003029C">
      <w:pPr>
        <w:pStyle w:val="Textodecomentrio"/>
      </w:pPr>
      <w:r>
        <w:rPr>
          <w:b/>
          <w:bCs/>
          <w:i/>
          <w:iCs/>
          <w:color w:val="000000"/>
        </w:rPr>
        <w:t xml:space="preserve">Nota Explicativa 2: </w:t>
      </w:r>
      <w:r>
        <w:rPr>
          <w:i/>
          <w:iCs/>
          <w:color w:val="000000"/>
          <w:u w:val="single"/>
        </w:rPr>
        <w:t>Serviços de Grande Vulto.</w:t>
      </w:r>
      <w:r>
        <w:rPr>
          <w:b/>
          <w:bCs/>
          <w:i/>
          <w:iCs/>
          <w:color w:val="000000"/>
        </w:rPr>
        <w:t xml:space="preserve"> </w:t>
      </w:r>
      <w:r>
        <w:rPr>
          <w:i/>
          <w:iCs/>
          <w:color w:val="000000"/>
        </w:rPr>
        <w:t xml:space="preserve">No caso de serviço cujo valor estimado supere R$ 239.624.058,14 (duzentos e trinta e nove milhões seiscentos e vinte e quatro mil cinquenta e oito reais e quatorze centavos)  (conforme </w:t>
      </w:r>
      <w:hyperlink r:id="rId101" w:history="1">
        <w:r w:rsidRPr="00F461EF">
          <w:rPr>
            <w:rStyle w:val="Hyperlink"/>
            <w:i/>
            <w:iCs/>
          </w:rPr>
          <w:t>art. 6º, caput, inciso XXII, da Lei nº 14.133, de 2021</w:t>
        </w:r>
      </w:hyperlink>
      <w:r>
        <w:rPr>
          <w:i/>
          <w:iCs/>
          <w:color w:val="000000"/>
        </w:rPr>
        <w:t xml:space="preserve">, atualizado pelo </w:t>
      </w:r>
      <w:hyperlink r:id="rId102" w:history="1">
        <w:r w:rsidRPr="00F461EF">
          <w:rPr>
            <w:rStyle w:val="Hyperlink"/>
            <w:i/>
            <w:iCs/>
          </w:rPr>
          <w:t>Decreto nº 11.871, de 29 de dezembro de 2023</w:t>
        </w:r>
      </w:hyperlink>
      <w:r>
        <w:rPr>
          <w:i/>
          <w:iCs/>
          <w:color w:val="000000"/>
        </w:rPr>
        <w:t>), será obrigatória a inclusão de disposição no Termo de Referência indicando os termos da Matriz de Risco a ser aposta no edital ou no contrato, conforme art. 22, §3º, da Lei nº 14.133, de 2021.</w:t>
      </w:r>
    </w:p>
  </w:comment>
  <w:comment w:id="161" w:author="Autor" w:initials="A">
    <w:p w14:paraId="65FDEDE3" w14:textId="70DB42B6" w:rsidR="008217C2" w:rsidRDefault="008217C2" w:rsidP="003C7829">
      <w:pPr>
        <w:pStyle w:val="Textodecomentrio"/>
      </w:pPr>
      <w:r>
        <w:rPr>
          <w:rStyle w:val="Refdecomentrio"/>
        </w:rPr>
        <w:annotationRef/>
      </w:r>
      <w:r>
        <w:rPr>
          <w:b/>
          <w:bCs/>
          <w:i/>
          <w:iCs/>
          <w:color w:val="000000"/>
        </w:rPr>
        <w:t xml:space="preserve">Nota Explicativa: </w:t>
      </w:r>
      <w:r>
        <w:rPr>
          <w:i/>
          <w:iCs/>
          <w:color w:val="000000"/>
        </w:rPr>
        <w:t xml:space="preserve">O </w:t>
      </w:r>
      <w:hyperlink r:id="rId103" w:history="1">
        <w:r w:rsidRPr="00FF32D2">
          <w:rPr>
            <w:rStyle w:val="Hyperlink"/>
            <w:i/>
            <w:iCs/>
          </w:rPr>
          <w:t>art. 106, II da Lei nº 14.133, de 2021</w:t>
        </w:r>
      </w:hyperlink>
      <w:r>
        <w:rPr>
          <w:i/>
          <w:iCs/>
          <w:color w:val="000000"/>
        </w:rPr>
        <w:t>, prevê para contratações de serviços e fornecimento continuado que a “a Administração deverá atestar, no início da contratação e de cada exercício, a existência de créditos orçamentários vinculados à contratação e a vantagem em sua manutenção”. Quanto à rescisão contratual por ausência de crédito ou vantajosidade (art. 106, III), remete-se às regras específicas constantes do contrato, inclusive em relação à aplicação do art. 106, §1º.</w:t>
      </w:r>
    </w:p>
  </w:comment>
  <w:comment w:id="162" w:author="Autor" w:initials="A">
    <w:p w14:paraId="48FDE6B2" w14:textId="77777777" w:rsidR="00677FEB" w:rsidRDefault="00EF618B" w:rsidP="00677FEB">
      <w:pPr>
        <w:pStyle w:val="Textodecomentrio"/>
      </w:pPr>
      <w:r>
        <w:rPr>
          <w:rStyle w:val="Refdecomentrio"/>
        </w:rPr>
        <w:annotationRef/>
      </w:r>
      <w:r w:rsidR="00677FEB">
        <w:rPr>
          <w:b/>
          <w:bCs/>
          <w:i/>
          <w:iCs/>
        </w:rPr>
        <w:t xml:space="preserve">Nota Explicativa: </w:t>
      </w:r>
      <w:r w:rsidR="00677FEB">
        <w:rPr>
          <w:i/>
          <w:iCs/>
        </w:rPr>
        <w:t>Utilizar o item acima caso se adote o Sistema de Registro de Preços – SRP, conforme Orientação Normativa AGU nº 20, de 2009, segundo a qual: “NA LICITAÇÃO PARA REGISTRO DE PREÇOS, A INDICAÇÃO DA DOTAÇÃO ORÇAMENTÁRIA É EXIGÍVEL APENAS ANTES DA ASSINATURA DO CONTRATO". (Redação mantida pela Portaria AGU n.º 575, de 16 de dezembro de 2024).</w:t>
      </w:r>
    </w:p>
  </w:comment>
  <w:comment w:id="163" w:author="Autor" w:initials="A">
    <w:p w14:paraId="1C2AE039" w14:textId="22F6E1C6" w:rsidR="00FC42E1" w:rsidRDefault="00FC42E1" w:rsidP="00FC42E1">
      <w:pPr>
        <w:pStyle w:val="Textodecomentrio"/>
      </w:pPr>
      <w:r>
        <w:rPr>
          <w:rStyle w:val="Refdecomentrio"/>
        </w:rPr>
        <w:annotationRef/>
      </w:r>
      <w:r>
        <w:rPr>
          <w:b/>
          <w:bCs/>
          <w:i/>
          <w:iCs/>
          <w:color w:val="000000"/>
        </w:rPr>
        <w:t>Nota Explicativa:</w:t>
      </w:r>
      <w:r>
        <w:rPr>
          <w:i/>
          <w:iCs/>
          <w:color w:val="000000"/>
        </w:rPr>
        <w:t xml:space="preserve"> Atentar para a necessidade de avaliação quanto à pertinência de classificar o TR nos termos da </w:t>
      </w:r>
      <w:hyperlink r:id="rId104" w:history="1">
        <w:r w:rsidRPr="00360598">
          <w:rPr>
            <w:rStyle w:val="Hyperlink"/>
            <w:i/>
            <w:iCs/>
          </w:rPr>
          <w:t>Lei n. 12.527, de 2011</w:t>
        </w:r>
      </w:hyperlink>
      <w:r>
        <w:rPr>
          <w:i/>
          <w:iCs/>
          <w:color w:val="000000"/>
        </w:rPr>
        <w:t xml:space="preserve"> (Lei de Acesso à Informação), conforme previsão do </w:t>
      </w:r>
      <w:hyperlink r:id="rId105" w:anchor="art10" w:history="1">
        <w:r w:rsidRPr="00360598">
          <w:rPr>
            <w:rStyle w:val="Hyperlink"/>
            <w:i/>
            <w:iCs/>
          </w:rPr>
          <w:t>artigo 10 da Instrução Normativa n. 81, de 2022.</w:t>
        </w:r>
      </w:hyperlink>
    </w:p>
  </w:comment>
  <w:comment w:id="164" w:author="Autor" w:initials="A">
    <w:p w14:paraId="1EA2FD52" w14:textId="77777777" w:rsidR="00F007D0" w:rsidRDefault="008217C2" w:rsidP="00F007D0">
      <w:pPr>
        <w:pStyle w:val="Textodecomentrio"/>
      </w:pPr>
      <w:r>
        <w:rPr>
          <w:rStyle w:val="Refdecomentrio"/>
        </w:rPr>
        <w:annotationRef/>
      </w:r>
      <w:r w:rsidR="00F007D0">
        <w:rPr>
          <w:b/>
          <w:bCs/>
          <w:i/>
          <w:iCs/>
          <w:color w:val="000000"/>
        </w:rPr>
        <w:t>Nota Explicativa:</w:t>
      </w:r>
      <w:r w:rsidR="00F007D0">
        <w:rPr>
          <w:i/>
          <w:iCs/>
          <w:color w:val="000000"/>
        </w:rPr>
        <w:t xml:space="preserve"> Conforme </w:t>
      </w:r>
      <w:hyperlink r:id="rId106" w:anchor="art8" w:history="1">
        <w:r w:rsidR="00F007D0" w:rsidRPr="00492C82">
          <w:rPr>
            <w:rStyle w:val="Hyperlink"/>
            <w:i/>
            <w:iCs/>
          </w:rPr>
          <w:t>art. 8º da IN Seges/ME nº 81, de 2022</w:t>
        </w:r>
      </w:hyperlink>
      <w:r w:rsidR="00F007D0">
        <w:rPr>
          <w:i/>
          <w:iCs/>
          <w:color w:val="000000"/>
        </w:rPr>
        <w:t xml:space="preserve">, incumbe, conjuntamente, aos servidores da área técnica e da requisitante, designados na forma do </w:t>
      </w:r>
      <w:hyperlink r:id="rId107" w:history="1">
        <w:r w:rsidR="00F007D0" w:rsidRPr="00492C82">
          <w:rPr>
            <w:rStyle w:val="Hyperlink"/>
            <w:i/>
            <w:iCs/>
          </w:rPr>
          <w:t>art. 7º da Lei nº 14.133, de 2021</w:t>
        </w:r>
      </w:hyperlink>
      <w:r w:rsidR="00F007D0">
        <w:rPr>
          <w:i/>
          <w:iCs/>
          <w:color w:val="000000"/>
        </w:rPr>
        <w:t xml:space="preserve"> pelas respectivas autoridades, a elaboração do Termo de Referência, podendo a mesma área cumprir ambos os papéis (art. 3º, § 2º da IN). Uma outra possibilidade é o uso de uma Equipe de Planejamento da Contratação, caso haja alguma designada para tal fim.</w:t>
      </w:r>
    </w:p>
  </w:comment>
  <w:comment w:id="165" w:author="Autor" w:initials="A">
    <w:p w14:paraId="70D7C6BA" w14:textId="77777777" w:rsidR="00C41F47" w:rsidRDefault="00840B18" w:rsidP="00C41F47">
      <w:pPr>
        <w:pStyle w:val="Textodecomentrio"/>
      </w:pPr>
      <w:r>
        <w:rPr>
          <w:rStyle w:val="Refdecomentrio"/>
        </w:rPr>
        <w:annotationRef/>
      </w:r>
      <w:r w:rsidR="00C41F47">
        <w:rPr>
          <w:b/>
          <w:bCs/>
          <w:i/>
          <w:iCs/>
        </w:rPr>
        <w:t>Nota Explicativa 1:</w:t>
      </w:r>
      <w:r w:rsidR="00C41F47">
        <w:rPr>
          <w:i/>
          <w:iCs/>
        </w:rPr>
        <w:t xml:space="preserve"> Segundo o art. 95, da Lei n.º 14.133, de 2021, o instrumento de contrato poderá ser substituído por outro instrumento hábil, como carta-contrato, nota de empenho de despesa, autorização de compra ou ordem de execução de serviço, nos casos de </w:t>
      </w:r>
      <w:r w:rsidR="00C41F47">
        <w:rPr>
          <w:b/>
          <w:bCs/>
          <w:i/>
          <w:iCs/>
        </w:rPr>
        <w:t>dispensa de licitação em razão de valor</w:t>
      </w:r>
      <w:r w:rsidR="00C41F47">
        <w:rPr>
          <w:i/>
          <w:iCs/>
        </w:rPr>
        <w:t xml:space="preserve">, ou de </w:t>
      </w:r>
      <w:r w:rsidR="00C41F47">
        <w:rPr>
          <w:b/>
          <w:bCs/>
          <w:i/>
          <w:iCs/>
        </w:rPr>
        <w:t>compras com entrega imediata e integral dos bens adquiridos</w:t>
      </w:r>
      <w:r w:rsidR="00C41F47">
        <w:rPr>
          <w:i/>
          <w:iCs/>
        </w:rPr>
        <w:t xml:space="preserve"> e dos quais não resultem obrigações futuras, inclusive quanto a assistência técnica, independentemente de seu valor. A Orientação Normativa AGU n.º 84, de 17 de maio de 2024, veio a estabelecer, acerca do art. 95, inciso I, da Lei n.º 14.133, de 2021, que:</w:t>
      </w:r>
    </w:p>
    <w:p w14:paraId="20EFC2C3" w14:textId="77777777" w:rsidR="00C41F47" w:rsidRDefault="00C41F47" w:rsidP="00C41F47">
      <w:pPr>
        <w:pStyle w:val="Textodecomentrio"/>
      </w:pPr>
      <w:r>
        <w:rPr>
          <w:i/>
          <w:iCs/>
        </w:rPr>
        <w:t>ORIENTAÇÃO NORMATIVA AGU Nº 84, DE 17 DE MAIO DE 2024</w:t>
      </w:r>
    </w:p>
    <w:p w14:paraId="290F699D" w14:textId="77777777" w:rsidR="00C41F47" w:rsidRDefault="00C41F47" w:rsidP="00C41F47">
      <w:pPr>
        <w:pStyle w:val="Textodecomentrio"/>
      </w:pPr>
      <w:r>
        <w:rPr>
          <w:i/>
          <w:iCs/>
        </w:rPr>
        <w:t>I - É possível a substituição do instrumento de contrato a que alude o art. 92 da Lei nº 14.133, de 2021, por outro instrumento mais simples, com base no art. 95, inciso I, do mesmo diploma legal, sempre que:</w:t>
      </w:r>
    </w:p>
    <w:p w14:paraId="4F537D68" w14:textId="77777777" w:rsidR="00C41F47" w:rsidRDefault="00C41F47" w:rsidP="00C41F47">
      <w:pPr>
        <w:pStyle w:val="Textodecomentrio"/>
      </w:pPr>
      <w:r>
        <w:rPr>
          <w:i/>
          <w:iCs/>
        </w:rPr>
        <w:t>a) o valor de contratos relativos a obras, serviços de engenharia e de manutenção de veículos automotores se encaixe no valor atualizado autorizativo da dispensa de licitação prevista no inciso I do art. 75, da Lei nº 14.133, de 2021; ou</w:t>
      </w:r>
    </w:p>
    <w:p w14:paraId="50FEE2A9" w14:textId="77777777" w:rsidR="00C41F47" w:rsidRDefault="00C41F47" w:rsidP="00C41F47">
      <w:pPr>
        <w:pStyle w:val="Textodecomentrio"/>
      </w:pPr>
      <w:r>
        <w:rPr>
          <w:i/>
          <w:iCs/>
        </w:rPr>
        <w:t>b) o valor de contratos relativos a compras e serviços em geral se encaixe no valor atualizado que autoriza a dispensa de licitação prevista no inciso II do art. 75, da Lei nº 14.133, de 2021.</w:t>
      </w:r>
    </w:p>
    <w:p w14:paraId="5D4A4C1A" w14:textId="77777777" w:rsidR="00C41F47" w:rsidRDefault="00C41F47" w:rsidP="00C41F47">
      <w:pPr>
        <w:pStyle w:val="Textodecomentrio"/>
      </w:pPr>
      <w:r>
        <w:rPr>
          <w:i/>
          <w:iCs/>
        </w:rPr>
        <w:t xml:space="preserve">II - </w:t>
      </w:r>
      <w:r>
        <w:rPr>
          <w:b/>
          <w:bCs/>
          <w:i/>
          <w:iCs/>
        </w:rPr>
        <w:t>Não</w:t>
      </w:r>
      <w:r>
        <w:rPr>
          <w:i/>
          <w:iCs/>
        </w:rPr>
        <w:t xml:space="preserve"> importa para a aplicação do inciso I do art. 95, da Lei nº 14.133, de 2021, se a contratação resultou de </w:t>
      </w:r>
      <w:r>
        <w:rPr>
          <w:b/>
          <w:bCs/>
          <w:i/>
          <w:iCs/>
        </w:rPr>
        <w:t>licitação, inexigibilidade ou dispensa.</w:t>
      </w:r>
    </w:p>
    <w:p w14:paraId="06567211" w14:textId="77777777" w:rsidR="00C41F47" w:rsidRDefault="00C41F47" w:rsidP="00C41F47">
      <w:pPr>
        <w:pStyle w:val="Textodecomentrio"/>
      </w:pPr>
      <w:r>
        <w:rPr>
          <w:i/>
          <w:iCs/>
        </w:rPr>
        <w:t xml:space="preserve">Segundo o PARECER n. 00016/2023/CNLCA/CGU/AGU, que fundamenta a ON AGU n.º 84, “No caso do inciso I do art. 95, o elemento contratual em questão é de ordem pecuniária </w:t>
      </w:r>
      <w:r>
        <w:rPr>
          <w:b/>
          <w:bCs/>
          <w:i/>
          <w:iCs/>
        </w:rPr>
        <w:t>(valor da contratação),</w:t>
      </w:r>
      <w:r>
        <w:rPr>
          <w:i/>
          <w:iCs/>
        </w:rPr>
        <w:t xml:space="preserve"> e não o procedimento que deu origem ao contrato. [...]”. Assim, caso o valor da contratação se enquadre nos limites dos incisos I ou II do art. 75, da Lei n.º 14.133, de 2021, o termo de contrato poderá ser substituído por instrumento equivalente, independentemente da natureza do procedimento do qual resultou o contrato, quais sejam, </w:t>
      </w:r>
      <w:r>
        <w:rPr>
          <w:b/>
          <w:bCs/>
          <w:i/>
          <w:iCs/>
        </w:rPr>
        <w:t>dispensa, inexigibilidade ou licitação.</w:t>
      </w:r>
    </w:p>
    <w:p w14:paraId="3D62A9E0" w14:textId="77777777" w:rsidR="00C41F47" w:rsidRDefault="00C41F47" w:rsidP="00C41F47">
      <w:pPr>
        <w:pStyle w:val="Textodecomentrio"/>
      </w:pPr>
    </w:p>
    <w:p w14:paraId="0D1BDCF5" w14:textId="77777777" w:rsidR="00C41F47" w:rsidRDefault="00C41F47" w:rsidP="00C41F47">
      <w:pPr>
        <w:pStyle w:val="Textodecomentrio"/>
      </w:pPr>
      <w:r>
        <w:rPr>
          <w:b/>
          <w:bCs/>
          <w:i/>
          <w:iCs/>
        </w:rPr>
        <w:t xml:space="preserve">Nota Explicativa 2: </w:t>
      </w:r>
      <w:r>
        <w:rPr>
          <w:i/>
          <w:iCs/>
        </w:rPr>
        <w:t xml:space="preserve">O art. 95, § 1º, da Lei n.º 14.133, de 2021, prevê que "Às hipóteses de substituição do instrumento de contrato, aplica-se, no que couber, o disposto no art. 92 desta Lei." (cláusulas necessárias do contrato administrativo). Segundo o PARECER n. 00016/2023/CNLCA/CGU/AGU, que fundamenta a ON AGU n.º 84, “[...] é lícito dizer que para as situações do caput do art. 95 é exigida a forma escrita, mas com flexibilização dos requisitos do art. 92 (conteúdo do instrumento). É necessário, então, que haja um </w:t>
      </w:r>
      <w:r>
        <w:rPr>
          <w:b/>
          <w:bCs/>
          <w:i/>
          <w:iCs/>
        </w:rPr>
        <w:t xml:space="preserve">documento </w:t>
      </w:r>
      <w:r>
        <w:rPr>
          <w:i/>
          <w:iCs/>
        </w:rPr>
        <w:t>(carta-contrato, nota de empenho de despesa, autorização de compra ou ordem de execução de serviço) n</w:t>
      </w:r>
      <w:r>
        <w:rPr>
          <w:b/>
          <w:bCs/>
          <w:i/>
          <w:iCs/>
        </w:rPr>
        <w:t xml:space="preserve">o qual constem as cláusulas indispensáveis para o caso concreto. </w:t>
      </w:r>
      <w:r>
        <w:rPr>
          <w:i/>
          <w:iCs/>
        </w:rPr>
        <w:t xml:space="preserve">É possível, também, que tais cláusulas estejam </w:t>
      </w:r>
      <w:r>
        <w:rPr>
          <w:b/>
          <w:bCs/>
          <w:i/>
          <w:iCs/>
        </w:rPr>
        <w:t>escritas no termo de referência</w:t>
      </w:r>
      <w:r>
        <w:rPr>
          <w:i/>
          <w:iCs/>
        </w:rPr>
        <w:t xml:space="preserve"> ou no projeto básico da contratação, devendo a Administração, em tal caso, colher a assinatura do contratado em um documento no qual ele dê ciência do quanto consta no termo de referência ou no projeto básico e manifeste sua aquiescência com as obrigações ali contidas".</w:t>
      </w:r>
    </w:p>
    <w:p w14:paraId="4F2A682D" w14:textId="77777777" w:rsidR="00C41F47" w:rsidRDefault="00C41F47" w:rsidP="00C41F47">
      <w:pPr>
        <w:pStyle w:val="Textodecomentrio"/>
      </w:pPr>
      <w:r>
        <w:rPr>
          <w:i/>
          <w:iCs/>
        </w:rPr>
        <w:t xml:space="preserve">Sendo assim, no caso do art. 95, inciso I, da Lei 14.133/2021 (com a interpretação conferida pela ON AGU n.º 84), recomenda-se </w:t>
      </w:r>
      <w:r>
        <w:rPr>
          <w:b/>
          <w:bCs/>
          <w:i/>
          <w:iCs/>
        </w:rPr>
        <w:t xml:space="preserve">a inclusão do presente Anexo no Termo de Referência, </w:t>
      </w:r>
      <w:r>
        <w:rPr>
          <w:i/>
          <w:iCs/>
        </w:rPr>
        <w:t xml:space="preserve">a fim de instituir o regramento considerado essencial para reger a relação jurídica a ser mantida entre a Administração e o particular. O Anexo poderá figurar como o próprio instrumento substitutivo do termo de contrato, ou, ainda, ser considerado um acessório de outro instrumento (tal como a nota de empenho, carta-contrato etc.). Porém, em qualquer caso, será necessário colher a assinatura do adjudicatário no Termo de Ciência e Concordância (Anexo II). </w:t>
      </w:r>
    </w:p>
  </w:comment>
  <w:comment w:id="166" w:author="Autor" w:initials="A">
    <w:p w14:paraId="3FCE30E9" w14:textId="77777777" w:rsidR="00C41F47" w:rsidRDefault="00296524" w:rsidP="00C41F47">
      <w:pPr>
        <w:pStyle w:val="Textodecomentrio"/>
      </w:pPr>
      <w:r>
        <w:rPr>
          <w:rStyle w:val="Refdecomentrio"/>
        </w:rPr>
        <w:annotationRef/>
      </w:r>
      <w:r w:rsidR="00C41F47">
        <w:rPr>
          <w:b/>
          <w:bCs/>
          <w:i/>
          <w:iCs/>
        </w:rPr>
        <w:t xml:space="preserve">Nota Explicativa: </w:t>
      </w:r>
      <w:r w:rsidR="00C41F47">
        <w:rPr>
          <w:i/>
          <w:iCs/>
        </w:rPr>
        <w:t xml:space="preserve">O presente Anexo </w:t>
      </w:r>
      <w:r w:rsidR="00C41F47">
        <w:rPr>
          <w:b/>
          <w:bCs/>
          <w:i/>
          <w:iCs/>
        </w:rPr>
        <w:t xml:space="preserve">não </w:t>
      </w:r>
      <w:r w:rsidR="00C41F47">
        <w:rPr>
          <w:i/>
          <w:iCs/>
        </w:rPr>
        <w:t xml:space="preserve">contempla disposições relativas às contratações de serviços executados com dedicação exclusiva de mão de obra, tendo em vista que, nesses casos, ainda que se trate de contratação de pequeno valor, é recomendável a celebração de termo de contrato, tendo em vista as peculiaridades inerentes à execução desse tipo de serviço, em especial no que toca aos empregados alocados à prestação do serviço. </w:t>
      </w:r>
    </w:p>
  </w:comment>
  <w:comment w:id="167" w:author="Autor" w:initials="A">
    <w:p w14:paraId="28EB6249" w14:textId="70977153" w:rsidR="002249FB" w:rsidRDefault="00840B18" w:rsidP="007C4769">
      <w:pPr>
        <w:pStyle w:val="Textodecomentrio"/>
      </w:pPr>
      <w:r>
        <w:rPr>
          <w:rStyle w:val="Refdecomentrio"/>
        </w:rPr>
        <w:annotationRef/>
      </w:r>
      <w:r w:rsidR="002249FB">
        <w:rPr>
          <w:b/>
          <w:bCs/>
          <w:i/>
          <w:iCs/>
          <w:color w:val="000000"/>
        </w:rPr>
        <w:t xml:space="preserve">Nota Explicativa: </w:t>
      </w:r>
      <w:r w:rsidR="002249FB">
        <w:rPr>
          <w:i/>
          <w:iCs/>
          <w:color w:val="000000"/>
        </w:rPr>
        <w:t xml:space="preserve">Utilizar a redação destes itens para </w:t>
      </w:r>
      <w:r w:rsidR="002249FB">
        <w:rPr>
          <w:b/>
          <w:bCs/>
          <w:i/>
          <w:iCs/>
          <w:color w:val="000000"/>
        </w:rPr>
        <w:t xml:space="preserve">contratações de serviços não contínuos ou por escopo - </w:t>
      </w:r>
      <w:r w:rsidR="002249FB">
        <w:rPr>
          <w:i/>
          <w:iCs/>
          <w:color w:val="000000"/>
        </w:rPr>
        <w:t>conforme a definição do</w:t>
      </w:r>
      <w:r w:rsidR="002249FB">
        <w:rPr>
          <w:b/>
          <w:bCs/>
          <w:i/>
          <w:iCs/>
          <w:color w:val="000000"/>
        </w:rPr>
        <w:t xml:space="preserve"> </w:t>
      </w:r>
      <w:r w:rsidR="002249FB">
        <w:rPr>
          <w:i/>
          <w:iCs/>
          <w:color w:val="000000"/>
        </w:rPr>
        <w:t>art. 6º, XVII, da Lei n.º 14.133, de 2021 -, cuja vigência se fundamenta no art. 105 desse</w:t>
      </w:r>
      <w:r w:rsidR="002249FB">
        <w:t xml:space="preserve"> </w:t>
      </w:r>
      <w:r w:rsidR="002249FB">
        <w:rPr>
          <w:i/>
          <w:iCs/>
        </w:rPr>
        <w:t>mesmo normativo.</w:t>
      </w:r>
      <w:r w:rsidR="002249FB">
        <w:t xml:space="preserve"> </w:t>
      </w:r>
    </w:p>
  </w:comment>
  <w:comment w:id="168" w:author="Autor" w:initials="A">
    <w:p w14:paraId="69265F7C" w14:textId="52DC1A49" w:rsidR="00840B18" w:rsidRDefault="00840B18" w:rsidP="00840B18">
      <w:pPr>
        <w:pStyle w:val="Textodecomentrio"/>
      </w:pPr>
      <w:r>
        <w:rPr>
          <w:rStyle w:val="Refdecomentrio"/>
        </w:rPr>
        <w:annotationRef/>
      </w:r>
      <w:r>
        <w:rPr>
          <w:b/>
          <w:bCs/>
          <w:i/>
          <w:iCs/>
          <w:color w:val="000000"/>
        </w:rPr>
        <w:t>Nota Explicativa 1:</w:t>
      </w:r>
      <w:r>
        <w:rPr>
          <w:i/>
          <w:iCs/>
          <w:color w:val="000000"/>
        </w:rPr>
        <w:t xml:space="preserve"> </w:t>
      </w:r>
      <w:r>
        <w:rPr>
          <w:i/>
          <w:iCs/>
        </w:rPr>
        <w:t xml:space="preserve"> Utilizar a redação destes itens para </w:t>
      </w:r>
      <w:r>
        <w:rPr>
          <w:b/>
          <w:bCs/>
          <w:i/>
          <w:iCs/>
        </w:rPr>
        <w:t>contratações de serviços contínuos</w:t>
      </w:r>
      <w:r>
        <w:rPr>
          <w:i/>
          <w:iCs/>
        </w:rPr>
        <w:t xml:space="preserve">, conforme </w:t>
      </w:r>
      <w:hyperlink r:id="rId108" w:anchor="art106" w:history="1">
        <w:r w:rsidRPr="00C9497A">
          <w:rPr>
            <w:rStyle w:val="Hyperlink"/>
            <w:i/>
            <w:iCs/>
          </w:rPr>
          <w:t>arts. 106 e 107 da Lei n.º 14.133, de 2021</w:t>
        </w:r>
      </w:hyperlink>
      <w:r>
        <w:rPr>
          <w:i/>
          <w:iCs/>
        </w:rPr>
        <w:t xml:space="preserve">, considerando a definição do </w:t>
      </w:r>
      <w:hyperlink r:id="rId109" w:anchor="art6" w:history="1">
        <w:r w:rsidRPr="00C9497A">
          <w:rPr>
            <w:rStyle w:val="Hyperlink"/>
            <w:i/>
            <w:iCs/>
          </w:rPr>
          <w:t>art. 6º, XV</w:t>
        </w:r>
      </w:hyperlink>
      <w:r>
        <w:rPr>
          <w:i/>
          <w:iCs/>
        </w:rPr>
        <w:t>, do mesmo normativo</w:t>
      </w:r>
      <w:r>
        <w:rPr>
          <w:i/>
          <w:iCs/>
          <w:color w:val="000000"/>
        </w:rPr>
        <w:t>.</w:t>
      </w:r>
    </w:p>
    <w:p w14:paraId="002A1781" w14:textId="77777777" w:rsidR="00840B18" w:rsidRDefault="00840B18" w:rsidP="00840B18">
      <w:pPr>
        <w:pStyle w:val="Textodecomentrio"/>
      </w:pPr>
    </w:p>
    <w:p w14:paraId="69D46236" w14:textId="77777777" w:rsidR="00840B18" w:rsidRDefault="00840B18" w:rsidP="00840B18">
      <w:pPr>
        <w:pStyle w:val="Textodecomentrio"/>
      </w:pPr>
      <w:r>
        <w:rPr>
          <w:b/>
          <w:bCs/>
          <w:i/>
          <w:iCs/>
        </w:rPr>
        <w:t xml:space="preserve">Nota Explicativa 2: </w:t>
      </w:r>
      <w:r>
        <w:rPr>
          <w:i/>
          <w:iCs/>
        </w:rPr>
        <w:t>Indicar o prazo</w:t>
      </w:r>
      <w:r>
        <w:rPr>
          <w:b/>
          <w:bCs/>
          <w:i/>
          <w:iCs/>
        </w:rPr>
        <w:t xml:space="preserve"> </w:t>
      </w:r>
      <w:r>
        <w:rPr>
          <w:i/>
          <w:iCs/>
        </w:rPr>
        <w:t>inicial da contratação, que deverá ser de no máximo 5 (cinco) anos.</w:t>
      </w:r>
    </w:p>
    <w:p w14:paraId="13C8B439" w14:textId="77777777" w:rsidR="00840B18" w:rsidRDefault="00840B18" w:rsidP="00840B18">
      <w:pPr>
        <w:pStyle w:val="Textodecomentrio"/>
      </w:pPr>
    </w:p>
    <w:p w14:paraId="15B6A136" w14:textId="77777777" w:rsidR="00840B18" w:rsidRDefault="00840B18" w:rsidP="00840B18">
      <w:pPr>
        <w:pStyle w:val="Textodecomentrio"/>
      </w:pPr>
      <w:r>
        <w:rPr>
          <w:b/>
          <w:bCs/>
          <w:i/>
          <w:iCs/>
        </w:rPr>
        <w:t>Nota explicativa 3</w:t>
      </w:r>
      <w:r>
        <w:rPr>
          <w:i/>
          <w:iCs/>
        </w:rPr>
        <w:t>: As disposições a seguir decorrem dos arts. 106 e 107 da Lei nº 14.133, de 2021, bem como dos dispositivos cabíveis da Instrução Normativa SEGES/MP nº 5 de 26 de maio de 2017, cuja aplicação aos processos de licitação de serviços de que dispõe a Lei n.º 14.133, de 2021, foi autorizada pela Instrução Normativa SEGES/ME nº 98, de 26 de dezembro de 2022.</w:t>
      </w:r>
    </w:p>
  </w:comment>
  <w:comment w:id="169" w:author="Autor" w:initials="A">
    <w:p w14:paraId="398FD266" w14:textId="77777777" w:rsidR="00397BEE" w:rsidRDefault="00ED3222" w:rsidP="00397BEE">
      <w:pPr>
        <w:pStyle w:val="Textodecomentrio"/>
      </w:pPr>
      <w:r>
        <w:rPr>
          <w:rStyle w:val="Refdecomentrio"/>
        </w:rPr>
        <w:annotationRef/>
      </w:r>
      <w:r w:rsidR="00397BEE">
        <w:rPr>
          <w:i/>
          <w:iCs/>
          <w:color w:val="000000"/>
        </w:rPr>
        <w:t xml:space="preserve"> </w:t>
      </w:r>
      <w:r w:rsidR="00397BEE">
        <w:rPr>
          <w:b/>
          <w:bCs/>
          <w:i/>
          <w:iCs/>
        </w:rPr>
        <w:t>Nota explicativa</w:t>
      </w:r>
      <w:r w:rsidR="00397BEE">
        <w:rPr>
          <w:i/>
          <w:iCs/>
        </w:rPr>
        <w:t>: Conforme a Lei nº 10.522, de 2002, com a redação conferida pela Lei nº 14.973, de 2024:</w:t>
      </w:r>
    </w:p>
    <w:p w14:paraId="5D877582" w14:textId="77777777" w:rsidR="00397BEE" w:rsidRDefault="00397BEE" w:rsidP="00397BEE">
      <w:pPr>
        <w:pStyle w:val="Textodecomentrio"/>
      </w:pPr>
    </w:p>
    <w:p w14:paraId="30B3EFFE" w14:textId="77777777" w:rsidR="00397BEE" w:rsidRDefault="00397BEE" w:rsidP="00397BEE">
      <w:pPr>
        <w:pStyle w:val="Textodecomentrio"/>
      </w:pPr>
      <w:r>
        <w:rPr>
          <w:i/>
          <w:iCs/>
        </w:rPr>
        <w:t>"Art. 6º É obrigatória a consulta prévia ao Cadin, pelos órgãos e entidades da Administração Pública Federal, direta e indireta, para:   (Vide Medida Provisória nº 1.259, de 2024)</w:t>
      </w:r>
    </w:p>
    <w:p w14:paraId="020AAF1B" w14:textId="77777777" w:rsidR="00397BEE" w:rsidRDefault="00397BEE" w:rsidP="00397BEE">
      <w:pPr>
        <w:pStyle w:val="Textodecomentrio"/>
      </w:pPr>
      <w:r>
        <w:rPr>
          <w:i/>
          <w:iCs/>
        </w:rPr>
        <w:t>[...]</w:t>
      </w:r>
    </w:p>
    <w:p w14:paraId="6EEC4B63" w14:textId="77777777" w:rsidR="00397BEE" w:rsidRDefault="00397BEE" w:rsidP="00397BEE">
      <w:pPr>
        <w:pStyle w:val="Textodecomentrio"/>
      </w:pPr>
      <w:r>
        <w:rPr>
          <w:i/>
          <w:iCs/>
        </w:rPr>
        <w:t>III - celebração de convênios, acordos, ajustes ou contratos que envolvam desembolso, a qualquer título, de recursos públicos, e respectivos aditamentos.</w:t>
      </w:r>
    </w:p>
    <w:p w14:paraId="7A151817" w14:textId="77777777" w:rsidR="00397BEE" w:rsidRDefault="00397BEE" w:rsidP="00397BEE">
      <w:pPr>
        <w:pStyle w:val="Textodecomentrio"/>
      </w:pPr>
      <w:r>
        <w:rPr>
          <w:i/>
          <w:iCs/>
        </w:rPr>
        <w:t>[...]</w:t>
      </w:r>
    </w:p>
    <w:p w14:paraId="164A1654" w14:textId="77777777" w:rsidR="00397BEE" w:rsidRDefault="00397BEE" w:rsidP="00397BEE">
      <w:pPr>
        <w:pStyle w:val="Textodecomentrio"/>
      </w:pPr>
      <w:r>
        <w:rPr>
          <w:i/>
          <w:iCs/>
        </w:rPr>
        <w:t>Art. 6º-A. A existência de registro no Cadin, quando da consulta prévia de que trata o art. 6º, constitui fator impeditivo para a realização de qualquer dos atos previstos nos incisos I, II e III do caput do art. 6º.     (Incluído pela Lei nº 14.973, de 2024)".</w:t>
      </w:r>
    </w:p>
    <w:p w14:paraId="3347649D" w14:textId="77777777" w:rsidR="00397BEE" w:rsidRDefault="00397BEE" w:rsidP="00397BEE">
      <w:pPr>
        <w:pStyle w:val="Textodecomentrio"/>
      </w:pPr>
    </w:p>
    <w:p w14:paraId="54EBBB8B" w14:textId="77777777" w:rsidR="00397BEE" w:rsidRDefault="00397BEE" w:rsidP="00397BEE">
      <w:pPr>
        <w:pStyle w:val="Textodecomentrio"/>
      </w:pPr>
      <w:r>
        <w:rPr>
          <w:i/>
          <w:iCs/>
        </w:rPr>
        <w:t>A alteração veiculada pela Lei nº 14.973, de 2024, foi analisada por meio do PARECER n. 00063/2024/DECOR/CGU/AGU</w:t>
      </w:r>
    </w:p>
    <w:p w14:paraId="72869B89" w14:textId="77777777" w:rsidR="00397BEE" w:rsidRDefault="00397BEE" w:rsidP="00397BEE">
      <w:pPr>
        <w:pStyle w:val="Textodecomentrio"/>
      </w:pPr>
      <w:r>
        <w:rPr>
          <w:i/>
          <w:iCs/>
        </w:rPr>
        <w:t xml:space="preserve">(NUP: 12600.101013/2023-10), aprovado pelo Despacho do Ministro Chefe da Advocacia-Geral da União n.º 539, de 17, de dezembro de 2024, com as seguintes conclusões: </w:t>
      </w:r>
    </w:p>
    <w:p w14:paraId="3109C105" w14:textId="77777777" w:rsidR="00397BEE" w:rsidRDefault="00397BEE" w:rsidP="00397BEE">
      <w:pPr>
        <w:pStyle w:val="Textodecomentrio"/>
      </w:pPr>
    </w:p>
    <w:p w14:paraId="5E3EA62B" w14:textId="77777777" w:rsidR="00397BEE" w:rsidRDefault="00397BEE" w:rsidP="00397BEE">
      <w:pPr>
        <w:pStyle w:val="Textodecomentrio"/>
      </w:pPr>
      <w:r>
        <w:rPr>
          <w:i/>
          <w:iCs/>
        </w:rPr>
        <w:t>"(a) Com a inclusão do art. 6º-A na Lei 10.522/2002 pela Lei n.º 14.973/2024 o</w:t>
      </w:r>
      <w:r>
        <w:rPr>
          <w:b/>
          <w:bCs/>
          <w:i/>
          <w:iCs/>
        </w:rPr>
        <w:t xml:space="preserve"> registro das empresas no CADIN passou a impedir a celebração de</w:t>
      </w:r>
      <w:r>
        <w:rPr>
          <w:i/>
          <w:iCs/>
        </w:rPr>
        <w:t xml:space="preserve"> convênios, acordos, ajustes ou </w:t>
      </w:r>
      <w:r>
        <w:rPr>
          <w:b/>
          <w:bCs/>
          <w:i/>
          <w:iCs/>
        </w:rPr>
        <w:t xml:space="preserve">contratos </w:t>
      </w:r>
      <w:r>
        <w:rPr>
          <w:i/>
          <w:iCs/>
        </w:rPr>
        <w:t xml:space="preserve">que envolvam desembolso, a qualquer título, de recursos públicos, </w:t>
      </w:r>
      <w:r>
        <w:rPr>
          <w:b/>
          <w:bCs/>
          <w:i/>
          <w:iCs/>
        </w:rPr>
        <w:t>e respectivos aditamentos;</w:t>
      </w:r>
    </w:p>
    <w:p w14:paraId="2479B928" w14:textId="77777777" w:rsidR="00397BEE" w:rsidRDefault="00397BEE" w:rsidP="00397BEE">
      <w:pPr>
        <w:pStyle w:val="Textodecomentrio"/>
      </w:pPr>
    </w:p>
    <w:p w14:paraId="6CC0FED5" w14:textId="77777777" w:rsidR="00397BEE" w:rsidRDefault="00397BEE" w:rsidP="00397BEE">
      <w:pPr>
        <w:pStyle w:val="Textodecomentrio"/>
      </w:pPr>
      <w:r>
        <w:rPr>
          <w:i/>
          <w:iCs/>
        </w:rPr>
        <w:t xml:space="preserve"> (b) Segundo o art. 50 da Lei n.º 14.973/2024, as disposições desta Lei entraram em vigor na data da sua publicação: </w:t>
      </w:r>
      <w:r>
        <w:rPr>
          <w:b/>
          <w:bCs/>
          <w:i/>
          <w:iCs/>
        </w:rPr>
        <w:t>no dia 16 de setembro de 2024;</w:t>
      </w:r>
    </w:p>
    <w:p w14:paraId="42FD2046" w14:textId="77777777" w:rsidR="00397BEE" w:rsidRDefault="00397BEE" w:rsidP="00397BEE">
      <w:pPr>
        <w:pStyle w:val="Textodecomentrio"/>
      </w:pPr>
    </w:p>
    <w:p w14:paraId="03CBF0AE" w14:textId="77777777" w:rsidR="00397BEE" w:rsidRDefault="00397BEE" w:rsidP="00397BEE">
      <w:pPr>
        <w:pStyle w:val="Textodecomentrio"/>
      </w:pPr>
      <w:r>
        <w:rPr>
          <w:i/>
          <w:iCs/>
        </w:rPr>
        <w:t xml:space="preserve"> (c) Da edição desta norma </w:t>
      </w:r>
      <w:r>
        <w:rPr>
          <w:b/>
          <w:bCs/>
          <w:i/>
          <w:iCs/>
        </w:rPr>
        <w:t xml:space="preserve">não </w:t>
      </w:r>
      <w:r>
        <w:rPr>
          <w:i/>
          <w:iCs/>
        </w:rPr>
        <w:t>foram previstas regras de transição e nem autorizado o estabelecimento de um regime de transição em abstrato pela Administração Pública;</w:t>
      </w:r>
    </w:p>
    <w:p w14:paraId="41DCEF1E" w14:textId="77777777" w:rsidR="00397BEE" w:rsidRDefault="00397BEE" w:rsidP="00397BEE">
      <w:pPr>
        <w:pStyle w:val="Textodecomentrio"/>
      </w:pPr>
    </w:p>
    <w:p w14:paraId="53CE3CAC" w14:textId="77777777" w:rsidR="00397BEE" w:rsidRDefault="00397BEE" w:rsidP="00397BEE">
      <w:pPr>
        <w:pStyle w:val="Textodecomentrio"/>
      </w:pPr>
      <w:r>
        <w:rPr>
          <w:i/>
          <w:iCs/>
        </w:rPr>
        <w:t xml:space="preserve"> (d) O </w:t>
      </w:r>
      <w:r>
        <w:rPr>
          <w:b/>
          <w:bCs/>
          <w:i/>
          <w:iCs/>
        </w:rPr>
        <w:t>art. 6º- A da Lei nº 10.522/2002 deve ser aplicado aos</w:t>
      </w:r>
      <w:r>
        <w:rPr>
          <w:i/>
          <w:iCs/>
        </w:rPr>
        <w:t xml:space="preserve"> convênios, acordos, ajustes e </w:t>
      </w:r>
      <w:r>
        <w:rPr>
          <w:b/>
          <w:bCs/>
          <w:i/>
          <w:iCs/>
        </w:rPr>
        <w:t xml:space="preserve">contratos </w:t>
      </w:r>
      <w:r>
        <w:rPr>
          <w:i/>
          <w:iCs/>
        </w:rPr>
        <w:t>que envolvam desembolso, a qualquer título, de recursos públicos, f</w:t>
      </w:r>
      <w:r>
        <w:rPr>
          <w:b/>
          <w:bCs/>
          <w:i/>
          <w:iCs/>
        </w:rPr>
        <w:t xml:space="preserve">irmados a partir da data da publicação da norma;  </w:t>
      </w:r>
      <w:r>
        <w:rPr>
          <w:i/>
          <w:iCs/>
        </w:rPr>
        <w:t xml:space="preserve">[...]". </w:t>
      </w:r>
    </w:p>
    <w:p w14:paraId="29FA661B" w14:textId="77777777" w:rsidR="00397BEE" w:rsidRDefault="00397BEE" w:rsidP="00397BEE">
      <w:pPr>
        <w:pStyle w:val="Textodecomentrio"/>
      </w:pPr>
    </w:p>
    <w:p w14:paraId="24DFE3CF" w14:textId="77777777" w:rsidR="00397BEE" w:rsidRDefault="00397BEE" w:rsidP="00397BEE">
      <w:pPr>
        <w:pStyle w:val="Textodecomentrio"/>
      </w:pPr>
      <w:r>
        <w:rPr>
          <w:i/>
          <w:iCs/>
        </w:rPr>
        <w:t>Assim, para os contratos administrativos firmados a partir do dia 16 de setembro de 2024, deverá incidir o disposto no art. 6º-A da Lei n.º 10.522, de 2002, de modo que o registro do particular no CADIN constitui fator impeditivo à formalização do aditamento contratual.</w:t>
      </w:r>
    </w:p>
  </w:comment>
  <w:comment w:id="171" w:author="Autor" w:initials="A">
    <w:p w14:paraId="370F0353" w14:textId="77777777" w:rsidR="00397BEE" w:rsidRDefault="00974F7A" w:rsidP="00397BEE">
      <w:pPr>
        <w:pStyle w:val="Textodecomentrio"/>
      </w:pPr>
      <w:r>
        <w:rPr>
          <w:rStyle w:val="Refdecomentrio"/>
        </w:rPr>
        <w:annotationRef/>
      </w:r>
      <w:r w:rsidR="00397BEE">
        <w:rPr>
          <w:b/>
          <w:bCs/>
          <w:i/>
          <w:iCs/>
        </w:rPr>
        <w:t>Nota Explicativa</w:t>
      </w:r>
      <w:r w:rsidR="00397BEE">
        <w:rPr>
          <w:i/>
          <w:iCs/>
        </w:rPr>
        <w:t>: Utilizar esta redação para contratações emergenciais, fundadas no art. 75, VIII, da Lei n.º 14.133, de 2021, independentemente da natureza do objeto ser de escopo ou, em tese, continuada.</w:t>
      </w:r>
    </w:p>
  </w:comment>
  <w:comment w:id="172" w:author="Autor" w:initials="A">
    <w:p w14:paraId="1011FD66" w14:textId="64BD3432" w:rsidR="004F0F71" w:rsidRDefault="004F0F71" w:rsidP="004F0F71">
      <w:pPr>
        <w:pStyle w:val="Textodecomentrio"/>
      </w:pPr>
      <w:r>
        <w:rPr>
          <w:rStyle w:val="Refdecomentrio"/>
        </w:rPr>
        <w:annotationRef/>
      </w:r>
      <w:r>
        <w:rPr>
          <w:b/>
          <w:bCs/>
          <w:i/>
          <w:iCs/>
          <w:color w:val="000000"/>
        </w:rPr>
        <w:t>Nota Explicativa:</w:t>
      </w:r>
      <w:r>
        <w:rPr>
          <w:i/>
          <w:iCs/>
          <w:color w:val="000000"/>
        </w:rPr>
        <w:t xml:space="preserve"> Este modelo contém obrigações gerais, que podem ser aplicadas aos mais diversos tipos de contratações de serviços. Entretanto, compete ao órgão definir quais obrigações serão aplicáveis, incluindo, modificando ou excluindo itens a depender das especificidades do objeto.</w:t>
      </w:r>
      <w:r>
        <w:rPr>
          <w:i/>
          <w:iCs/>
          <w:color w:val="000000"/>
          <w:highlight w:val="yellow"/>
        </w:rPr>
        <w:br/>
      </w:r>
    </w:p>
  </w:comment>
  <w:comment w:id="173" w:author="Autor" w:initials="A">
    <w:p w14:paraId="0A743633" w14:textId="29C06C2C" w:rsidR="00840B18" w:rsidRDefault="00840B18" w:rsidP="00840B18">
      <w:pPr>
        <w:pStyle w:val="Textodecomentrio"/>
      </w:pPr>
      <w:r>
        <w:rPr>
          <w:rStyle w:val="Refdecomentrio"/>
        </w:rPr>
        <w:annotationRef/>
      </w:r>
      <w:r>
        <w:rPr>
          <w:b/>
          <w:bCs/>
          <w:i/>
          <w:iCs/>
          <w:color w:val="000000"/>
        </w:rPr>
        <w:t xml:space="preserve">Nota Explicativa: </w:t>
      </w:r>
      <w:r>
        <w:rPr>
          <w:i/>
          <w:iCs/>
          <w:color w:val="000000"/>
        </w:rPr>
        <w:t xml:space="preserve">Nos termos do </w:t>
      </w:r>
      <w:hyperlink r:id="rId110" w:anchor="art123" w:history="1">
        <w:r w:rsidRPr="009F35C1">
          <w:rPr>
            <w:rStyle w:val="Hyperlink"/>
            <w:i/>
            <w:iCs/>
          </w:rPr>
          <w:t>art. 123 da Lei nº 14.133/21</w:t>
        </w:r>
      </w:hyperlink>
      <w:r>
        <w:rPr>
          <w:i/>
          <w:iCs/>
          <w:color w:val="000000"/>
        </w:rPr>
        <w:t xml:space="preserve">, a Administração tem o dever de decidir questões contratuais que lhe são apresentadas. O prazo previsto nesta disposição pode ser especificado pela Administração, conforme a complexidade do objeto contratual e os trâmites internos das áreas envolvidas na execução contratual. Caso não haja especificação, o </w:t>
      </w:r>
      <w:hyperlink r:id="rId111" w:anchor="art123" w:history="1">
        <w:r w:rsidRPr="009F35C1">
          <w:rPr>
            <w:rStyle w:val="Hyperlink"/>
            <w:i/>
            <w:iCs/>
          </w:rPr>
          <w:t>art. 123, parágrafo único, da Lei n.º 14.133, de 2021</w:t>
        </w:r>
      </w:hyperlink>
      <w:r>
        <w:rPr>
          <w:i/>
          <w:iCs/>
          <w:color w:val="000000"/>
        </w:rPr>
        <w:t xml:space="preserve">, e o </w:t>
      </w:r>
      <w:hyperlink r:id="rId112" w:anchor="art28" w:history="1">
        <w:r w:rsidRPr="009F35C1">
          <w:rPr>
            <w:rStyle w:val="Hyperlink"/>
            <w:i/>
            <w:iCs/>
          </w:rPr>
          <w:t>art. 28, do Decreto n.º 11.246, de 2022</w:t>
        </w:r>
      </w:hyperlink>
      <w:r>
        <w:rPr>
          <w:i/>
          <w:iCs/>
          <w:color w:val="000000"/>
        </w:rPr>
        <w:t>, estabelecem que o prazo será de um mês.</w:t>
      </w:r>
    </w:p>
  </w:comment>
  <w:comment w:id="174" w:author="Autor" w:initials="A">
    <w:p w14:paraId="27500BE2" w14:textId="77777777" w:rsidR="00840B18" w:rsidRDefault="00840B18" w:rsidP="00840B18">
      <w:pPr>
        <w:pStyle w:val="Textodecomentrio"/>
      </w:pPr>
      <w:r>
        <w:rPr>
          <w:rStyle w:val="Refdecomentrio"/>
        </w:rPr>
        <w:annotationRef/>
      </w:r>
      <w:r>
        <w:rPr>
          <w:b/>
          <w:bCs/>
          <w:i/>
          <w:iCs/>
        </w:rPr>
        <w:t>Nota Explicativa:</w:t>
      </w:r>
      <w:r>
        <w:rPr>
          <w:i/>
          <w:iCs/>
        </w:rPr>
        <w:t xml:space="preserve"> O </w:t>
      </w:r>
      <w:hyperlink r:id="rId113" w:anchor="art92" w:history="1">
        <w:r w:rsidRPr="000F6412">
          <w:rPr>
            <w:rStyle w:val="Hyperlink"/>
            <w:i/>
            <w:iCs/>
          </w:rPr>
          <w:t>art. 92, inciso XI, da Lei nº 14.133, de 2021</w:t>
        </w:r>
      </w:hyperlink>
      <w:r>
        <w:rPr>
          <w:i/>
          <w:iCs/>
        </w:rPr>
        <w:t xml:space="preserve">, prevê que é cláusula necessária do contrato administrativo aquela que versa sobre “o prazo para resposta ao pedido de restabelecimento do equilíbrio econômico-financeiro, quando for o caso”. Como a lei não indicou o prazo a ser adotado nesse caso específico, a Administração poderá se utilizar do mesmo prazo previsto para as situações abrangidas, em geral, pelo </w:t>
      </w:r>
      <w:hyperlink r:id="rId114" w:anchor="art123" w:history="1">
        <w:r w:rsidRPr="000F6412">
          <w:rPr>
            <w:rStyle w:val="Hyperlink"/>
            <w:i/>
            <w:iCs/>
          </w:rPr>
          <w:t>art. 123 do texto legal</w:t>
        </w:r>
      </w:hyperlink>
      <w:r>
        <w:rPr>
          <w:i/>
          <w:iCs/>
        </w:rPr>
        <w:t>, o que deverá ser analisado conforme as especificidades de cada órgão.</w:t>
      </w:r>
    </w:p>
  </w:comment>
  <w:comment w:id="176" w:author="Autor" w:initials="A">
    <w:p w14:paraId="44E4B046" w14:textId="77777777" w:rsidR="00840B18" w:rsidRDefault="00840B18" w:rsidP="00840B18">
      <w:pPr>
        <w:pStyle w:val="Textodecomentrio"/>
      </w:pPr>
      <w:r>
        <w:rPr>
          <w:rStyle w:val="Refdecomentrio"/>
        </w:rPr>
        <w:annotationRef/>
      </w:r>
      <w:r>
        <w:rPr>
          <w:b/>
          <w:bCs/>
          <w:i/>
          <w:iCs/>
          <w:color w:val="000000"/>
        </w:rPr>
        <w:t>Nota Explicativa:</w:t>
      </w:r>
      <w:r>
        <w:rPr>
          <w:i/>
          <w:iCs/>
          <w:color w:val="000000"/>
        </w:rPr>
        <w:t xml:space="preserve"> Esta disposição decorre do </w:t>
      </w:r>
      <w:hyperlink r:id="rId115" w:anchor="art137§4" w:history="1">
        <w:r w:rsidRPr="00A5390C">
          <w:rPr>
            <w:rStyle w:val="Hyperlink"/>
            <w:i/>
            <w:iCs/>
          </w:rPr>
          <w:t>§4º, do art. 137, da Lei nº 14.133, de 2021</w:t>
        </w:r>
      </w:hyperlink>
      <w:r>
        <w:rPr>
          <w:i/>
          <w:iCs/>
          <w:color w:val="000000"/>
        </w:rPr>
        <w:t>.</w:t>
      </w:r>
    </w:p>
  </w:comment>
  <w:comment w:id="177" w:author="Autor" w:initials="A">
    <w:p w14:paraId="144B38BC" w14:textId="77777777" w:rsidR="00840B18" w:rsidRDefault="00840B18" w:rsidP="00840B18">
      <w:pPr>
        <w:pStyle w:val="Textodecomentrio"/>
      </w:pPr>
      <w:r>
        <w:rPr>
          <w:rStyle w:val="Refdecomentrio"/>
        </w:rPr>
        <w:annotationRef/>
      </w:r>
      <w:r>
        <w:rPr>
          <w:b/>
          <w:bCs/>
          <w:i/>
          <w:iCs/>
          <w:color w:val="000000"/>
        </w:rPr>
        <w:t>Nota Explicativa 1:</w:t>
      </w:r>
      <w:r>
        <w:rPr>
          <w:i/>
          <w:iCs/>
          <w:color w:val="000000"/>
        </w:rPr>
        <w:t xml:space="preserve"> Este modelo contém obrigações gerais, que podem ser aplicadas aos mais diversos tipos de contratações de serviços. Entretanto, compete ao órgão definir quais obrigações serão aplicáveis, incluindo, modificando ou excluindo itens a depender das especificidades do objeto.</w:t>
      </w:r>
    </w:p>
    <w:p w14:paraId="24CC4CD4" w14:textId="77777777" w:rsidR="00840B18" w:rsidRDefault="00840B18" w:rsidP="00840B18">
      <w:pPr>
        <w:pStyle w:val="Textodecomentrio"/>
      </w:pPr>
      <w:r>
        <w:rPr>
          <w:i/>
          <w:iCs/>
          <w:color w:val="000000"/>
        </w:rPr>
        <w:br/>
      </w:r>
      <w:r>
        <w:rPr>
          <w:b/>
          <w:bCs/>
          <w:i/>
          <w:iCs/>
        </w:rPr>
        <w:t>Nota Explicativa 2:</w:t>
      </w:r>
      <w:r>
        <w:rPr>
          <w:i/>
          <w:iCs/>
        </w:rPr>
        <w:t xml:space="preserve"> No caso de órgãos ou entidades públicas vinculados ao Ministério da Economia, considerada a edição da </w:t>
      </w:r>
      <w:hyperlink r:id="rId116" w:history="1">
        <w:r w:rsidRPr="003C4170">
          <w:rPr>
            <w:rStyle w:val="Hyperlink"/>
            <w:i/>
            <w:iCs/>
          </w:rPr>
          <w:t>Portaria ME n° 1.144, de 3 de fevereiro de 2021</w:t>
        </w:r>
      </w:hyperlink>
      <w:r>
        <w:rPr>
          <w:i/>
          <w:iCs/>
        </w:rPr>
        <w:t xml:space="preserve">, que disciplina os procedimentos e as rotinas para prevenção do nepotismo e responsabilização das suas ocorrências no âmbito daquele Ministério, necessário incluir, nesse item, subitem com o seguinte teor: “.x. Apresentar as declarações firmadas pelos terceirizados indicados aos postos de serviços contratados, em conformidade com o </w:t>
      </w:r>
      <w:hyperlink r:id="rId117" w:anchor="art5" w:history="1">
        <w:r w:rsidRPr="003C4170">
          <w:rPr>
            <w:rStyle w:val="Hyperlink"/>
            <w:i/>
            <w:iCs/>
          </w:rPr>
          <w:t>artigo 5°, inciso I, da Portaria ME n° 1.144, de 3 de fevereiro de 2021</w:t>
        </w:r>
      </w:hyperlink>
      <w:r>
        <w:rPr>
          <w:i/>
          <w:iCs/>
        </w:rPr>
        <w:t xml:space="preserve">, atestando ausência de relação familiar ou de parentesco que importe a prática de nepotismo, nos termos do disposto no </w:t>
      </w:r>
      <w:hyperlink r:id="rId118" w:anchor="art2" w:history="1">
        <w:r w:rsidRPr="003C4170">
          <w:rPr>
            <w:rStyle w:val="Hyperlink"/>
            <w:i/>
            <w:iCs/>
          </w:rPr>
          <w:t>inciso II do artigo 2° daquele normativo.”</w:t>
        </w:r>
      </w:hyperlink>
    </w:p>
  </w:comment>
  <w:comment w:id="178" w:author="Autor" w:initials="A">
    <w:p w14:paraId="4CAC3443" w14:textId="77777777" w:rsidR="00840B18" w:rsidRDefault="00840B18" w:rsidP="00840B18">
      <w:pPr>
        <w:pStyle w:val="Textodecomentrio"/>
      </w:pPr>
      <w:r>
        <w:rPr>
          <w:rStyle w:val="Refdecomentrio"/>
        </w:rPr>
        <w:annotationRef/>
      </w:r>
      <w:r>
        <w:rPr>
          <w:b/>
          <w:bCs/>
          <w:i/>
          <w:iCs/>
          <w:color w:val="000000"/>
        </w:rPr>
        <w:t>Nota Explicativa</w:t>
      </w:r>
      <w:r>
        <w:rPr>
          <w:i/>
          <w:iCs/>
          <w:color w:val="000000"/>
        </w:rPr>
        <w:t>. Cada vício, defeito ou incorreção verificada pela fiscalização contratual reveste-se de peculiar característica. Por isso que, diante da natureza do objeto contratado, é impróprio determinar prazo único para as correções devidas, devendo o fiscal do contrato, avaliar o caso concreto, para o fim de fixar prazo para as correções.</w:t>
      </w:r>
    </w:p>
  </w:comment>
  <w:comment w:id="179" w:author="Autor" w:initials="A">
    <w:p w14:paraId="055DC09D" w14:textId="77777777" w:rsidR="00840B18" w:rsidRDefault="00840B18" w:rsidP="00840B18">
      <w:pPr>
        <w:pStyle w:val="Textodecomentrio"/>
      </w:pPr>
      <w:r>
        <w:rPr>
          <w:rStyle w:val="Refdecomentrio"/>
        </w:rPr>
        <w:annotationRef/>
      </w:r>
      <w:r>
        <w:rPr>
          <w:b/>
          <w:bCs/>
          <w:i/>
          <w:iCs/>
          <w:color w:val="000000"/>
        </w:rPr>
        <w:t>Nota explicativa 1:</w:t>
      </w:r>
      <w:r>
        <w:rPr>
          <w:i/>
          <w:iCs/>
          <w:color w:val="000000"/>
        </w:rPr>
        <w:t xml:space="preserve"> O artigo 193 do CTN preceitua que a prova da quitação de todos os tributos devidos dar-se-á no âmbito da Fazenda Pública interessada. Portanto, a comprovação de inscrição no cadastro de contribuinte e regularidade fiscal correspondente considerará a natureza da atividade objeto da contratação.</w:t>
      </w:r>
    </w:p>
    <w:p w14:paraId="78B30B71" w14:textId="77777777" w:rsidR="00840B18" w:rsidRDefault="00840B18" w:rsidP="00840B18">
      <w:pPr>
        <w:pStyle w:val="Textodecomentrio"/>
      </w:pPr>
      <w:r>
        <w:rPr>
          <w:i/>
          <w:iCs/>
          <w:color w:val="000000"/>
        </w:rPr>
        <w:t xml:space="preserve">Via de regra, a prestação de serviços de modo geral é hipótese de incidência de tributação municipal (Imposto Sobre Serviços de Qualquer Natureza - ISSQN), conforme lista anexa </w:t>
      </w:r>
      <w:hyperlink r:id="rId119" w:history="1">
        <w:r w:rsidRPr="00500559">
          <w:rPr>
            <w:rStyle w:val="Hyperlink"/>
            <w:i/>
            <w:iCs/>
          </w:rPr>
          <w:t>à Lei Complementar nº 116/2003</w:t>
        </w:r>
      </w:hyperlink>
      <w:r>
        <w:rPr>
          <w:i/>
          <w:iCs/>
          <w:color w:val="000000"/>
        </w:rPr>
        <w:t xml:space="preserve">.  </w:t>
      </w:r>
    </w:p>
    <w:p w14:paraId="07CAE80A" w14:textId="77777777" w:rsidR="00840B18" w:rsidRDefault="00840B18" w:rsidP="00840B18">
      <w:pPr>
        <w:pStyle w:val="Textodecomentrio"/>
      </w:pPr>
      <w:r>
        <w:rPr>
          <w:i/>
          <w:iCs/>
          <w:color w:val="000000"/>
        </w:rPr>
        <w:t>Existem, contudo, situações em que a prestação de um serviço pode dar ensejo à incidência de tributação estadual pelo ICMS. Como exemplos, citem-se os serviços de transporte interestadual e intermunicipal e os serviços de comunicação (</w:t>
      </w:r>
      <w:hyperlink r:id="rId120" w:anchor="art155" w:history="1">
        <w:r w:rsidRPr="00500559">
          <w:rPr>
            <w:rStyle w:val="Hyperlink"/>
            <w:i/>
            <w:iCs/>
          </w:rPr>
          <w:t>art. 155, II, da CF/88</w:t>
        </w:r>
      </w:hyperlink>
      <w:r>
        <w:rPr>
          <w:i/>
          <w:iCs/>
          <w:color w:val="000000"/>
        </w:rPr>
        <w:t xml:space="preserve">), bem como as exceções expressamente previstas na lista da referida LC 116/2003. </w:t>
      </w:r>
    </w:p>
  </w:comment>
  <w:comment w:id="180" w:author="Autor" w:initials="A">
    <w:p w14:paraId="3BFEFB22" w14:textId="77777777" w:rsidR="00397BEE" w:rsidRDefault="00B07CC6" w:rsidP="00397BEE">
      <w:pPr>
        <w:pStyle w:val="Textodecomentrio"/>
      </w:pPr>
      <w:r>
        <w:rPr>
          <w:rStyle w:val="Refdecomentrio"/>
        </w:rPr>
        <w:annotationRef/>
      </w:r>
      <w:r w:rsidR="00397BEE">
        <w:rPr>
          <w:b/>
          <w:bCs/>
          <w:i/>
          <w:iCs/>
        </w:rPr>
        <w:t>Nota Explicativa:</w:t>
      </w:r>
      <w:r w:rsidR="00397BEE">
        <w:rPr>
          <w:i/>
          <w:iCs/>
        </w:rPr>
        <w:t xml:space="preserve"> As disposições a seguir decorrem do disposto no art. 2º do Decreto n.º 12.174, de 11 de setembro de 2024.</w:t>
      </w:r>
    </w:p>
  </w:comment>
  <w:comment w:id="181" w:author="Autor" w:initials="A">
    <w:p w14:paraId="0E347006" w14:textId="770E5D43" w:rsidR="00840B18" w:rsidRDefault="00840B18" w:rsidP="00840B18">
      <w:pPr>
        <w:pStyle w:val="Textodecomentrio"/>
      </w:pPr>
      <w:r>
        <w:rPr>
          <w:rStyle w:val="Refdecomentrio"/>
        </w:rPr>
        <w:annotationRef/>
      </w:r>
      <w:r>
        <w:rPr>
          <w:b/>
          <w:bCs/>
          <w:i/>
          <w:iCs/>
        </w:rPr>
        <w:t>Nota Explicativa:</w:t>
      </w:r>
      <w:r>
        <w:rPr>
          <w:i/>
          <w:iCs/>
        </w:rPr>
        <w:t xml:space="preserve"> No caso de contratações de serviços de manutenção e assistência técnica, recomenda-se a inclusão desses itens, à luz do </w:t>
      </w:r>
      <w:hyperlink r:id="rId121" w:anchor="art47§2" w:history="1">
        <w:r w:rsidRPr="0095647F">
          <w:rPr>
            <w:rStyle w:val="Hyperlink"/>
            <w:i/>
            <w:iCs/>
          </w:rPr>
          <w:t>art. 47, § 2º, da Lei nº 14.133, de 2021</w:t>
        </w:r>
      </w:hyperlink>
      <w:r>
        <w:rPr>
          <w:i/>
          <w:iCs/>
        </w:rPr>
        <w:t>:</w:t>
      </w:r>
    </w:p>
  </w:comment>
  <w:comment w:id="182" w:author="Autor" w:initials="A">
    <w:p w14:paraId="0CBA45FD" w14:textId="77777777" w:rsidR="00840B18" w:rsidRDefault="00840B18" w:rsidP="00840B18">
      <w:pPr>
        <w:pStyle w:val="Textodecomentrio"/>
      </w:pPr>
      <w:r>
        <w:rPr>
          <w:rStyle w:val="Refdecomentrio"/>
        </w:rPr>
        <w:annotationRef/>
      </w:r>
      <w:r>
        <w:rPr>
          <w:b/>
          <w:bCs/>
          <w:i/>
          <w:iCs/>
        </w:rPr>
        <w:t xml:space="preserve">Nota explicativa 1: </w:t>
      </w:r>
      <w:r>
        <w:rPr>
          <w:i/>
          <w:iCs/>
        </w:rPr>
        <w:t>Incluir esta disposição caso a contratação tenha por objeto</w:t>
      </w:r>
      <w:r>
        <w:rPr>
          <w:i/>
          <w:iCs/>
          <w:color w:val="000000"/>
        </w:rPr>
        <w:t xml:space="preserve"> a elaboração de </w:t>
      </w:r>
      <w:r>
        <w:rPr>
          <w:i/>
          <w:iCs/>
        </w:rPr>
        <w:t xml:space="preserve">projetos ou a execução de serviços técnicos especializados, inclusive daqueles que contemplem o desenvolvimento de programas e aplicações de internet para computadores, máquinas, equipamentos e dispositivos de tratamento e de comunicação da informação (software) - e a respectiva documentação técnica associada, conforme </w:t>
      </w:r>
      <w:hyperlink r:id="rId122" w:anchor="art93" w:history="1">
        <w:r w:rsidRPr="00C25994">
          <w:rPr>
            <w:rStyle w:val="Hyperlink"/>
            <w:i/>
            <w:iCs/>
          </w:rPr>
          <w:t>art. 93, caput, da Lei n.º 14.133/2021.</w:t>
        </w:r>
      </w:hyperlink>
      <w:r>
        <w:rPr>
          <w:i/>
          <w:iCs/>
        </w:rPr>
        <w:t xml:space="preserve"> </w:t>
      </w:r>
    </w:p>
    <w:p w14:paraId="611BAA0A" w14:textId="77777777" w:rsidR="00840B18" w:rsidRDefault="00840B18" w:rsidP="00840B18">
      <w:pPr>
        <w:pStyle w:val="Textodecomentrio"/>
      </w:pPr>
    </w:p>
    <w:p w14:paraId="7D572522" w14:textId="77777777" w:rsidR="00840B18" w:rsidRDefault="00840B18" w:rsidP="00840B18">
      <w:pPr>
        <w:pStyle w:val="Textodecomentrio"/>
      </w:pPr>
      <w:r>
        <w:rPr>
          <w:b/>
          <w:bCs/>
          <w:i/>
          <w:iCs/>
        </w:rPr>
        <w:t>Nota Explicativa 2:</w:t>
      </w:r>
      <w:r>
        <w:rPr>
          <w:i/>
          <w:iCs/>
        </w:rPr>
        <w:t xml:space="preserve"> Vale registrar que o </w:t>
      </w:r>
      <w:hyperlink r:id="rId123" w:anchor="art93§2" w:history="1">
        <w:r w:rsidRPr="00C25994">
          <w:rPr>
            <w:rStyle w:val="Hyperlink"/>
            <w:i/>
            <w:iCs/>
          </w:rPr>
          <w:t>§2º do art. 93</w:t>
        </w:r>
      </w:hyperlink>
      <w:r>
        <w:rPr>
          <w:i/>
          <w:iCs/>
        </w:rPr>
        <w:t xml:space="preserve"> admite que a Administração deixe de exigir a cessão de direitos “quando o objeto da contratação envolver atividade de pesquisa e desenvolvimento de caráter científico, tecnológico ou de inovação, considerados os princípios e os mecanismos instituídos pela </w:t>
      </w:r>
      <w:hyperlink r:id="rId124" w:history="1">
        <w:r w:rsidRPr="00C25994">
          <w:rPr>
            <w:rStyle w:val="Hyperlink"/>
            <w:i/>
            <w:iCs/>
          </w:rPr>
          <w:t>Lei nº 10.973, de 2 de dezembro de 2004</w:t>
        </w:r>
      </w:hyperlink>
      <w:r>
        <w:rPr>
          <w:i/>
          <w:iCs/>
        </w:rPr>
        <w:t>”.</w:t>
      </w:r>
    </w:p>
    <w:p w14:paraId="133891F3" w14:textId="77777777" w:rsidR="00840B18" w:rsidRDefault="00840B18" w:rsidP="00840B18">
      <w:pPr>
        <w:pStyle w:val="Textodecomentrio"/>
      </w:pPr>
    </w:p>
    <w:p w14:paraId="7C43CFD8" w14:textId="77777777" w:rsidR="00840B18" w:rsidRDefault="00840B18" w:rsidP="00840B18">
      <w:pPr>
        <w:pStyle w:val="Textodecomentrio"/>
      </w:pPr>
      <w:r>
        <w:rPr>
          <w:b/>
          <w:bCs/>
          <w:i/>
          <w:iCs/>
        </w:rPr>
        <w:t>Nota Explicativa 3:</w:t>
      </w:r>
      <w:r>
        <w:rPr>
          <w:i/>
          <w:iCs/>
        </w:rPr>
        <w:t xml:space="preserve"> Acrescentar o subitem a seguir caso o objeto consista na elaboração de projeto relativo a obra imaterial de caráter tecnológico, insuscetível de privilégio, nos termos do </w:t>
      </w:r>
      <w:hyperlink r:id="rId125" w:anchor="art93§1" w:history="1">
        <w:r w:rsidRPr="00C25994">
          <w:rPr>
            <w:rStyle w:val="Hyperlink"/>
            <w:i/>
            <w:iCs/>
          </w:rPr>
          <w:t>art. 93, § 1º, da Lei n.º 14.133/2021.</w:t>
        </w:r>
      </w:hyperlink>
      <w:r>
        <w:rPr>
          <w:i/>
          <w:iCs/>
        </w:rPr>
        <w:t xml:space="preserve"> </w:t>
      </w:r>
    </w:p>
  </w:comment>
  <w:comment w:id="183" w:author="Autor" w:initials="A">
    <w:p w14:paraId="508996FE" w14:textId="77777777" w:rsidR="00840B18" w:rsidRDefault="00840B18" w:rsidP="00840B18">
      <w:pPr>
        <w:pStyle w:val="Textodecomentrio"/>
      </w:pPr>
      <w:r>
        <w:rPr>
          <w:rStyle w:val="Refdecomentrio"/>
        </w:rPr>
        <w:annotationRef/>
      </w:r>
      <w:r>
        <w:rPr>
          <w:b/>
          <w:bCs/>
          <w:i/>
          <w:iCs/>
        </w:rPr>
        <w:t>Nota Explicativa</w:t>
      </w:r>
      <w:r>
        <w:rPr>
          <w:i/>
          <w:iCs/>
        </w:rPr>
        <w:t>: O Termo de Referência deverá definir os profissionais que serão necessários à execução do objeto licitado para, então, permitir delimitar a necessidade de inscrição do Contratado nos conselhos profissionais competentes, podendo haver mais de um no caso equipe multidisciplinar ou de as competências exigidas serem comuns aos profissionais necessários à execução do objeto contratual. Para serviços de engenharia, os conselhos profissionais que normalmente fiscalizam os profissionais necessários são o CREA, o CAU e o CFT.</w:t>
      </w:r>
    </w:p>
  </w:comment>
  <w:comment w:id="184" w:author="Autor" w:initials="A">
    <w:p w14:paraId="49725C20" w14:textId="77777777" w:rsidR="00840B18" w:rsidRDefault="00840B18" w:rsidP="00840B18">
      <w:pPr>
        <w:pStyle w:val="Textodecomentrio"/>
      </w:pPr>
      <w:r>
        <w:rPr>
          <w:rStyle w:val="Refdecomentrio"/>
        </w:rPr>
        <w:annotationRef/>
      </w:r>
      <w:r>
        <w:rPr>
          <w:b/>
          <w:bCs/>
          <w:i/>
          <w:iCs/>
        </w:rPr>
        <w:t xml:space="preserve">Nota Explicativa: </w:t>
      </w:r>
      <w:r>
        <w:rPr>
          <w:i/>
          <w:iCs/>
        </w:rPr>
        <w:t>Caso o Contratante tenha optado por atribuir ao Contratado a obrigação de elaboração do projeto executivo, estes itens deverão ser incluídos.</w:t>
      </w:r>
    </w:p>
  </w:comment>
  <w:comment w:id="185" w:author="Autor" w:initials="A">
    <w:p w14:paraId="434506E6" w14:textId="77777777" w:rsidR="00840B18" w:rsidRDefault="00840B18" w:rsidP="00840B18">
      <w:pPr>
        <w:pStyle w:val="Textodecomentrio"/>
      </w:pPr>
      <w:r>
        <w:rPr>
          <w:rStyle w:val="Refdecomentrio"/>
        </w:rPr>
        <w:annotationRef/>
      </w:r>
      <w:r>
        <w:rPr>
          <w:b/>
          <w:bCs/>
          <w:i/>
          <w:iCs/>
          <w:color w:val="000000"/>
        </w:rPr>
        <w:t xml:space="preserve">Nota Explicativa 1: </w:t>
      </w:r>
      <w:r>
        <w:rPr>
          <w:i/>
          <w:iCs/>
          <w:color w:val="000000"/>
        </w:rPr>
        <w:t xml:space="preserve">As disposições desta cláusula são necessárias para cumprimento </w:t>
      </w:r>
      <w:hyperlink r:id="rId126" w:history="1">
        <w:r w:rsidRPr="00F94A68">
          <w:rPr>
            <w:rStyle w:val="Hyperlink"/>
            <w:i/>
            <w:iCs/>
          </w:rPr>
          <w:t>da Lei nº 13.709, de 14 de agosto de 2018 (LGPD</w:t>
        </w:r>
      </w:hyperlink>
      <w:r>
        <w:rPr>
          <w:i/>
          <w:iCs/>
          <w:color w:val="000000"/>
        </w:rPr>
        <w:t>), caso a contratação envolva, de alguma forma, o tratamento de dados pessoais, devendo ser incluída e ajustada nessa hipótese.</w:t>
      </w:r>
    </w:p>
    <w:p w14:paraId="4A268623" w14:textId="77777777" w:rsidR="00840B18" w:rsidRDefault="00840B18" w:rsidP="00840B18">
      <w:pPr>
        <w:pStyle w:val="Textodecomentrio"/>
      </w:pPr>
    </w:p>
    <w:p w14:paraId="42F4CBB9" w14:textId="77777777" w:rsidR="00840B18" w:rsidRDefault="00840B18" w:rsidP="00840B18">
      <w:pPr>
        <w:pStyle w:val="Textodecomentrio"/>
      </w:pPr>
      <w:r>
        <w:rPr>
          <w:b/>
          <w:bCs/>
          <w:i/>
          <w:iCs/>
          <w:color w:val="000000"/>
        </w:rPr>
        <w:t xml:space="preserve">Nota Explicativa 2: </w:t>
      </w:r>
      <w:r>
        <w:rPr>
          <w:i/>
          <w:iCs/>
          <w:color w:val="000000"/>
        </w:rPr>
        <w:t>Caso o objeto da contratação envolva, ainda que indiretamente, o acesso ou o tratamento de dados pessoais, é possível que a Administração estabeleça modelagem contratual por meio da qual seja imposto ao Contratado o dever de disponibilizar à Administração a possibilidade de acesso direto a esses dados, o que deve se dar com todas as cautelas cabíveis em relação ao tema.</w:t>
      </w:r>
    </w:p>
    <w:p w14:paraId="44385E56" w14:textId="77777777" w:rsidR="00840B18" w:rsidRDefault="00840B18" w:rsidP="00840B18">
      <w:pPr>
        <w:pStyle w:val="Textodecomentrio"/>
      </w:pPr>
      <w:r>
        <w:rPr>
          <w:i/>
          <w:iCs/>
          <w:color w:val="000000"/>
        </w:rPr>
        <w:t>Vale lembrar que eventual requerimento administrativo do titular dos dados será direcionado à Administração, sendo certo que comandos oriundos de Autoridade Regulatória ou do Poder Judiciário serão igualmente direcionados à Administração, inclusive com risco de responsabilização objetiva. Por isso, em situações em que for justificável, fica a recomendação para que a Administração crie condições para que possa atender tempestivamente o requerimento do titular dos dados ou eventual comando regulatório ou judicial. Tudo isso para que a Administração tenha condições de atender o requerimento ou comando tempestivamente, sem depender exclusivamente do Contratado para tanto.</w:t>
      </w:r>
    </w:p>
    <w:p w14:paraId="4187D2D2" w14:textId="77777777" w:rsidR="00840B18" w:rsidRDefault="00840B18" w:rsidP="00840B18">
      <w:pPr>
        <w:pStyle w:val="Textodecomentrio"/>
      </w:pPr>
      <w:r>
        <w:rPr>
          <w:i/>
          <w:iCs/>
          <w:color w:val="000000"/>
        </w:rPr>
        <w:t>O tema deve ser avaliado pela Administração com base nos riscos da contratação em relação aos dados pessoais eventualmente envolvidos.</w:t>
      </w:r>
    </w:p>
  </w:comment>
  <w:comment w:id="187" w:author="Autor" w:initials="A">
    <w:p w14:paraId="12AFAA5E" w14:textId="77777777" w:rsidR="00840B18" w:rsidRDefault="00840B18" w:rsidP="00840B18">
      <w:pPr>
        <w:pStyle w:val="Textodecomentrio"/>
      </w:pPr>
      <w:r>
        <w:rPr>
          <w:rStyle w:val="Refdecomentrio"/>
        </w:rPr>
        <w:annotationRef/>
      </w:r>
      <w:r>
        <w:rPr>
          <w:b/>
          <w:bCs/>
          <w:i/>
          <w:iCs/>
          <w:color w:val="000000"/>
        </w:rPr>
        <w:t>Nota Explicativa</w:t>
      </w:r>
      <w:r>
        <w:rPr>
          <w:i/>
          <w:iCs/>
          <w:color w:val="000000"/>
        </w:rPr>
        <w:t xml:space="preserve">: Conforme PARECER n. 00004/2022/CNMLC/CGU/AGU, é possível também a exigência de declaração, firmada por representante da empresa, de que seus empregados estão capacitados e/ou firmaram termo de responsabilidade de cumprimento da LGPD. Ademais, em situações específicas, é possível exigir tal providência de cada empregado. Incumbe ao Contratante avaliar a necessidade de medida dessa natureza. </w:t>
      </w:r>
    </w:p>
  </w:comment>
  <w:comment w:id="188" w:author="Autor" w:initials="A">
    <w:p w14:paraId="78279716" w14:textId="77777777" w:rsidR="00840B18" w:rsidRDefault="00840B18" w:rsidP="00840B18">
      <w:pPr>
        <w:pStyle w:val="Textodecomentrio"/>
      </w:pPr>
      <w:r>
        <w:rPr>
          <w:rStyle w:val="Refdecomentrio"/>
        </w:rPr>
        <w:annotationRef/>
      </w:r>
      <w:r>
        <w:rPr>
          <w:b/>
          <w:bCs/>
          <w:i/>
          <w:iCs/>
          <w:color w:val="000000"/>
        </w:rPr>
        <w:t>Nota Explicativa</w:t>
      </w:r>
      <w:r>
        <w:rPr>
          <w:i/>
          <w:iCs/>
          <w:color w:val="000000"/>
        </w:rPr>
        <w:t xml:space="preserve">: Se o Contratante entender oportuno, é possível especificar, nesta cláusula, rotinas ou diligências mais adequadas ao objeto contratual respectivo. </w:t>
      </w:r>
    </w:p>
  </w:comment>
  <w:comment w:id="190" w:author="Autor" w:initials="A">
    <w:p w14:paraId="255023D4" w14:textId="77777777" w:rsidR="00DA132D" w:rsidRDefault="00840B18">
      <w:pPr>
        <w:pStyle w:val="Textodecomentrio"/>
      </w:pPr>
      <w:r>
        <w:rPr>
          <w:rStyle w:val="Refdecomentrio"/>
        </w:rPr>
        <w:annotationRef/>
      </w:r>
      <w:r w:rsidR="00DA132D">
        <w:rPr>
          <w:b/>
          <w:bCs/>
          <w:i/>
          <w:iCs/>
          <w:color w:val="000000"/>
        </w:rPr>
        <w:t>Nota Explicativa 1</w:t>
      </w:r>
      <w:r w:rsidR="00DA132D">
        <w:rPr>
          <w:i/>
          <w:iCs/>
          <w:color w:val="000000"/>
        </w:rPr>
        <w:t xml:space="preserve">: Recomenda-se avaliar e, se for o caso, incluir disposição sobre transferência internacional de dados, estabelecendo alguma rotina para sua eventual realização. Trata-se de questão específica para contratações que envolvam o tratamento de dados no seu objeto, não sendo medida necessária para contratações em geral. </w:t>
      </w:r>
    </w:p>
    <w:p w14:paraId="136B96D9" w14:textId="77777777" w:rsidR="00DA132D" w:rsidRDefault="00DA132D" w:rsidP="007C4769">
      <w:pPr>
        <w:pStyle w:val="Textodecomentrio"/>
      </w:pPr>
      <w:r>
        <w:rPr>
          <w:b/>
          <w:bCs/>
          <w:i/>
          <w:iCs/>
          <w:color w:val="000000"/>
        </w:rPr>
        <w:t>Nota explicativa 2:</w:t>
      </w:r>
      <w:r>
        <w:rPr>
          <w:i/>
          <w:iCs/>
          <w:color w:val="000000"/>
        </w:rPr>
        <w:t xml:space="preserve"> Todas as disposições da presente cláusula são meramente indicativas. Pode ser necessário que se suprimam algumas das obrigações ou se arrolem outras, conforme as peculiaridades do órgão e as especificações do serviço a ser executado.</w:t>
      </w:r>
    </w:p>
  </w:comment>
  <w:comment w:id="191" w:author="Autor" w:initials="A">
    <w:p w14:paraId="2186C49F" w14:textId="77777777" w:rsidR="002249FB" w:rsidRDefault="00840B18" w:rsidP="007C4769">
      <w:pPr>
        <w:pStyle w:val="Textodecomentrio"/>
      </w:pPr>
      <w:r>
        <w:rPr>
          <w:rStyle w:val="Refdecomentrio"/>
        </w:rPr>
        <w:annotationRef/>
      </w:r>
      <w:r w:rsidR="002249FB">
        <w:rPr>
          <w:b/>
          <w:bCs/>
          <w:i/>
          <w:iCs/>
          <w:color w:val="000000"/>
        </w:rPr>
        <w:t xml:space="preserve">Nota Explicativa: </w:t>
      </w:r>
      <w:r w:rsidR="002249FB">
        <w:rPr>
          <w:i/>
          <w:iCs/>
          <w:color w:val="000000"/>
        </w:rPr>
        <w:t xml:space="preserve">Use a redação abaixo para </w:t>
      </w:r>
      <w:r w:rsidR="002249FB">
        <w:rPr>
          <w:b/>
          <w:bCs/>
          <w:i/>
          <w:iCs/>
          <w:color w:val="000000"/>
        </w:rPr>
        <w:t xml:space="preserve">contratações de serviços não contínuos ou por escopo, </w:t>
      </w:r>
      <w:r w:rsidR="002249FB">
        <w:rPr>
          <w:i/>
          <w:iCs/>
          <w:color w:val="000000"/>
        </w:rPr>
        <w:t>conforme a definição do</w:t>
      </w:r>
      <w:r w:rsidR="002249FB">
        <w:rPr>
          <w:b/>
          <w:bCs/>
          <w:i/>
          <w:iCs/>
          <w:color w:val="000000"/>
        </w:rPr>
        <w:t xml:space="preserve"> </w:t>
      </w:r>
      <w:r w:rsidR="002249FB">
        <w:rPr>
          <w:i/>
          <w:iCs/>
          <w:color w:val="000000"/>
        </w:rPr>
        <w:t>art. 6º, XVII, da Lei n.º 14.133, de 2021.</w:t>
      </w:r>
    </w:p>
  </w:comment>
  <w:comment w:id="192" w:author="Autor" w:initials="A">
    <w:p w14:paraId="4A31CDAB" w14:textId="0097D524" w:rsidR="002249FB" w:rsidRDefault="00840B18" w:rsidP="007C4769">
      <w:pPr>
        <w:pStyle w:val="Textodecomentrio"/>
      </w:pPr>
      <w:r>
        <w:rPr>
          <w:rStyle w:val="Refdecomentrio"/>
        </w:rPr>
        <w:annotationRef/>
      </w:r>
      <w:r w:rsidR="002249FB">
        <w:rPr>
          <w:b/>
          <w:bCs/>
          <w:i/>
          <w:iCs/>
          <w:color w:val="000000"/>
        </w:rPr>
        <w:t>Nota Explicativa:</w:t>
      </w:r>
      <w:r w:rsidR="002249FB">
        <w:rPr>
          <w:i/>
          <w:iCs/>
          <w:color w:val="000000"/>
        </w:rPr>
        <w:t xml:space="preserve"> Use a redação destes itens  para contratações de serviços contínuos e de aluguel de equipamentos e à utilização de programas de informática (</w:t>
      </w:r>
      <w:hyperlink r:id="rId127" w:anchor="art106" w:history="1">
        <w:r w:rsidR="002249FB" w:rsidRPr="00E07D73">
          <w:rPr>
            <w:rStyle w:val="Hyperlink"/>
            <w:i/>
            <w:iCs/>
          </w:rPr>
          <w:t>art. 106. NLLC</w:t>
        </w:r>
      </w:hyperlink>
      <w:r w:rsidR="002249FB">
        <w:rPr>
          <w:i/>
          <w:iCs/>
          <w:color w:val="000000"/>
        </w:rPr>
        <w:t>)</w:t>
      </w:r>
    </w:p>
  </w:comment>
  <w:comment w:id="193" w:author="Autor" w:initials="A">
    <w:p w14:paraId="10695151" w14:textId="77777777" w:rsidR="00BA423A" w:rsidRDefault="00747886" w:rsidP="00BA423A">
      <w:pPr>
        <w:pStyle w:val="Textodecomentrio"/>
      </w:pPr>
      <w:r>
        <w:rPr>
          <w:rStyle w:val="Refdecomentrio"/>
        </w:rPr>
        <w:annotationRef/>
      </w:r>
      <w:r w:rsidR="00BA423A">
        <w:rPr>
          <w:b/>
          <w:bCs/>
          <w:i/>
          <w:iCs/>
        </w:rPr>
        <w:t>Nota Explicativa:</w:t>
      </w:r>
      <w:r w:rsidR="00BA423A">
        <w:rPr>
          <w:i/>
          <w:iCs/>
        </w:rPr>
        <w:t xml:space="preserve"> A sistemática desses itens decorre do que dispõe o art. 106, III e §1º, da Lei nº 14.133/21, com a interpretação conferida pela Orientação Normativa AGU nº 98, de 8 de agosto de 2025, segundo a qual: </w:t>
      </w:r>
    </w:p>
    <w:p w14:paraId="3361536A" w14:textId="77777777" w:rsidR="00BA423A" w:rsidRDefault="00BA423A" w:rsidP="00BA423A">
      <w:pPr>
        <w:pStyle w:val="Textodecomentrio"/>
      </w:pPr>
    </w:p>
    <w:p w14:paraId="37C9CBD2" w14:textId="77777777" w:rsidR="00BA423A" w:rsidRDefault="00BA423A" w:rsidP="00BA423A">
      <w:pPr>
        <w:pStyle w:val="Textodecomentrio"/>
      </w:pPr>
      <w:r>
        <w:rPr>
          <w:i/>
          <w:iCs/>
        </w:rPr>
        <w:t>“Enunciado: I - A extinção antecipada do contrato de execução contínua com fundamento na ausência de créditos orçamentários ou na perda de vantagem contratual poderá se dar com ônus ou sem ônus para a Administração Pública.</w:t>
      </w:r>
    </w:p>
    <w:p w14:paraId="539D079C" w14:textId="77777777" w:rsidR="00BA423A" w:rsidRDefault="00BA423A" w:rsidP="00BA423A">
      <w:pPr>
        <w:pStyle w:val="Textodecomentrio"/>
      </w:pPr>
      <w:r>
        <w:rPr>
          <w:i/>
          <w:iCs/>
        </w:rPr>
        <w:t>II - A extinção antecipada do contrato de execução contínua nestas hipóteses, deverá ser justificada formalmente pela Administração Pública, observada as seguintes balizas:</w:t>
      </w:r>
    </w:p>
    <w:p w14:paraId="4A39E116" w14:textId="77777777" w:rsidR="00BA423A" w:rsidRDefault="00BA423A" w:rsidP="00BA423A">
      <w:pPr>
        <w:pStyle w:val="Textodecomentrio"/>
      </w:pPr>
      <w:r>
        <w:rPr>
          <w:i/>
          <w:iCs/>
        </w:rPr>
        <w:t>a) a justificativa deve ser fundamentada na ausência de créditos orçamentários ou na perda de vantagem contratual, conforme art. 106, III da Lei nº 14.133/2021;</w:t>
      </w:r>
    </w:p>
    <w:p w14:paraId="297CD4AC" w14:textId="77777777" w:rsidR="00BA423A" w:rsidRDefault="00BA423A" w:rsidP="00BA423A">
      <w:pPr>
        <w:pStyle w:val="Textodecomentrio"/>
      </w:pPr>
      <w:r>
        <w:rPr>
          <w:i/>
          <w:iCs/>
        </w:rPr>
        <w:t>b) a justificativa deve apresentar elementos objetivos e documentados que comprovem a ausência de recursos ou a perda da vantagem contratual.</w:t>
      </w:r>
    </w:p>
    <w:p w14:paraId="34F78F7F" w14:textId="77777777" w:rsidR="00BA423A" w:rsidRDefault="00BA423A" w:rsidP="00BA423A">
      <w:pPr>
        <w:pStyle w:val="Textodecomentrio"/>
      </w:pPr>
      <w:r>
        <w:rPr>
          <w:i/>
          <w:iCs/>
        </w:rPr>
        <w:t>III - A extinção antecipada do contrato de execução contínua sem ônus, prevista no art. 106, III c/c art. 106, §1º, ambos da Lei nº 14.133/2021, ocorrerá na próxima data de aniversário do contrato, garantido um prazo mínimo de dois meses para ciência do contratado, devendo ser observada a regra do art. 183 da Lei nº 14.133/2021 para a contagem destes prazos.</w:t>
      </w:r>
    </w:p>
    <w:p w14:paraId="1848B9C8" w14:textId="77777777" w:rsidR="00BA423A" w:rsidRDefault="00BA423A" w:rsidP="00BA423A">
      <w:pPr>
        <w:pStyle w:val="Textodecomentrio"/>
      </w:pPr>
      <w:r>
        <w:rPr>
          <w:i/>
          <w:iCs/>
        </w:rPr>
        <w:t xml:space="preserve">IV - A regra do artigo 106, § 1º da Lei 14.133/2021 não é inconstitucional e não obriga a Administração a manter contratos sem crédito orçamentário, pois não impede a Administração Pública de rescindir o contrato, apenas impõe um limite temporal para que a extinção ocorra sem ônus.”. </w:t>
      </w:r>
    </w:p>
    <w:p w14:paraId="390BDB70" w14:textId="77777777" w:rsidR="00BA423A" w:rsidRDefault="00BA423A" w:rsidP="00BA423A">
      <w:pPr>
        <w:pStyle w:val="Textodecomentrio"/>
      </w:pPr>
      <w:r>
        <w:rPr>
          <w:i/>
          <w:iCs/>
        </w:rPr>
        <w:t>V - A Administração Pública pode renunciar à prerrogativa de extinção antecipada do contrato de execução contínua sem ônus prevista no art. 106, III da Lei nº 14.133/2021, desde que expressamente prevista no edital e no contrato e que conste no processo administrativo justificativa fundamentada no interesse público e na vantajosidade econômica.</w:t>
      </w:r>
    </w:p>
    <w:p w14:paraId="16EE30DB" w14:textId="77777777" w:rsidR="00BA423A" w:rsidRDefault="00BA423A" w:rsidP="00BA423A">
      <w:pPr>
        <w:pStyle w:val="Textodecomentrio"/>
      </w:pPr>
      <w:r>
        <w:rPr>
          <w:i/>
          <w:iCs/>
        </w:rPr>
        <w:t>VI - A Administração Pública pode extinguir o contrato de execução contínua com fundamento na ausência de créditos orçamentários ou na perda de vantagem contratual antes da data de aniversário do contrato, desde que ocorra com ônus para Administração, conforme previsto no art. 138, §2º da Lei nº 14.133/2021.”</w:t>
      </w:r>
    </w:p>
    <w:p w14:paraId="4AD4FAE1" w14:textId="77777777" w:rsidR="00BA423A" w:rsidRDefault="00BA423A" w:rsidP="00BA423A">
      <w:pPr>
        <w:pStyle w:val="Textodecomentrio"/>
      </w:pPr>
    </w:p>
    <w:p w14:paraId="67A961DA" w14:textId="77777777" w:rsidR="00BA423A" w:rsidRDefault="00BA423A" w:rsidP="00BA423A">
      <w:pPr>
        <w:pStyle w:val="Textodecomentrio"/>
      </w:pPr>
      <w:r>
        <w:rPr>
          <w:i/>
          <w:iCs/>
        </w:rPr>
        <w:t xml:space="preserve">Para a compreensão do entendimento adotado, vale trazer um exemplo: </w:t>
      </w:r>
    </w:p>
    <w:p w14:paraId="681BD969" w14:textId="77777777" w:rsidR="00BA423A" w:rsidRDefault="00BA423A" w:rsidP="00BA423A">
      <w:pPr>
        <w:pStyle w:val="Textodecomentrio"/>
      </w:pPr>
      <w:r>
        <w:rPr>
          <w:i/>
          <w:iCs/>
        </w:rPr>
        <w:t xml:space="preserve">Um contrato firmado em 20 de maio de 2025 fará aniversário no dia 20 de maio dos anos subsequentes. Supondo-se que se chegue à conclusão pela descontinuidade do contrato, seja por razões orçamentárias, seja por ausência de vantagem na permanência, constatam-se as seguintes possibilidades: </w:t>
      </w:r>
    </w:p>
    <w:p w14:paraId="0F707C98" w14:textId="77777777" w:rsidR="00BA423A" w:rsidRDefault="00BA423A" w:rsidP="00BA423A">
      <w:pPr>
        <w:pStyle w:val="Textodecomentrio"/>
      </w:pPr>
    </w:p>
    <w:p w14:paraId="696898D3" w14:textId="77777777" w:rsidR="00BA423A" w:rsidRDefault="00BA423A" w:rsidP="00BA423A">
      <w:pPr>
        <w:pStyle w:val="Textodecomentrio"/>
      </w:pPr>
      <w:r>
        <w:rPr>
          <w:i/>
          <w:iCs/>
        </w:rPr>
        <w:t>1) Se a comunicação ao contratado noticiando a extinção ocorrer até 20 de março de 2026 (dois meses antes da data de aniversário), a extinção poderá ocorrer na data de aniversário, ou seja, 20 de maio de 2026, sem ônus para a Administração;</w:t>
      </w:r>
    </w:p>
    <w:p w14:paraId="6CBBCD09" w14:textId="77777777" w:rsidR="00BA423A" w:rsidRDefault="00BA423A" w:rsidP="00BA423A">
      <w:pPr>
        <w:pStyle w:val="Textodecomentrio"/>
      </w:pPr>
    </w:p>
    <w:p w14:paraId="7BB5D22B" w14:textId="77777777" w:rsidR="00BA423A" w:rsidRDefault="00BA423A" w:rsidP="00BA423A">
      <w:pPr>
        <w:pStyle w:val="Textodecomentrio"/>
      </w:pPr>
      <w:r>
        <w:rPr>
          <w:i/>
          <w:iCs/>
        </w:rPr>
        <w:t xml:space="preserve">2) Se a comunicação se der entre 20 de março e 20 de maio de 2026 (menos de dois meses), ainda será possível a extinção antecipada do contrato, porém com ônus para a Administração contratante, já que não foi respeitada a condição temporal à extinção do contrato sem ônus, estabelecida no § 1 º do art. 106 da Lei n.º 14.133/2021; </w:t>
      </w:r>
    </w:p>
    <w:p w14:paraId="094CBE3A" w14:textId="77777777" w:rsidR="00BA423A" w:rsidRDefault="00BA423A" w:rsidP="00BA423A">
      <w:pPr>
        <w:pStyle w:val="Textodecomentrio"/>
      </w:pPr>
      <w:r>
        <w:rPr>
          <w:i/>
          <w:iCs/>
        </w:rPr>
        <w:t>3</w:t>
      </w:r>
    </w:p>
    <w:p w14:paraId="73E60626" w14:textId="77777777" w:rsidR="00BA423A" w:rsidRDefault="00BA423A" w:rsidP="00BA423A">
      <w:pPr>
        <w:pStyle w:val="Textodecomentrio"/>
      </w:pPr>
      <w:r>
        <w:rPr>
          <w:i/>
          <w:iCs/>
        </w:rPr>
        <w:t xml:space="preserve">) Uma vez ultrapassada a data de aniversário (20 de maio de 2026), caso se constate, posteriormente (ex: em janeiro de 2027), a ausência de créditos orçamentários ou a perda de vantagem contratual, a Administração poderá extinguir o contrato de imediato, sem ter que aguardar a próxima data de aniversário (20 de maio de 2027), porém deverá indenizar o contratado, arcando com prejuízos regulamente comprovados, custo de desmobilização, devolução de garantia etc. </w:t>
      </w:r>
    </w:p>
  </w:comment>
  <w:comment w:id="195" w:author="Autor" w:initials="A">
    <w:p w14:paraId="5606F729" w14:textId="53FBE8EA" w:rsidR="002F6A2D" w:rsidRDefault="000364E6" w:rsidP="002F6A2D">
      <w:pPr>
        <w:pStyle w:val="Textodecomentrio"/>
      </w:pPr>
      <w:r>
        <w:rPr>
          <w:rStyle w:val="Refdecomentrio"/>
        </w:rPr>
        <w:annotationRef/>
      </w:r>
      <w:r w:rsidR="002F6A2D">
        <w:rPr>
          <w:b/>
          <w:bCs/>
          <w:i/>
          <w:iCs/>
          <w:color w:val="000000"/>
        </w:rPr>
        <w:t xml:space="preserve">Nota Explicativa: </w:t>
      </w:r>
      <w:r w:rsidR="002F6A2D">
        <w:rPr>
          <w:i/>
          <w:iCs/>
          <w:color w:val="000000"/>
        </w:rPr>
        <w:t>Use a redação do item 12.4 para contratos decorrentes da</w:t>
      </w:r>
      <w:r w:rsidR="002F6A2D">
        <w:rPr>
          <w:b/>
          <w:bCs/>
          <w:i/>
          <w:iCs/>
          <w:color w:val="000000"/>
        </w:rPr>
        <w:t xml:space="preserve"> hipótese de dispensa de licitação prevista no art. 75, inciso VIII, da Lei n° 14.133/2021</w:t>
      </w:r>
      <w:r w:rsidR="002F6A2D">
        <w:rPr>
          <w:i/>
          <w:iCs/>
          <w:color w:val="000000"/>
        </w:rPr>
        <w:t>.</w:t>
      </w:r>
    </w:p>
  </w:comment>
  <w:comment w:id="196" w:author="Autor" w:initials="A">
    <w:p w14:paraId="7EC39724" w14:textId="0350E26D" w:rsidR="00840B18" w:rsidRDefault="00840B18" w:rsidP="00840B18">
      <w:pPr>
        <w:pStyle w:val="Textodecomentrio"/>
      </w:pPr>
      <w:r>
        <w:rPr>
          <w:rStyle w:val="Refdecomentrio"/>
        </w:rPr>
        <w:annotationRef/>
      </w:r>
      <w:r>
        <w:rPr>
          <w:b/>
          <w:bCs/>
          <w:i/>
          <w:iCs/>
          <w:color w:val="000000"/>
        </w:rPr>
        <w:t>Nota explicativa:</w:t>
      </w:r>
      <w:r>
        <w:rPr>
          <w:i/>
          <w:iCs/>
          <w:color w:val="000000"/>
        </w:rPr>
        <w:t xml:space="preserve"> No Acórdão n.º 2569/2018 – Plenário, o TCU concluiu que “A Administração Pública pode invocar </w:t>
      </w:r>
      <w:hyperlink r:id="rId128" w:history="1">
        <w:r w:rsidRPr="00250193">
          <w:rPr>
            <w:rStyle w:val="Hyperlink"/>
            <w:i/>
            <w:iCs/>
          </w:rPr>
          <w:t>a Lei 8.078/1990 (CDC</w:t>
        </w:r>
      </w:hyperlink>
      <w:r>
        <w:rPr>
          <w:i/>
          <w:iCs/>
          <w:color w:val="000000"/>
        </w:rPr>
        <w:t xml:space="preserve">), na condição de destinatária final de bens e serviços, quando suas prerrogativas estabelecidas na legislação de licitações e contratos forem insuficientes para garantir a proteção mínima dos interesses da sociedade [...]”. (cf. Boletim de Jurisprudência n.º 244, sessões 6 e 7 de novembro de 2018). Consta do referido Acórdão, nesse sentido, que: </w:t>
      </w:r>
    </w:p>
    <w:p w14:paraId="308A32A5" w14:textId="77777777" w:rsidR="00840B18" w:rsidRDefault="00840B18" w:rsidP="00840B18">
      <w:pPr>
        <w:pStyle w:val="Textodecomentrio"/>
      </w:pPr>
      <w:r>
        <w:rPr>
          <w:i/>
          <w:iCs/>
          <w:color w:val="000000"/>
        </w:rPr>
        <w:t xml:space="preserve">“307. Como é exposto no exame técnico transcrito no relatório do TC-016.501/2003-0, acolhido integralmente pelo Relator do Acórdão 1.670/2003-Plenário, Ministro-Substituto Lincoln Magalhães da Rocha, a </w:t>
      </w:r>
      <w:hyperlink r:id="rId129" w:history="1">
        <w:r w:rsidRPr="00250193">
          <w:rPr>
            <w:rStyle w:val="Hyperlink"/>
            <w:i/>
            <w:iCs/>
          </w:rPr>
          <w:t>Lei 8.078/1990</w:t>
        </w:r>
      </w:hyperlink>
      <w:r>
        <w:rPr>
          <w:i/>
          <w:iCs/>
          <w:color w:val="000000"/>
        </w:rPr>
        <w:t xml:space="preserve"> é aplicável à Administração Pública enquanto consumidora de bens e serviços. Isso porque ao definir, em seu art. 2º, ’consumidor’ como toda pessoa física ou jurídica que adquire ou utiliza produto ou serviço como destinatário final, a Lei não fez nenhuma exceção, podendo, portanto, a Administração Pública se utilizar de todos os direitos ali estabelecidos na condição de consumidora. Ainda de acordo com o citado relatório, esse é o entendimento dos doutrinadores Leon Fredja, Celso Bastos e Toshio Mukai. Diversas outras deliberações do TCU também vão nesse sentido, como o Acórdão 1.729/2008-TCU-Plenário, de relatoria do Ministro Valmir Campelo, o Acórdão 5.736/2011-TCU-Primeira Câmara, de relatoria do Ministro-Substituto Weder de Oliveira, e as Decisões 634/1996 e 1.045/2000, ambas do Plenário, de relatoria dos ministros Homero Santos e Adylson Motta, respectivamente.”</w:t>
      </w:r>
    </w:p>
  </w:comment>
  <w:comment w:id="197" w:author="Autor" w:initials="A">
    <w:p w14:paraId="30CA6B88" w14:textId="77777777" w:rsidR="00C41F47" w:rsidRDefault="00B07CC6" w:rsidP="00C41F47">
      <w:pPr>
        <w:pStyle w:val="Textodecomentrio"/>
      </w:pPr>
      <w:r>
        <w:rPr>
          <w:rStyle w:val="Refdecomentrio"/>
        </w:rPr>
        <w:annotationRef/>
      </w:r>
      <w:r w:rsidR="00C41F47">
        <w:rPr>
          <w:b/>
          <w:bCs/>
          <w:i/>
          <w:iCs/>
        </w:rPr>
        <w:t>Nota Explicativa:</w:t>
      </w:r>
      <w:r w:rsidR="00C41F47">
        <w:t xml:space="preserve"> </w:t>
      </w:r>
      <w:r w:rsidR="00C41F47">
        <w:rPr>
          <w:i/>
          <w:iCs/>
        </w:rPr>
        <w:t xml:space="preserve">A Consultoria-Geral da União, por meio do PARECER n. 00061/2024/DECOR/CGU/AGU (NUP: 00688.001623/2024-01), uniformizou o entendimento de que é possível a supressão do objeto do contrato administrativo em percentual superior a 25% (art. 125 da Lei 14.133/2021), mediante acordo entre as partes, nos seguintes termos: </w:t>
      </w:r>
    </w:p>
    <w:p w14:paraId="608C0C02" w14:textId="77777777" w:rsidR="00C41F47" w:rsidRDefault="00C41F47" w:rsidP="00C41F47">
      <w:pPr>
        <w:pStyle w:val="Textodecomentrio"/>
      </w:pPr>
      <w:r>
        <w:rPr>
          <w:i/>
          <w:iCs/>
        </w:rPr>
        <w:t> </w:t>
      </w:r>
    </w:p>
    <w:p w14:paraId="77B58D21" w14:textId="77777777" w:rsidR="00C41F47" w:rsidRDefault="00C41F47" w:rsidP="00C41F47">
      <w:pPr>
        <w:pStyle w:val="Textodecomentrio"/>
      </w:pPr>
      <w:r>
        <w:rPr>
          <w:i/>
          <w:iCs/>
        </w:rPr>
        <w:t xml:space="preserve">"36. Diante de tudo quanto exposto, conclui-se ser possível a </w:t>
      </w:r>
      <w:r>
        <w:rPr>
          <w:b/>
          <w:bCs/>
          <w:i/>
          <w:iCs/>
        </w:rPr>
        <w:t>supressão</w:t>
      </w:r>
      <w:r>
        <w:rPr>
          <w:i/>
          <w:iCs/>
        </w:rPr>
        <w:t xml:space="preserve"> </w:t>
      </w:r>
      <w:r>
        <w:rPr>
          <w:b/>
          <w:bCs/>
          <w:i/>
          <w:iCs/>
        </w:rPr>
        <w:t xml:space="preserve">parcial consensual de contrato administrativo em percentual superior àqueles estabelecidos pelo art. 125 da Lei 14.133/2021. </w:t>
      </w:r>
    </w:p>
    <w:p w14:paraId="0AF4141E" w14:textId="77777777" w:rsidR="00C41F47" w:rsidRDefault="00C41F47" w:rsidP="00C41F47">
      <w:pPr>
        <w:pStyle w:val="Textodecomentrio"/>
      </w:pPr>
      <w:r>
        <w:rPr>
          <w:i/>
          <w:iCs/>
        </w:rPr>
        <w:t>37. Tal supressão parcial consensual do contrato administrativo deve respeitar os princípios enunciados no art. 5º da Lei 14.133/2021; deve ser adequadamente fundamentada; e pode ensejar a responsabilização de servidor por falha do projeto.</w:t>
      </w:r>
    </w:p>
    <w:p w14:paraId="0E01C2BD" w14:textId="77777777" w:rsidR="00C41F47" w:rsidRDefault="00C41F47" w:rsidP="00C41F47">
      <w:pPr>
        <w:pStyle w:val="Textodecomentrio"/>
      </w:pPr>
      <w:r>
        <w:rPr>
          <w:i/>
          <w:iCs/>
        </w:rPr>
        <w:t>38. Sugere-se, ainda, veicular, no edital da licitação, a possibilidade de supressão do contrato administrativo de maneira consensual em percentual superior ao estabelecido no art. 125 da Lei 14.133/2021."</w:t>
      </w:r>
    </w:p>
  </w:comment>
  <w:comment w:id="198" w:author="Autor" w:initials="A">
    <w:p w14:paraId="25D8B60A" w14:textId="77777777" w:rsidR="00C41F47" w:rsidRDefault="00F62745" w:rsidP="00C41F47">
      <w:pPr>
        <w:pStyle w:val="Textodecomentrio"/>
      </w:pPr>
      <w:r>
        <w:rPr>
          <w:rStyle w:val="Refdecomentrio"/>
        </w:rPr>
        <w:annotationRef/>
      </w:r>
      <w:r w:rsidR="00C41F47">
        <w:rPr>
          <w:b/>
          <w:bCs/>
          <w:i/>
          <w:iCs/>
        </w:rPr>
        <w:t>Nota explicativa</w:t>
      </w:r>
      <w:r w:rsidR="00C41F47">
        <w:rPr>
          <w:i/>
          <w:iCs/>
        </w:rPr>
        <w:t xml:space="preserve">: O presente anexo deverá ser adotado para colher a concordância do contratado com as regras e obrigações da contratação previstas no Termo de Referência e em seu anexo, </w:t>
      </w:r>
      <w:r w:rsidR="00C41F47">
        <w:rPr>
          <w:b/>
          <w:bCs/>
          <w:i/>
          <w:iCs/>
        </w:rPr>
        <w:t>em caso de substituição do termo de contrato por instrumento equivalente</w:t>
      </w:r>
      <w:r w:rsidR="00C41F47">
        <w:rPr>
          <w:i/>
          <w:iCs/>
        </w:rPr>
        <w:t xml:space="preserve">, na forma do art. 95, incisos I e II, da Lei n.º 14.133, de 2021, com a interpretação conferida pela Orientação Normativa AGU n.º 84, de 2024.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825049" w15:done="0"/>
  <w15:commentEx w15:paraId="7BE42B47" w15:done="0"/>
  <w15:commentEx w15:paraId="71A519FE" w15:done="0"/>
  <w15:commentEx w15:paraId="7E20F313" w15:done="0"/>
  <w15:commentEx w15:paraId="57B22B4D" w15:done="0"/>
  <w15:commentEx w15:paraId="7B9761E0" w15:done="0"/>
  <w15:commentEx w15:paraId="37F65C2E" w15:done="0"/>
  <w15:commentEx w15:paraId="08204BAB" w15:done="0"/>
  <w15:commentEx w15:paraId="7CF45C2A" w15:done="0"/>
  <w15:commentEx w15:paraId="407EB1D8" w15:done="0"/>
  <w15:commentEx w15:paraId="59FB2C1F" w15:done="0"/>
  <w15:commentEx w15:paraId="6A91318A" w15:done="0"/>
  <w15:commentEx w15:paraId="1BBB19A5" w15:done="0"/>
  <w15:commentEx w15:paraId="013B4508" w15:done="0"/>
  <w15:commentEx w15:paraId="25037EB8" w15:done="0"/>
  <w15:commentEx w15:paraId="0AABCF02" w15:done="0"/>
  <w15:commentEx w15:paraId="1F061426" w15:done="0"/>
  <w15:commentEx w15:paraId="1A6F9AC9" w15:done="0"/>
  <w15:commentEx w15:paraId="12FF3113" w15:done="0"/>
  <w15:commentEx w15:paraId="21CC0E39" w15:done="0"/>
  <w15:commentEx w15:paraId="21E77BCC" w15:done="0"/>
  <w15:commentEx w15:paraId="1351BBDE" w15:done="0"/>
  <w15:commentEx w15:paraId="3525178D" w15:done="0"/>
  <w15:commentEx w15:paraId="3783CA1E" w15:done="0"/>
  <w15:commentEx w15:paraId="62ACE3FE" w15:done="0"/>
  <w15:commentEx w15:paraId="26B86719" w15:done="0"/>
  <w15:commentEx w15:paraId="045E5DF7" w15:done="0"/>
  <w15:commentEx w15:paraId="68A85660" w15:done="0"/>
  <w15:commentEx w15:paraId="609DB86A" w15:done="0"/>
  <w15:commentEx w15:paraId="1F886496" w15:done="0"/>
  <w15:commentEx w15:paraId="2F25B972" w15:done="0"/>
  <w15:commentEx w15:paraId="07186567" w15:done="0"/>
  <w15:commentEx w15:paraId="3CBEC635" w15:done="0"/>
  <w15:commentEx w15:paraId="5B45150B" w15:done="0"/>
  <w15:commentEx w15:paraId="64844ECC" w15:done="0"/>
  <w15:commentEx w15:paraId="2E181AA0" w15:done="0"/>
  <w15:commentEx w15:paraId="6DC23BEC" w15:done="0"/>
  <w15:commentEx w15:paraId="4F81B7BB" w15:done="0"/>
  <w15:commentEx w15:paraId="3E726975" w15:done="0"/>
  <w15:commentEx w15:paraId="46449641" w15:done="0"/>
  <w15:commentEx w15:paraId="504512E7" w15:done="0"/>
  <w15:commentEx w15:paraId="255AA874" w15:done="0"/>
  <w15:commentEx w15:paraId="3953E4FD" w15:done="0"/>
  <w15:commentEx w15:paraId="4FE4E736" w15:done="0"/>
  <w15:commentEx w15:paraId="53A93AEB" w15:done="0"/>
  <w15:commentEx w15:paraId="04744DC5" w15:done="0"/>
  <w15:commentEx w15:paraId="4281B798" w15:done="0"/>
  <w15:commentEx w15:paraId="18FF8E6C" w15:done="0"/>
  <w15:commentEx w15:paraId="079C8955" w15:done="0"/>
  <w15:commentEx w15:paraId="4123023B" w15:done="0"/>
  <w15:commentEx w15:paraId="77A4D8EB" w15:done="0"/>
  <w15:commentEx w15:paraId="1926D062" w15:done="0"/>
  <w15:commentEx w15:paraId="3117378D" w15:done="0"/>
  <w15:commentEx w15:paraId="4424375D" w15:done="0"/>
  <w15:commentEx w15:paraId="4673EE9A" w15:done="0"/>
  <w15:commentEx w15:paraId="5B5FAE8B" w15:done="0"/>
  <w15:commentEx w15:paraId="0E1F1A6F" w15:done="0"/>
  <w15:commentEx w15:paraId="6AE50C7A" w15:done="0"/>
  <w15:commentEx w15:paraId="6EC4B2A4" w15:done="0"/>
  <w15:commentEx w15:paraId="7D017D01" w15:done="0"/>
  <w15:commentEx w15:paraId="0E74CF80" w15:done="0"/>
  <w15:commentEx w15:paraId="44043DF5" w15:done="0"/>
  <w15:commentEx w15:paraId="5FA2EF6F" w15:done="0"/>
  <w15:commentEx w15:paraId="590040C9" w15:done="0"/>
  <w15:commentEx w15:paraId="21430259" w15:done="0"/>
  <w15:commentEx w15:paraId="65C498BC" w15:done="0"/>
  <w15:commentEx w15:paraId="27463262" w15:done="0"/>
  <w15:commentEx w15:paraId="1565A6F0" w15:done="0"/>
  <w15:commentEx w15:paraId="0AAF2670" w15:done="0"/>
  <w15:commentEx w15:paraId="7C6255A0" w15:done="0"/>
  <w15:commentEx w15:paraId="637BCB24" w15:done="0"/>
  <w15:commentEx w15:paraId="1F2D1333" w15:done="0"/>
  <w15:commentEx w15:paraId="1F464D51" w15:done="0"/>
  <w15:commentEx w15:paraId="43881559" w15:done="0"/>
  <w15:commentEx w15:paraId="268310B9" w15:done="0"/>
  <w15:commentEx w15:paraId="744FF126" w15:done="0"/>
  <w15:commentEx w15:paraId="0D1171D2" w15:done="0"/>
  <w15:commentEx w15:paraId="729DDEDB" w15:done="0"/>
  <w15:commentEx w15:paraId="500622A4" w15:done="0"/>
  <w15:commentEx w15:paraId="30D9DEA6" w15:done="0"/>
  <w15:commentEx w15:paraId="5D656220" w15:done="0"/>
  <w15:commentEx w15:paraId="6EE0E034" w15:done="0"/>
  <w15:commentEx w15:paraId="1D23759C" w15:done="0"/>
  <w15:commentEx w15:paraId="74A74462" w15:done="0"/>
  <w15:commentEx w15:paraId="1E06FD1E" w15:done="0"/>
  <w15:commentEx w15:paraId="35D6197E" w15:done="0"/>
  <w15:commentEx w15:paraId="719CBC14" w15:done="0"/>
  <w15:commentEx w15:paraId="24E84C25" w15:done="0"/>
  <w15:commentEx w15:paraId="5B30B54A" w15:done="0"/>
  <w15:commentEx w15:paraId="2397DBE8" w15:done="0"/>
  <w15:commentEx w15:paraId="15B02BAF" w15:done="0"/>
  <w15:commentEx w15:paraId="09A5FDC8" w15:done="0"/>
  <w15:commentEx w15:paraId="3AA7694E" w15:done="0"/>
  <w15:commentEx w15:paraId="0D702A3A" w15:done="0"/>
  <w15:commentEx w15:paraId="365CAE6D" w15:done="0"/>
  <w15:commentEx w15:paraId="2991AFAE" w15:done="0"/>
  <w15:commentEx w15:paraId="7334A95E" w15:done="0"/>
  <w15:commentEx w15:paraId="6F187BCD" w15:done="0"/>
  <w15:commentEx w15:paraId="57F2FB3A" w15:done="0"/>
  <w15:commentEx w15:paraId="1AEE877A" w15:done="0"/>
  <w15:commentEx w15:paraId="6B62CDEE" w15:done="0"/>
  <w15:commentEx w15:paraId="65808B25" w15:done="0"/>
  <w15:commentEx w15:paraId="54046BE8" w15:done="0"/>
  <w15:commentEx w15:paraId="359ED848" w15:done="0"/>
  <w15:commentEx w15:paraId="231DEFC3" w15:done="0"/>
  <w15:commentEx w15:paraId="03EBA2F0" w15:done="0"/>
  <w15:commentEx w15:paraId="1AC1D90D" w15:done="0"/>
  <w15:commentEx w15:paraId="7351B2CC" w15:done="0"/>
  <w15:commentEx w15:paraId="647F39C0" w15:done="0"/>
  <w15:commentEx w15:paraId="1FED414F" w15:done="0"/>
  <w15:commentEx w15:paraId="64E4E4BB" w15:done="0"/>
  <w15:commentEx w15:paraId="70DA3E96" w15:done="0"/>
  <w15:commentEx w15:paraId="7C646475" w15:done="0"/>
  <w15:commentEx w15:paraId="01F18801" w15:done="0"/>
  <w15:commentEx w15:paraId="40C34685" w15:done="0"/>
  <w15:commentEx w15:paraId="385A6F13" w15:done="0"/>
  <w15:commentEx w15:paraId="7114B2D0" w15:done="0"/>
  <w15:commentEx w15:paraId="52328B5F" w15:done="0"/>
  <w15:commentEx w15:paraId="14E77C66" w15:done="0"/>
  <w15:commentEx w15:paraId="512C7C92" w15:done="0"/>
  <w15:commentEx w15:paraId="219D1529" w15:done="0"/>
  <w15:commentEx w15:paraId="7D2284A1" w15:done="0"/>
  <w15:commentEx w15:paraId="171E9B82" w15:done="0"/>
  <w15:commentEx w15:paraId="1E34CCB8" w15:done="0"/>
  <w15:commentEx w15:paraId="1B8BBB4F" w15:done="0"/>
  <w15:commentEx w15:paraId="66F3AE0F" w15:done="0"/>
  <w15:commentEx w15:paraId="32127F51" w15:done="0"/>
  <w15:commentEx w15:paraId="25301BB7" w15:done="0"/>
  <w15:commentEx w15:paraId="4BA3CAB0" w15:done="0"/>
  <w15:commentEx w15:paraId="2B29C940" w15:done="0"/>
  <w15:commentEx w15:paraId="4EF82792" w15:done="0"/>
  <w15:commentEx w15:paraId="6505691D" w15:done="0"/>
  <w15:commentEx w15:paraId="467CFF25" w15:done="0"/>
  <w15:commentEx w15:paraId="164578BC" w15:done="0"/>
  <w15:commentEx w15:paraId="06B03827" w15:done="0"/>
  <w15:commentEx w15:paraId="65FDEDE3" w15:done="0"/>
  <w15:commentEx w15:paraId="48FDE6B2" w15:done="0"/>
  <w15:commentEx w15:paraId="1C2AE039" w15:done="0"/>
  <w15:commentEx w15:paraId="1EA2FD52" w15:done="0"/>
  <w15:commentEx w15:paraId="4F2A682D" w15:done="0"/>
  <w15:commentEx w15:paraId="3FCE30E9" w15:done="0"/>
  <w15:commentEx w15:paraId="28EB6249" w15:done="0"/>
  <w15:commentEx w15:paraId="15B6A136" w15:done="0"/>
  <w15:commentEx w15:paraId="24DFE3CF" w15:done="0"/>
  <w15:commentEx w15:paraId="370F0353" w15:done="0"/>
  <w15:commentEx w15:paraId="1011FD66" w15:done="0"/>
  <w15:commentEx w15:paraId="0A743633" w15:done="0"/>
  <w15:commentEx w15:paraId="27500BE2" w15:done="0"/>
  <w15:commentEx w15:paraId="44E4B046" w15:done="0"/>
  <w15:commentEx w15:paraId="24CC4CD4" w15:done="0"/>
  <w15:commentEx w15:paraId="4CAC3443" w15:done="0"/>
  <w15:commentEx w15:paraId="07CAE80A" w15:done="0"/>
  <w15:commentEx w15:paraId="3BFEFB22" w15:done="0"/>
  <w15:commentEx w15:paraId="0E347006" w15:done="0"/>
  <w15:commentEx w15:paraId="7C43CFD8" w15:done="0"/>
  <w15:commentEx w15:paraId="508996FE" w15:done="0"/>
  <w15:commentEx w15:paraId="49725C20" w15:done="0"/>
  <w15:commentEx w15:paraId="4187D2D2" w15:done="0"/>
  <w15:commentEx w15:paraId="12AFAA5E" w15:done="0"/>
  <w15:commentEx w15:paraId="78279716" w15:done="0"/>
  <w15:commentEx w15:paraId="136B96D9" w15:done="0"/>
  <w15:commentEx w15:paraId="2186C49F" w15:done="0"/>
  <w15:commentEx w15:paraId="4A31CDAB" w15:done="0"/>
  <w15:commentEx w15:paraId="73E60626" w15:done="0"/>
  <w15:commentEx w15:paraId="5606F729" w15:done="0"/>
  <w15:commentEx w15:paraId="308A32A5" w15:done="0"/>
  <w15:commentEx w15:paraId="0E01C2BD" w15:done="0"/>
  <w15:commentEx w15:paraId="25D8B60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825049" w16cid:durableId="1E0A5B3F"/>
  <w16cid:commentId w16cid:paraId="7BE42B47" w16cid:durableId="78A64628"/>
  <w16cid:commentId w16cid:paraId="71A519FE" w16cid:durableId="2A378A98"/>
  <w16cid:commentId w16cid:paraId="7E20F313" w16cid:durableId="274DB993"/>
  <w16cid:commentId w16cid:paraId="57B22B4D" w16cid:durableId="79661112"/>
  <w16cid:commentId w16cid:paraId="7B9761E0" w16cid:durableId="274DBA97"/>
  <w16cid:commentId w16cid:paraId="37F65C2E" w16cid:durableId="289960DB"/>
  <w16cid:commentId w16cid:paraId="08204BAB" w16cid:durableId="274DC079"/>
  <w16cid:commentId w16cid:paraId="7CF45C2A" w16cid:durableId="274DCABE"/>
  <w16cid:commentId w16cid:paraId="407EB1D8" w16cid:durableId="274DCEC1"/>
  <w16cid:commentId w16cid:paraId="59FB2C1F" w16cid:durableId="274DD7B7"/>
  <w16cid:commentId w16cid:paraId="6A91318A" w16cid:durableId="274DD9B6"/>
  <w16cid:commentId w16cid:paraId="1BBB19A5" w16cid:durableId="274DDA4C"/>
  <w16cid:commentId w16cid:paraId="013B4508" w16cid:durableId="37399263"/>
  <w16cid:commentId w16cid:paraId="25037EB8" w16cid:durableId="279475BC"/>
  <w16cid:commentId w16cid:paraId="0AABCF02" w16cid:durableId="274C2868"/>
  <w16cid:commentId w16cid:paraId="1F061426" w16cid:durableId="55247AD7"/>
  <w16cid:commentId w16cid:paraId="1A6F9AC9" w16cid:durableId="2B59DBA4"/>
  <w16cid:commentId w16cid:paraId="12FF3113" w16cid:durableId="1520F188"/>
  <w16cid:commentId w16cid:paraId="21CC0E39" w16cid:durableId="1EFAE32A"/>
  <w16cid:commentId w16cid:paraId="21E77BCC" w16cid:durableId="2A36DF5A"/>
  <w16cid:commentId w16cid:paraId="1351BBDE" w16cid:durableId="07297632"/>
  <w16cid:commentId w16cid:paraId="3525178D" w16cid:durableId="3B5A5DC1"/>
  <w16cid:commentId w16cid:paraId="3783CA1E" w16cid:durableId="7E22B411"/>
  <w16cid:commentId w16cid:paraId="62ACE3FE" w16cid:durableId="274DDCEE"/>
  <w16cid:commentId w16cid:paraId="26B86719" w16cid:durableId="274DDD9E"/>
  <w16cid:commentId w16cid:paraId="045E5DF7" w16cid:durableId="2A2FBE87"/>
  <w16cid:commentId w16cid:paraId="68A85660" w16cid:durableId="2A895C97"/>
  <w16cid:commentId w16cid:paraId="609DB86A" w16cid:durableId="414AD358"/>
  <w16cid:commentId w16cid:paraId="1F886496" w16cid:durableId="2B59D5B2"/>
  <w16cid:commentId w16cid:paraId="2F25B972" w16cid:durableId="274DDF21"/>
  <w16cid:commentId w16cid:paraId="07186567" w16cid:durableId="274DDF3E"/>
  <w16cid:commentId w16cid:paraId="3CBEC635" w16cid:durableId="7EB3459C"/>
  <w16cid:commentId w16cid:paraId="5B45150B" w16cid:durableId="274DDF5F"/>
  <w16cid:commentId w16cid:paraId="64844ECC" w16cid:durableId="274DDF73"/>
  <w16cid:commentId w16cid:paraId="2E181AA0" w16cid:durableId="2A7FE574"/>
  <w16cid:commentId w16cid:paraId="6DC23BEC" w16cid:durableId="7D97BB1A"/>
  <w16cid:commentId w16cid:paraId="4F81B7BB" w16cid:durableId="2AF2811D"/>
  <w16cid:commentId w16cid:paraId="3E726975" w16cid:durableId="61D299EF"/>
  <w16cid:commentId w16cid:paraId="46449641" w16cid:durableId="1ACCFC5C"/>
  <w16cid:commentId w16cid:paraId="504512E7" w16cid:durableId="2FAC4E05"/>
  <w16cid:commentId w16cid:paraId="255AA874" w16cid:durableId="601E8969"/>
  <w16cid:commentId w16cid:paraId="3953E4FD" w16cid:durableId="4D8233D8"/>
  <w16cid:commentId w16cid:paraId="4FE4E736" w16cid:durableId="361B0FDB"/>
  <w16cid:commentId w16cid:paraId="53A93AEB" w16cid:durableId="08ADDD00"/>
  <w16cid:commentId w16cid:paraId="04744DC5" w16cid:durableId="70F5FB75"/>
  <w16cid:commentId w16cid:paraId="4281B798" w16cid:durableId="1B9CE17D"/>
  <w16cid:commentId w16cid:paraId="18FF8E6C" w16cid:durableId="274DE11C"/>
  <w16cid:commentId w16cid:paraId="079C8955" w16cid:durableId="2AD382F2"/>
  <w16cid:commentId w16cid:paraId="4123023B" w16cid:durableId="2A2E96CA"/>
  <w16cid:commentId w16cid:paraId="77A4D8EB" w16cid:durableId="674D7DA4"/>
  <w16cid:commentId w16cid:paraId="1926D062" w16cid:durableId="656E6F91"/>
  <w16cid:commentId w16cid:paraId="3117378D" w16cid:durableId="6E02C6F3"/>
  <w16cid:commentId w16cid:paraId="4424375D" w16cid:durableId="27A21B4F"/>
  <w16cid:commentId w16cid:paraId="4673EE9A" w16cid:durableId="32966F76"/>
  <w16cid:commentId w16cid:paraId="5B5FAE8B" w16cid:durableId="4541401F"/>
  <w16cid:commentId w16cid:paraId="0E1F1A6F" w16cid:durableId="33F16E6B"/>
  <w16cid:commentId w16cid:paraId="6AE50C7A" w16cid:durableId="1BD8FB3B"/>
  <w16cid:commentId w16cid:paraId="6EC4B2A4" w16cid:durableId="1B98FA25"/>
  <w16cid:commentId w16cid:paraId="7D017D01" w16cid:durableId="01ECFBBD"/>
  <w16cid:commentId w16cid:paraId="0E74CF80" w16cid:durableId="2D9D2923"/>
  <w16cid:commentId w16cid:paraId="44043DF5" w16cid:durableId="274DE71F"/>
  <w16cid:commentId w16cid:paraId="5FA2EF6F" w16cid:durableId="6BD31FA2"/>
  <w16cid:commentId w16cid:paraId="590040C9" w16cid:durableId="5934D096"/>
  <w16cid:commentId w16cid:paraId="21430259" w16cid:durableId="274DE7D8"/>
  <w16cid:commentId w16cid:paraId="65C498BC" w16cid:durableId="274DE80F"/>
  <w16cid:commentId w16cid:paraId="27463262" w16cid:durableId="274DE987"/>
  <w16cid:commentId w16cid:paraId="1565A6F0" w16cid:durableId="274DE9B8"/>
  <w16cid:commentId w16cid:paraId="0AAF2670" w16cid:durableId="7F719423"/>
  <w16cid:commentId w16cid:paraId="7C6255A0" w16cid:durableId="091277D7"/>
  <w16cid:commentId w16cid:paraId="637BCB24" w16cid:durableId="7722DB1F"/>
  <w16cid:commentId w16cid:paraId="1F2D1333" w16cid:durableId="06B17DA3"/>
  <w16cid:commentId w16cid:paraId="1F464D51" w16cid:durableId="093C7AF7"/>
  <w16cid:commentId w16cid:paraId="43881559" w16cid:durableId="3A97CE69"/>
  <w16cid:commentId w16cid:paraId="268310B9" w16cid:durableId="39ABB989"/>
  <w16cid:commentId w16cid:paraId="744FF126" w16cid:durableId="5600EB02"/>
  <w16cid:commentId w16cid:paraId="0D1171D2" w16cid:durableId="67A38C58"/>
  <w16cid:commentId w16cid:paraId="729DDEDB" w16cid:durableId="19F5D26C"/>
  <w16cid:commentId w16cid:paraId="500622A4" w16cid:durableId="2A364B01"/>
  <w16cid:commentId w16cid:paraId="30D9DEA6" w16cid:durableId="492EFBFA"/>
  <w16cid:commentId w16cid:paraId="5D656220" w16cid:durableId="781634AB"/>
  <w16cid:commentId w16cid:paraId="6EE0E034" w16cid:durableId="17436C93"/>
  <w16cid:commentId w16cid:paraId="1D23759C" w16cid:durableId="2A2D16FE"/>
  <w16cid:commentId w16cid:paraId="74A74462" w16cid:durableId="27580168"/>
  <w16cid:commentId w16cid:paraId="1E06FD1E" w16cid:durableId="13848E57"/>
  <w16cid:commentId w16cid:paraId="35D6197E" w16cid:durableId="1F793AC8"/>
  <w16cid:commentId w16cid:paraId="719CBC14" w16cid:durableId="00A0D88A"/>
  <w16cid:commentId w16cid:paraId="24E84C25" w16cid:durableId="77A3B9FA"/>
  <w16cid:commentId w16cid:paraId="5B30B54A" w16cid:durableId="22E928BB"/>
  <w16cid:commentId w16cid:paraId="2397DBE8" w16cid:durableId="12B5B000"/>
  <w16cid:commentId w16cid:paraId="15B02BAF" w16cid:durableId="2D7AC8C6"/>
  <w16cid:commentId w16cid:paraId="09A5FDC8" w16cid:durableId="7BA67664"/>
  <w16cid:commentId w16cid:paraId="3AA7694E" w16cid:durableId="2A798E38"/>
  <w16cid:commentId w16cid:paraId="0D702A3A" w16cid:durableId="785AE44E"/>
  <w16cid:commentId w16cid:paraId="365CAE6D" w16cid:durableId="2A798F3B"/>
  <w16cid:commentId w16cid:paraId="2991AFAE" w16cid:durableId="2A2EABFA"/>
  <w16cid:commentId w16cid:paraId="7334A95E" w16cid:durableId="2A2F9FA0"/>
  <w16cid:commentId w16cid:paraId="6F187BCD" w16cid:durableId="27584ECA"/>
  <w16cid:commentId w16cid:paraId="57F2FB3A" w16cid:durableId="2A3167D0"/>
  <w16cid:commentId w16cid:paraId="1AEE877A" w16cid:durableId="27585631"/>
  <w16cid:commentId w16cid:paraId="6B62CDEE" w16cid:durableId="2AD38AFB"/>
  <w16cid:commentId w16cid:paraId="65808B25" w16cid:durableId="2B584E84"/>
  <w16cid:commentId w16cid:paraId="54046BE8" w16cid:durableId="659FCC31"/>
  <w16cid:commentId w16cid:paraId="359ED848" w16cid:durableId="274EA336"/>
  <w16cid:commentId w16cid:paraId="231DEFC3" w16cid:durableId="274EACB7"/>
  <w16cid:commentId w16cid:paraId="03EBA2F0" w16cid:durableId="274EADC2"/>
  <w16cid:commentId w16cid:paraId="1AC1D90D" w16cid:durableId="274EB02E"/>
  <w16cid:commentId w16cid:paraId="7351B2CC" w16cid:durableId="274EB08B"/>
  <w16cid:commentId w16cid:paraId="647F39C0" w16cid:durableId="274EB153"/>
  <w16cid:commentId w16cid:paraId="1FED414F" w16cid:durableId="742A0F92"/>
  <w16cid:commentId w16cid:paraId="64E4E4BB" w16cid:durableId="274EB249"/>
  <w16cid:commentId w16cid:paraId="70DA3E96" w16cid:durableId="25B0FCDB"/>
  <w16cid:commentId w16cid:paraId="7C646475" w16cid:durableId="6DC48972"/>
  <w16cid:commentId w16cid:paraId="01F18801" w16cid:durableId="2A2FA506"/>
  <w16cid:commentId w16cid:paraId="40C34685" w16cid:durableId="2A2FACF5"/>
  <w16cid:commentId w16cid:paraId="385A6F13" w16cid:durableId="274EB33E"/>
  <w16cid:commentId w16cid:paraId="7114B2D0" w16cid:durableId="274EB360"/>
  <w16cid:commentId w16cid:paraId="52328B5F" w16cid:durableId="27593CEA"/>
  <w16cid:commentId w16cid:paraId="14E77C66" w16cid:durableId="5C2944BA"/>
  <w16cid:commentId w16cid:paraId="512C7C92" w16cid:durableId="6DE9AA6C"/>
  <w16cid:commentId w16cid:paraId="219D1529" w16cid:durableId="1DB6B869"/>
  <w16cid:commentId w16cid:paraId="7D2284A1" w16cid:durableId="6F00EDD1"/>
  <w16cid:commentId w16cid:paraId="171E9B82" w16cid:durableId="278FC14F"/>
  <w16cid:commentId w16cid:paraId="1E34CCB8" w16cid:durableId="2A31748D"/>
  <w16cid:commentId w16cid:paraId="1B8BBB4F" w16cid:durableId="4A6FFC90"/>
  <w16cid:commentId w16cid:paraId="66F3AE0F" w16cid:durableId="6C4277FA"/>
  <w16cid:commentId w16cid:paraId="32127F51" w16cid:durableId="762E86EF"/>
  <w16cid:commentId w16cid:paraId="25301BB7" w16cid:durableId="2790E6A8"/>
  <w16cid:commentId w16cid:paraId="4BA3CAB0" w16cid:durableId="278FC96D"/>
  <w16cid:commentId w16cid:paraId="2B29C940" w16cid:durableId="274ECA74"/>
  <w16cid:commentId w16cid:paraId="4EF82792" w16cid:durableId="7F4DE7B1"/>
  <w16cid:commentId w16cid:paraId="6505691D" w16cid:durableId="5622228D"/>
  <w16cid:commentId w16cid:paraId="467CFF25" w16cid:durableId="274ECB5D"/>
  <w16cid:commentId w16cid:paraId="164578BC" w16cid:durableId="274ECF29"/>
  <w16cid:commentId w16cid:paraId="06B03827" w16cid:durableId="274ED042"/>
  <w16cid:commentId w16cid:paraId="65FDEDE3" w16cid:durableId="274ED08A"/>
  <w16cid:commentId w16cid:paraId="48FDE6B2" w16cid:durableId="2B5846CC"/>
  <w16cid:commentId w16cid:paraId="1C2AE039" w16cid:durableId="766E235F"/>
  <w16cid:commentId w16cid:paraId="1EA2FD52" w16cid:durableId="274ED16F"/>
  <w16cid:commentId w16cid:paraId="4F2A682D" w16cid:durableId="29A58373"/>
  <w16cid:commentId w16cid:paraId="3FCE30E9" w16cid:durableId="2A325609"/>
  <w16cid:commentId w16cid:paraId="28EB6249" w16cid:durableId="274D7178"/>
  <w16cid:commentId w16cid:paraId="15B6A136" w16cid:durableId="27CEE05D"/>
  <w16cid:commentId w16cid:paraId="24DFE3CF" w16cid:durableId="34021F59"/>
  <w16cid:commentId w16cid:paraId="370F0353" w16cid:durableId="27F5052C"/>
  <w16cid:commentId w16cid:paraId="1011FD66" w16cid:durableId="22B4F930"/>
  <w16cid:commentId w16cid:paraId="0A743633" w16cid:durableId="274C2B93"/>
  <w16cid:commentId w16cid:paraId="27500BE2" w16cid:durableId="274C2C00"/>
  <w16cid:commentId w16cid:paraId="44E4B046" w16cid:durableId="274C2C29"/>
  <w16cid:commentId w16cid:paraId="24CC4CD4" w16cid:durableId="274C2C8F"/>
  <w16cid:commentId w16cid:paraId="4CAC3443" w16cid:durableId="274C2CA0"/>
  <w16cid:commentId w16cid:paraId="07CAE80A" w16cid:durableId="274C370B"/>
  <w16cid:commentId w16cid:paraId="3BFEFB22" w16cid:durableId="2C4FECCA"/>
  <w16cid:commentId w16cid:paraId="0E347006" w16cid:durableId="274C3BFD"/>
  <w16cid:commentId w16cid:paraId="7C43CFD8" w16cid:durableId="274C3CCF"/>
  <w16cid:commentId w16cid:paraId="508996FE" w16cid:durableId="27584389"/>
  <w16cid:commentId w16cid:paraId="49725C20" w16cid:durableId="27584784"/>
  <w16cid:commentId w16cid:paraId="4187D2D2" w16cid:durableId="274C4090"/>
  <w16cid:commentId w16cid:paraId="12AFAA5E" w16cid:durableId="274C423A"/>
  <w16cid:commentId w16cid:paraId="78279716" w16cid:durableId="274C4221"/>
  <w16cid:commentId w16cid:paraId="136B96D9" w16cid:durableId="274C473C"/>
  <w16cid:commentId w16cid:paraId="2186C49F" w16cid:durableId="274C59A1"/>
  <w16cid:commentId w16cid:paraId="4A31CDAB" w16cid:durableId="274DC431"/>
  <w16cid:commentId w16cid:paraId="73E60626" w16cid:durableId="286193B3"/>
  <w16cid:commentId w16cid:paraId="5606F729" w16cid:durableId="27F62EC2"/>
  <w16cid:commentId w16cid:paraId="308A32A5" w16cid:durableId="274C6741"/>
  <w16cid:commentId w16cid:paraId="0E01C2BD" w16cid:durableId="5A4EB915"/>
  <w16cid:commentId w16cid:paraId="25D8B60A" w16cid:durableId="29F9A3C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D59C3" w14:textId="77777777" w:rsidR="009F6E54" w:rsidRDefault="009F6E54">
      <w:r>
        <w:separator/>
      </w:r>
    </w:p>
  </w:endnote>
  <w:endnote w:type="continuationSeparator" w:id="0">
    <w:p w14:paraId="07DFEB5C" w14:textId="77777777" w:rsidR="009F6E54" w:rsidRDefault="009F6E54">
      <w:r>
        <w:continuationSeparator/>
      </w:r>
    </w:p>
  </w:endnote>
  <w:endnote w:type="continuationNotice" w:id="1">
    <w:p w14:paraId="37D52919" w14:textId="77777777" w:rsidR="009F6E54" w:rsidRDefault="009F6E5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 w:name="Ecofont_Spranq_eco_Sans">
    <w:altName w:val="Calibri"/>
    <w:charset w:val="00"/>
    <w:family w:val="swiss"/>
    <w:pitch w:val="variable"/>
    <w:sig w:usb0="800000AF" w:usb1="1000204A"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WenQuanYi Micro Hei">
    <w:panose1 w:val="00000000000000000000"/>
    <w:charset w:val="00"/>
    <w:family w:val="roman"/>
    <w:notTrueType/>
    <w:pitch w:val="default"/>
  </w:font>
  <w:font w:name="Lohit Hindi">
    <w:altName w:val="Cambria"/>
    <w:panose1 w:val="00000000000000000000"/>
    <w:charset w:val="00"/>
    <w:family w:val="roman"/>
    <w:notTrueType/>
    <w:pitch w:val="default"/>
  </w:font>
  <w:font w:name="Liberation Serif">
    <w:altName w:val="Times New Roman"/>
    <w:charset w:val="01"/>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2016111550"/>
      <w:docPartObj>
        <w:docPartGallery w:val="Page Numbers (Bottom of Page)"/>
        <w:docPartUnique/>
      </w:docPartObj>
    </w:sdtPr>
    <w:sdtEndPr>
      <w:rPr>
        <w:sz w:val="12"/>
        <w:szCs w:val="12"/>
      </w:rPr>
    </w:sdtEndPr>
    <w:sdtContent>
      <w:sdt>
        <w:sdtPr>
          <w:id w:val="-385111139"/>
          <w:docPartObj>
            <w:docPartGallery w:val="Page Numbers (Bottom of Page)"/>
            <w:docPartUnique/>
          </w:docPartObj>
        </w:sdtPr>
        <w:sdtEndPr>
          <w:rPr>
            <w:rFonts w:ascii="Arial" w:hAnsi="Arial" w:cs="Arial"/>
            <w:sz w:val="14"/>
            <w:szCs w:val="14"/>
          </w:rPr>
        </w:sdtEndPr>
        <w:sdtContent>
          <w:p w14:paraId="7B3927A3" w14:textId="76B7BF1F" w:rsidR="00816E45" w:rsidRPr="00F60D18" w:rsidRDefault="00816E45" w:rsidP="00816E45">
            <w:pPr>
              <w:pStyle w:val="Rodap"/>
              <w:rPr>
                <w:color w:val="548DD4" w:themeColor="text2" w:themeTint="99"/>
                <w:spacing w:val="60"/>
                <w:sz w:val="16"/>
                <w:szCs w:val="16"/>
              </w:rPr>
            </w:pPr>
            <w:r w:rsidRPr="00F60D18">
              <w:rPr>
                <w:color w:val="548DD4" w:themeColor="text2" w:themeTint="99"/>
                <w:spacing w:val="60"/>
                <w:sz w:val="22"/>
                <w:szCs w:val="22"/>
              </w:rPr>
              <w:tab/>
            </w:r>
            <w:r w:rsidRPr="00F60D18">
              <w:rPr>
                <w:color w:val="548DD4" w:themeColor="text2" w:themeTint="99"/>
                <w:spacing w:val="60"/>
                <w:sz w:val="22"/>
                <w:szCs w:val="22"/>
              </w:rPr>
              <w:tab/>
            </w:r>
          </w:p>
          <w:p w14:paraId="5AB28E73" w14:textId="77777777" w:rsidR="00816E45" w:rsidRPr="00F60D18" w:rsidRDefault="00816E45" w:rsidP="00816E45">
            <w:pPr>
              <w:pStyle w:val="Rodap"/>
              <w:rPr>
                <w:rFonts w:ascii="Arial" w:hAnsi="Arial" w:cs="Arial"/>
                <w:color w:val="7F7F7F" w:themeColor="text1" w:themeTint="80"/>
                <w:sz w:val="18"/>
                <w:szCs w:val="18"/>
              </w:rPr>
            </w:pPr>
            <w:r w:rsidRPr="00F60D18">
              <w:rPr>
                <w:color w:val="7F7F7F" w:themeColor="text1" w:themeTint="80"/>
                <w:spacing w:val="60"/>
                <w:sz w:val="22"/>
                <w:szCs w:val="22"/>
              </w:rPr>
              <w:tab/>
            </w:r>
            <w:r w:rsidRPr="00F60D18">
              <w:rPr>
                <w:color w:val="7F7F7F" w:themeColor="text1" w:themeTint="80"/>
                <w:spacing w:val="60"/>
                <w:sz w:val="22"/>
                <w:szCs w:val="22"/>
              </w:rPr>
              <w:tab/>
            </w:r>
            <w:r w:rsidRPr="00F60D18">
              <w:rPr>
                <w:rFonts w:ascii="Arial" w:hAnsi="Arial" w:cs="Arial"/>
                <w:color w:val="595959" w:themeColor="text1" w:themeTint="A6"/>
                <w:spacing w:val="60"/>
                <w:sz w:val="18"/>
                <w:szCs w:val="18"/>
              </w:rPr>
              <w:t>Página</w:t>
            </w:r>
            <w:r w:rsidRPr="00F60D18">
              <w:rPr>
                <w:rFonts w:ascii="Arial" w:hAnsi="Arial" w:cs="Arial"/>
                <w:color w:val="595959" w:themeColor="text1" w:themeTint="A6"/>
                <w:sz w:val="18"/>
                <w:szCs w:val="18"/>
              </w:rPr>
              <w:t xml:space="preserve"> </w:t>
            </w:r>
            <w:r w:rsidRPr="00F60D18">
              <w:rPr>
                <w:rFonts w:ascii="Arial" w:hAnsi="Arial" w:cs="Arial"/>
                <w:color w:val="595959" w:themeColor="text1" w:themeTint="A6"/>
                <w:sz w:val="18"/>
                <w:szCs w:val="18"/>
              </w:rPr>
              <w:fldChar w:fldCharType="begin"/>
            </w:r>
            <w:r w:rsidRPr="00F60D18">
              <w:rPr>
                <w:rFonts w:ascii="Arial" w:hAnsi="Arial" w:cs="Arial"/>
                <w:color w:val="595959" w:themeColor="text1" w:themeTint="A6"/>
                <w:sz w:val="18"/>
                <w:szCs w:val="18"/>
              </w:rPr>
              <w:instrText>PAGE   \* MERGEFORMAT</w:instrText>
            </w:r>
            <w:r w:rsidRPr="00F60D18">
              <w:rPr>
                <w:rFonts w:ascii="Arial" w:hAnsi="Arial" w:cs="Arial"/>
                <w:color w:val="595959" w:themeColor="text1" w:themeTint="A6"/>
                <w:sz w:val="18"/>
                <w:szCs w:val="18"/>
              </w:rPr>
              <w:fldChar w:fldCharType="separate"/>
            </w:r>
            <w:r w:rsidRPr="00F60D18">
              <w:rPr>
                <w:rFonts w:ascii="Arial" w:hAnsi="Arial" w:cs="Arial"/>
                <w:color w:val="595959" w:themeColor="text1" w:themeTint="A6"/>
                <w:sz w:val="18"/>
                <w:szCs w:val="18"/>
              </w:rPr>
              <w:t>1</w:t>
            </w:r>
            <w:r w:rsidRPr="00F60D18">
              <w:rPr>
                <w:rFonts w:ascii="Arial" w:hAnsi="Arial" w:cs="Arial"/>
                <w:color w:val="595959" w:themeColor="text1" w:themeTint="A6"/>
                <w:sz w:val="18"/>
                <w:szCs w:val="18"/>
              </w:rPr>
              <w:fldChar w:fldCharType="end"/>
            </w:r>
            <w:r w:rsidRPr="00F60D18">
              <w:rPr>
                <w:rFonts w:ascii="Arial" w:hAnsi="Arial" w:cs="Arial"/>
                <w:color w:val="595959" w:themeColor="text1" w:themeTint="A6"/>
                <w:sz w:val="18"/>
                <w:szCs w:val="18"/>
              </w:rPr>
              <w:t xml:space="preserve"> | </w:t>
            </w:r>
            <w:r w:rsidRPr="00F60D18">
              <w:rPr>
                <w:rFonts w:ascii="Arial" w:hAnsi="Arial" w:cs="Arial"/>
                <w:color w:val="595959" w:themeColor="text1" w:themeTint="A6"/>
                <w:sz w:val="18"/>
                <w:szCs w:val="18"/>
              </w:rPr>
              <w:fldChar w:fldCharType="begin"/>
            </w:r>
            <w:r w:rsidRPr="00F60D18">
              <w:rPr>
                <w:rFonts w:ascii="Arial" w:hAnsi="Arial" w:cs="Arial"/>
                <w:color w:val="595959" w:themeColor="text1" w:themeTint="A6"/>
                <w:sz w:val="18"/>
                <w:szCs w:val="18"/>
              </w:rPr>
              <w:instrText>NUMPAGES  \* Arabic  \* MERGEFORMAT</w:instrText>
            </w:r>
            <w:r w:rsidRPr="00F60D18">
              <w:rPr>
                <w:rFonts w:ascii="Arial" w:hAnsi="Arial" w:cs="Arial"/>
                <w:color w:val="595959" w:themeColor="text1" w:themeTint="A6"/>
                <w:sz w:val="18"/>
                <w:szCs w:val="18"/>
              </w:rPr>
              <w:fldChar w:fldCharType="separate"/>
            </w:r>
            <w:r w:rsidRPr="00F60D18">
              <w:rPr>
                <w:rFonts w:ascii="Arial" w:hAnsi="Arial" w:cs="Arial"/>
                <w:color w:val="595959" w:themeColor="text1" w:themeTint="A6"/>
                <w:sz w:val="18"/>
                <w:szCs w:val="18"/>
              </w:rPr>
              <w:t>8</w:t>
            </w:r>
            <w:r w:rsidRPr="00F60D18">
              <w:rPr>
                <w:rFonts w:ascii="Arial" w:hAnsi="Arial" w:cs="Arial"/>
                <w:color w:val="595959" w:themeColor="text1" w:themeTint="A6"/>
                <w:sz w:val="18"/>
                <w:szCs w:val="18"/>
              </w:rPr>
              <w:fldChar w:fldCharType="end"/>
            </w:r>
          </w:p>
          <w:p w14:paraId="0F0FC3E5" w14:textId="77777777" w:rsidR="00816E45" w:rsidRPr="00F60D18" w:rsidRDefault="00816E45" w:rsidP="00816E45">
            <w:pPr>
              <w:pStyle w:val="Rodap"/>
              <w:rPr>
                <w:rFonts w:ascii="Arial" w:hAnsi="Arial" w:cs="Arial"/>
                <w:sz w:val="14"/>
                <w:szCs w:val="14"/>
              </w:rPr>
            </w:pPr>
            <w:r w:rsidRPr="00F60D18">
              <w:rPr>
                <w:rFonts w:ascii="Arial" w:hAnsi="Arial" w:cs="Arial"/>
                <w:sz w:val="14"/>
                <w:szCs w:val="14"/>
              </w:rPr>
              <w:t>Câmara Nacional de Modelos de Licitações e Contratos da Consultoria-Geral da União</w:t>
            </w:r>
          </w:p>
          <w:p w14:paraId="6ADAF42B" w14:textId="3E839EC6" w:rsidR="00816E45" w:rsidRPr="00F60D18" w:rsidRDefault="00816E45" w:rsidP="00816E45">
            <w:pPr>
              <w:pStyle w:val="Rodap"/>
              <w:rPr>
                <w:rFonts w:ascii="Arial" w:hAnsi="Arial" w:cs="Arial"/>
                <w:color w:val="0F243E" w:themeColor="text2" w:themeShade="80"/>
                <w:sz w:val="14"/>
                <w:szCs w:val="14"/>
              </w:rPr>
            </w:pPr>
            <w:r w:rsidRPr="00B85F26">
              <w:rPr>
                <w:rFonts w:ascii="Arial" w:hAnsi="Arial" w:cs="Arial"/>
                <w:sz w:val="14"/>
                <w:szCs w:val="14"/>
              </w:rPr>
              <w:t xml:space="preserve">Modelo de Termo de Referência para </w:t>
            </w:r>
            <w:r w:rsidR="003D7A67" w:rsidRPr="00B85F26">
              <w:rPr>
                <w:rFonts w:ascii="Arial" w:hAnsi="Arial" w:cs="Arial"/>
                <w:sz w:val="14"/>
                <w:szCs w:val="14"/>
              </w:rPr>
              <w:t xml:space="preserve">Obras e </w:t>
            </w:r>
            <w:r w:rsidR="003D5AC6" w:rsidRPr="00B85F26">
              <w:rPr>
                <w:rFonts w:ascii="Arial" w:hAnsi="Arial" w:cs="Arial"/>
                <w:sz w:val="14"/>
                <w:szCs w:val="14"/>
              </w:rPr>
              <w:t>Serviços</w:t>
            </w:r>
            <w:r w:rsidR="003D7A67" w:rsidRPr="00B85F26">
              <w:rPr>
                <w:rFonts w:ascii="Arial" w:hAnsi="Arial" w:cs="Arial"/>
                <w:sz w:val="14"/>
                <w:szCs w:val="14"/>
              </w:rPr>
              <w:t>, exceto TIC</w:t>
            </w:r>
            <w:r w:rsidRPr="00B85F26">
              <w:rPr>
                <w:rFonts w:ascii="Arial" w:hAnsi="Arial" w:cs="Arial"/>
                <w:sz w:val="14"/>
                <w:szCs w:val="14"/>
              </w:rPr>
              <w:t xml:space="preserve"> –</w:t>
            </w:r>
            <w:r w:rsidR="00FE37FF" w:rsidRPr="00B85F26">
              <w:rPr>
                <w:rFonts w:ascii="Arial" w:hAnsi="Arial" w:cs="Arial"/>
                <w:sz w:val="14"/>
                <w:szCs w:val="14"/>
              </w:rPr>
              <w:t xml:space="preserve"> Licitação e Contratação Direta -</w:t>
            </w:r>
            <w:r w:rsidRPr="00B85F26">
              <w:rPr>
                <w:rFonts w:ascii="Arial" w:hAnsi="Arial" w:cs="Arial"/>
                <w:sz w:val="14"/>
                <w:szCs w:val="14"/>
              </w:rPr>
              <w:t xml:space="preserve"> Lei nº 14.133, de 2021</w:t>
            </w:r>
          </w:p>
          <w:p w14:paraId="6CD5F680" w14:textId="77777777" w:rsidR="00816E45" w:rsidRPr="00F60D18" w:rsidRDefault="00816E45" w:rsidP="00816E45">
            <w:pPr>
              <w:pStyle w:val="Rodap"/>
              <w:rPr>
                <w:rFonts w:ascii="Arial" w:hAnsi="Arial" w:cs="Arial"/>
                <w:sz w:val="14"/>
                <w:szCs w:val="14"/>
              </w:rPr>
            </w:pPr>
            <w:r w:rsidRPr="00F60D18">
              <w:rPr>
                <w:rFonts w:ascii="Arial" w:hAnsi="Arial" w:cs="Arial"/>
                <w:sz w:val="14"/>
                <w:szCs w:val="14"/>
              </w:rPr>
              <w:t>Aprovado pela Secretaria de Gestão e Inovação</w:t>
            </w:r>
          </w:p>
          <w:p w14:paraId="675E8775" w14:textId="77777777" w:rsidR="00816E45" w:rsidRPr="00F60D18" w:rsidRDefault="00816E45" w:rsidP="00816E45">
            <w:pPr>
              <w:pStyle w:val="Rodap"/>
              <w:rPr>
                <w:rFonts w:ascii="Arial" w:hAnsi="Arial" w:cs="Arial"/>
                <w:sz w:val="14"/>
                <w:szCs w:val="14"/>
              </w:rPr>
            </w:pPr>
            <w:r w:rsidRPr="00F60D18">
              <w:rPr>
                <w:rFonts w:ascii="Arial" w:hAnsi="Arial" w:cs="Arial"/>
                <w:sz w:val="14"/>
                <w:szCs w:val="14"/>
              </w:rPr>
              <w:t>Identidade visual pela Secretaria de Gestão e Inovação</w:t>
            </w:r>
          </w:p>
          <w:p w14:paraId="7E6308F2" w14:textId="55F513B7" w:rsidR="008217C2" w:rsidRPr="00FC0B7F" w:rsidRDefault="00816E45" w:rsidP="00225EC5">
            <w:pPr>
              <w:pStyle w:val="Rodap"/>
              <w:rPr>
                <w:rFonts w:ascii="Arial" w:hAnsi="Arial" w:cs="Arial"/>
                <w:sz w:val="14"/>
                <w:szCs w:val="14"/>
              </w:rPr>
            </w:pPr>
            <w:r w:rsidRPr="00B85F26">
              <w:rPr>
                <w:rFonts w:ascii="Arial" w:hAnsi="Arial" w:cs="Arial"/>
                <w:sz w:val="14"/>
                <w:szCs w:val="14"/>
              </w:rPr>
              <w:t xml:space="preserve">Atualização: </w:t>
            </w:r>
            <w:r w:rsidR="00D62468">
              <w:rPr>
                <w:rFonts w:ascii="Arial" w:hAnsi="Arial" w:cs="Arial"/>
                <w:sz w:val="14"/>
                <w:szCs w:val="14"/>
              </w:rPr>
              <w:t>MAI/2026</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CEE45" w14:textId="77777777" w:rsidR="009F6E54" w:rsidRDefault="009F6E54">
      <w:r>
        <w:separator/>
      </w:r>
    </w:p>
  </w:footnote>
  <w:footnote w:type="continuationSeparator" w:id="0">
    <w:p w14:paraId="6E10AA03" w14:textId="77777777" w:rsidR="009F6E54" w:rsidRDefault="009F6E54">
      <w:r>
        <w:continuationSeparator/>
      </w:r>
    </w:p>
  </w:footnote>
  <w:footnote w:type="continuationNotice" w:id="1">
    <w:p w14:paraId="7BDB190B" w14:textId="77777777" w:rsidR="009F6E54" w:rsidRDefault="009F6E5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Nvel2-Red"/>
      <w:lvlText w:val=""/>
      <w:lvlJc w:val="left"/>
      <w:pPr>
        <w:tabs>
          <w:tab w:val="num" w:pos="1492"/>
        </w:tabs>
        <w:ind w:left="1492" w:hanging="360"/>
      </w:pPr>
      <w:rPr>
        <w:rFonts w:ascii="Symbol" w:hAnsi="Symbol" w:hint="default"/>
      </w:rPr>
    </w:lvl>
  </w:abstractNum>
  <w:abstractNum w:abstractNumId="1" w15:restartNumberingAfterBreak="0">
    <w:nsid w:val="00000004"/>
    <w:multiLevelType w:val="multilevel"/>
    <w:tmpl w:val="C7581AF4"/>
    <w:name w:val="WW8Num4"/>
    <w:lvl w:ilvl="0">
      <w:start w:val="1"/>
      <w:numFmt w:val="decimal"/>
      <w:lvlText w:val="%1."/>
      <w:lvlJc w:val="left"/>
      <w:pPr>
        <w:tabs>
          <w:tab w:val="num" w:pos="0"/>
        </w:tabs>
        <w:ind w:left="720" w:hanging="360"/>
      </w:pPr>
      <w:rPr>
        <w:sz w:val="20"/>
        <w:szCs w:val="20"/>
      </w:rPr>
    </w:lvl>
    <w:lvl w:ilvl="1">
      <w:start w:val="1"/>
      <w:numFmt w:val="decimal"/>
      <w:lvlText w:val="%1.%2."/>
      <w:lvlJc w:val="left"/>
      <w:pPr>
        <w:tabs>
          <w:tab w:val="num" w:pos="0"/>
        </w:tabs>
        <w:ind w:left="1080" w:hanging="720"/>
      </w:pPr>
      <w:rPr>
        <w:b w:val="0"/>
        <w:color w:val="auto"/>
      </w:rPr>
    </w:lvl>
    <w:lvl w:ilvl="2">
      <w:start w:val="1"/>
      <w:numFmt w:val="decimal"/>
      <w:lvlText w:val="%1.%2.%3."/>
      <w:lvlJc w:val="left"/>
      <w:pPr>
        <w:tabs>
          <w:tab w:val="num" w:pos="0"/>
        </w:tabs>
        <w:ind w:left="1080" w:hanging="720"/>
      </w:pPr>
      <w:rPr>
        <w:color w:val="auto"/>
      </w:rPr>
    </w:lvl>
    <w:lvl w:ilvl="3">
      <w:start w:val="1"/>
      <w:numFmt w:val="decimal"/>
      <w:lvlText w:val="%1.%2.%3.%4."/>
      <w:lvlJc w:val="left"/>
      <w:pPr>
        <w:tabs>
          <w:tab w:val="num" w:pos="0"/>
        </w:tabs>
        <w:ind w:left="1440" w:hanging="1080"/>
      </w:pPr>
      <w:rPr>
        <w:color w:val="auto"/>
      </w:rPr>
    </w:lvl>
    <w:lvl w:ilvl="4">
      <w:start w:val="1"/>
      <w:numFmt w:val="decimal"/>
      <w:lvlText w:val="%1.%2.%3.%4.%5."/>
      <w:lvlJc w:val="left"/>
      <w:pPr>
        <w:tabs>
          <w:tab w:val="num" w:pos="0"/>
        </w:tabs>
        <w:ind w:left="1800" w:hanging="1440"/>
      </w:pPr>
      <w:rPr>
        <w:color w:val="auto"/>
      </w:rPr>
    </w:lvl>
    <w:lvl w:ilvl="5">
      <w:start w:val="1"/>
      <w:numFmt w:val="decimal"/>
      <w:lvlText w:val="%1.%2.%3.%4.%5.%6."/>
      <w:lvlJc w:val="left"/>
      <w:pPr>
        <w:tabs>
          <w:tab w:val="num" w:pos="0"/>
        </w:tabs>
        <w:ind w:left="1800" w:hanging="1440"/>
      </w:pPr>
      <w:rPr>
        <w:color w:val="auto"/>
      </w:rPr>
    </w:lvl>
    <w:lvl w:ilvl="6">
      <w:start w:val="1"/>
      <w:numFmt w:val="decimal"/>
      <w:lvlText w:val="%1.%2.%3.%4.%5.%6.%7."/>
      <w:lvlJc w:val="left"/>
      <w:pPr>
        <w:tabs>
          <w:tab w:val="num" w:pos="0"/>
        </w:tabs>
        <w:ind w:left="2160" w:hanging="1800"/>
      </w:pPr>
      <w:rPr>
        <w:color w:val="auto"/>
      </w:rPr>
    </w:lvl>
    <w:lvl w:ilvl="7">
      <w:start w:val="1"/>
      <w:numFmt w:val="decimal"/>
      <w:lvlText w:val="%1.%2.%3.%4.%5.%6.%7.%8."/>
      <w:lvlJc w:val="left"/>
      <w:pPr>
        <w:tabs>
          <w:tab w:val="num" w:pos="0"/>
        </w:tabs>
        <w:ind w:left="2520" w:hanging="2160"/>
      </w:pPr>
      <w:rPr>
        <w:color w:val="auto"/>
      </w:rPr>
    </w:lvl>
    <w:lvl w:ilvl="8">
      <w:start w:val="1"/>
      <w:numFmt w:val="decimal"/>
      <w:lvlText w:val="%1.%2.%3.%4.%5.%6.%7.%8.%9."/>
      <w:lvlJc w:val="left"/>
      <w:pPr>
        <w:tabs>
          <w:tab w:val="num" w:pos="0"/>
        </w:tabs>
        <w:ind w:left="2520" w:hanging="2160"/>
      </w:pPr>
      <w:rPr>
        <w:color w:val="auto"/>
      </w:rPr>
    </w:lvl>
  </w:abstractNum>
  <w:abstractNum w:abstractNumId="2" w15:restartNumberingAfterBreak="0">
    <w:nsid w:val="05ED0F7B"/>
    <w:multiLevelType w:val="multilevel"/>
    <w:tmpl w:val="2B78114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80F4AB9"/>
    <w:multiLevelType w:val="multilevel"/>
    <w:tmpl w:val="2FA4298A"/>
    <w:lvl w:ilvl="0">
      <w:start w:val="1"/>
      <w:numFmt w:val="decimal"/>
      <w:pStyle w:val="Nivel01"/>
      <w:lvlText w:val="%1."/>
      <w:lvlJc w:val="left"/>
      <w:pPr>
        <w:ind w:left="360" w:hanging="360"/>
      </w:pPr>
      <w:rPr>
        <w:rFonts w:hint="default"/>
        <w:b/>
      </w:rPr>
    </w:lvl>
    <w:lvl w:ilvl="1">
      <w:start w:val="1"/>
      <w:numFmt w:val="decimal"/>
      <w:pStyle w:val="Nivel2-Opcional"/>
      <w:lvlText w:val="%1.%2."/>
      <w:lvlJc w:val="left"/>
      <w:pPr>
        <w:ind w:left="9363" w:hanging="432"/>
      </w:pPr>
      <w:rPr>
        <w:rFonts w:hint="default"/>
        <w:b w:val="0"/>
        <w:i w:val="0"/>
        <w:strike w:val="0"/>
        <w:color w:val="auto"/>
        <w:sz w:val="20"/>
        <w:szCs w:val="20"/>
        <w:u w:val="none"/>
      </w:rPr>
    </w:lvl>
    <w:lvl w:ilvl="2">
      <w:start w:val="1"/>
      <w:numFmt w:val="decimal"/>
      <w:pStyle w:val="Nivel3"/>
      <w:lvlText w:val="%1.%2.%3"/>
      <w:lvlJc w:val="left"/>
      <w:pPr>
        <w:ind w:left="6175" w:hanging="504"/>
      </w:pPr>
      <w:rPr>
        <w:rFonts w:hint="default"/>
        <w:b w:val="0"/>
        <w:i w:val="0"/>
        <w:strike w:val="0"/>
        <w:color w:val="000000" w:themeColor="text1"/>
        <w:sz w:val="20"/>
        <w:szCs w:val="20"/>
      </w:rPr>
    </w:lvl>
    <w:lvl w:ilvl="3">
      <w:start w:val="1"/>
      <w:numFmt w:val="decimal"/>
      <w:pStyle w:val="Nvel4-R"/>
      <w:lvlText w:val="%1.%2.%3.%4."/>
      <w:lvlJc w:val="left"/>
      <w:pPr>
        <w:ind w:left="2491" w:hanging="648"/>
      </w:pPr>
    </w:lvl>
    <w:lvl w:ilvl="4">
      <w:start w:val="1"/>
      <w:numFmt w:val="decimal"/>
      <w:pStyle w:val="Nivel5"/>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B57350D"/>
    <w:multiLevelType w:val="hybridMultilevel"/>
    <w:tmpl w:val="F40CF162"/>
    <w:lvl w:ilvl="0" w:tplc="FFFFFFFF">
      <w:start w:val="1"/>
      <w:numFmt w:val="upperRoman"/>
      <w:lvlText w:val="%1)"/>
      <w:lvlJc w:val="left"/>
      <w:pPr>
        <w:ind w:left="2136" w:hanging="720"/>
      </w:pPr>
      <w:rPr>
        <w:rFonts w:hint="default"/>
      </w:r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5" w15:restartNumberingAfterBreak="0">
    <w:nsid w:val="14703743"/>
    <w:multiLevelType w:val="multilevel"/>
    <w:tmpl w:val="362CC026"/>
    <w:lvl w:ilvl="0">
      <w:start w:val="1"/>
      <w:numFmt w:val="decimal"/>
      <w:lvlText w:val="%1."/>
      <w:lvlJc w:val="left"/>
      <w:pPr>
        <w:ind w:left="360" w:hanging="360"/>
      </w:pPr>
      <w:rPr>
        <w:b/>
      </w:rPr>
    </w:lvl>
    <w:lvl w:ilvl="1">
      <w:start w:val="1"/>
      <w:numFmt w:val="decimal"/>
      <w:pStyle w:val="Ttulo2"/>
      <w:lvlText w:val="%1.%2."/>
      <w:lvlJc w:val="left"/>
      <w:pPr>
        <w:ind w:left="999" w:hanging="432"/>
      </w:pPr>
      <w:rPr>
        <w:b w:val="0"/>
        <w:i w:val="0"/>
        <w:strike w:val="0"/>
        <w:color w:val="auto"/>
        <w:sz w:val="20"/>
        <w:szCs w:val="20"/>
        <w:u w:val="none"/>
      </w:rPr>
    </w:lvl>
    <w:lvl w:ilvl="2">
      <w:start w:val="1"/>
      <w:numFmt w:val="decimal"/>
      <w:lvlText w:val="%1.%2.%3."/>
      <w:lvlJc w:val="left"/>
      <w:pPr>
        <w:ind w:left="1638" w:hanging="504"/>
      </w:pPr>
      <w:rPr>
        <w:rFonts w:ascii="Arial" w:hAnsi="Arial" w:hint="default"/>
        <w:b w:val="0"/>
        <w:i w:val="0"/>
        <w:strike w:val="0"/>
        <w:color w:val="auto"/>
        <w:sz w:val="20"/>
        <w:szCs w:val="20"/>
      </w:rPr>
    </w:lvl>
    <w:lvl w:ilvl="3">
      <w:start w:val="1"/>
      <w:numFmt w:val="decimal"/>
      <w:lvlText w:val="%1.%2.%3.%4."/>
      <w:lvlJc w:val="left"/>
      <w:pPr>
        <w:ind w:left="2491"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D3B1925"/>
    <w:multiLevelType w:val="multilevel"/>
    <w:tmpl w:val="94E494C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D5C100D"/>
    <w:multiLevelType w:val="multilevel"/>
    <w:tmpl w:val="28A21570"/>
    <w:lvl w:ilvl="0">
      <w:start w:val="1"/>
      <w:numFmt w:val="decimal"/>
      <w:lvlText w:val="%1."/>
      <w:lvlJc w:val="left"/>
      <w:pPr>
        <w:ind w:left="360" w:hanging="360"/>
      </w:pPr>
      <w:rPr>
        <w:b/>
      </w:rPr>
    </w:lvl>
    <w:lvl w:ilvl="1">
      <w:start w:val="1"/>
      <w:numFmt w:val="decimal"/>
      <w:lvlText w:val="%1.%2."/>
      <w:lvlJc w:val="left"/>
      <w:pPr>
        <w:ind w:left="4969" w:hanging="432"/>
      </w:pPr>
      <w:rPr>
        <w:b w:val="0"/>
        <w:i w:val="0"/>
        <w:strike w:val="0"/>
        <w:color w:val="auto"/>
        <w:sz w:val="20"/>
        <w:szCs w:val="20"/>
        <w:u w:val="none"/>
      </w:rPr>
    </w:lvl>
    <w:lvl w:ilvl="2">
      <w:start w:val="1"/>
      <w:numFmt w:val="decimal"/>
      <w:lvlText w:val="%1.%2.%3."/>
      <w:lvlJc w:val="left"/>
      <w:pPr>
        <w:ind w:left="3198" w:hanging="504"/>
      </w:pPr>
      <w:rPr>
        <w:rFonts w:ascii="Arial" w:hAnsi="Arial" w:cs="Arial" w:hint="default"/>
        <w:b w:val="0"/>
        <w:i w:val="0"/>
        <w:strike w:val="0"/>
        <w:color w:val="auto"/>
        <w:sz w:val="20"/>
        <w:szCs w:val="20"/>
      </w:rPr>
    </w:lvl>
    <w:lvl w:ilvl="3">
      <w:start w:val="1"/>
      <w:numFmt w:val="decimal"/>
      <w:lvlText w:val="%1.%2.%3.%4."/>
      <w:lvlJc w:val="left"/>
      <w:pPr>
        <w:ind w:left="2491"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EF41FB9"/>
    <w:multiLevelType w:val="multilevel"/>
    <w:tmpl w:val="606452EC"/>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84068A1"/>
    <w:multiLevelType w:val="multilevel"/>
    <w:tmpl w:val="8AEE399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94D3837"/>
    <w:multiLevelType w:val="multilevel"/>
    <w:tmpl w:val="B3208B08"/>
    <w:lvl w:ilvl="0">
      <w:start w:val="9"/>
      <w:numFmt w:val="decimal"/>
      <w:lvlText w:val="%1"/>
      <w:lvlJc w:val="left"/>
      <w:pPr>
        <w:ind w:left="735" w:hanging="360"/>
      </w:pPr>
      <w:rPr>
        <w:rFonts w:hint="default"/>
      </w:rPr>
    </w:lvl>
    <w:lvl w:ilvl="1">
      <w:start w:val="1"/>
      <w:numFmt w:val="decimal"/>
      <w:isLgl/>
      <w:lvlText w:val="%1.%2."/>
      <w:lvlJc w:val="left"/>
      <w:pPr>
        <w:ind w:left="1287" w:hanging="360"/>
      </w:pPr>
      <w:rPr>
        <w:rFonts w:hint="default"/>
        <w:b w:val="0"/>
      </w:rPr>
    </w:lvl>
    <w:lvl w:ilvl="2">
      <w:start w:val="1"/>
      <w:numFmt w:val="decimal"/>
      <w:isLgl/>
      <w:lvlText w:val="%1.%2.%3."/>
      <w:lvlJc w:val="left"/>
      <w:pPr>
        <w:ind w:left="2199" w:hanging="720"/>
      </w:pPr>
      <w:rPr>
        <w:rFonts w:hint="default"/>
        <w:b w:val="0"/>
      </w:rPr>
    </w:lvl>
    <w:lvl w:ilvl="3">
      <w:start w:val="1"/>
      <w:numFmt w:val="decimal"/>
      <w:isLgl/>
      <w:lvlText w:val="%1.%2.%3.%4."/>
      <w:lvlJc w:val="left"/>
      <w:pPr>
        <w:ind w:left="2751" w:hanging="720"/>
      </w:pPr>
      <w:rPr>
        <w:rFonts w:hint="default"/>
      </w:rPr>
    </w:lvl>
    <w:lvl w:ilvl="4">
      <w:start w:val="1"/>
      <w:numFmt w:val="decimal"/>
      <w:isLgl/>
      <w:lvlText w:val="%1.%2.%3.%4.%5."/>
      <w:lvlJc w:val="left"/>
      <w:pPr>
        <w:ind w:left="3663" w:hanging="1080"/>
      </w:pPr>
      <w:rPr>
        <w:rFonts w:hint="default"/>
      </w:rPr>
    </w:lvl>
    <w:lvl w:ilvl="5">
      <w:start w:val="1"/>
      <w:numFmt w:val="decimal"/>
      <w:isLgl/>
      <w:lvlText w:val="%1.%2.%3.%4.%5.%6."/>
      <w:lvlJc w:val="left"/>
      <w:pPr>
        <w:ind w:left="4215" w:hanging="1080"/>
      </w:pPr>
      <w:rPr>
        <w:rFonts w:hint="default"/>
      </w:rPr>
    </w:lvl>
    <w:lvl w:ilvl="6">
      <w:start w:val="1"/>
      <w:numFmt w:val="decimal"/>
      <w:isLgl/>
      <w:lvlText w:val="%1.%2.%3.%4.%5.%6.%7."/>
      <w:lvlJc w:val="left"/>
      <w:pPr>
        <w:ind w:left="5127" w:hanging="1440"/>
      </w:pPr>
      <w:rPr>
        <w:rFonts w:hint="default"/>
      </w:rPr>
    </w:lvl>
    <w:lvl w:ilvl="7">
      <w:start w:val="1"/>
      <w:numFmt w:val="decimal"/>
      <w:isLgl/>
      <w:lvlText w:val="%1.%2.%3.%4.%5.%6.%7.%8."/>
      <w:lvlJc w:val="left"/>
      <w:pPr>
        <w:ind w:left="5679" w:hanging="1440"/>
      </w:pPr>
      <w:rPr>
        <w:rFonts w:hint="default"/>
      </w:rPr>
    </w:lvl>
    <w:lvl w:ilvl="8">
      <w:start w:val="1"/>
      <w:numFmt w:val="decimal"/>
      <w:isLgl/>
      <w:lvlText w:val="%1.%2.%3.%4.%5.%6.%7.%8.%9."/>
      <w:lvlJc w:val="left"/>
      <w:pPr>
        <w:ind w:left="6591" w:hanging="1800"/>
      </w:pPr>
      <w:rPr>
        <w:rFonts w:hint="default"/>
      </w:rPr>
    </w:lvl>
  </w:abstractNum>
  <w:abstractNum w:abstractNumId="11"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346250F7"/>
    <w:multiLevelType w:val="multilevel"/>
    <w:tmpl w:val="B9CA0858"/>
    <w:name w:val="WWNum37"/>
    <w:lvl w:ilvl="0">
      <w:start w:val="6"/>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712" w:hanging="720"/>
      </w:pPr>
      <w:rPr>
        <w:rFonts w:hint="default"/>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768" w:hanging="1800"/>
      </w:pPr>
      <w:rPr>
        <w:rFonts w:hint="default"/>
      </w:rPr>
    </w:lvl>
  </w:abstractNum>
  <w:abstractNum w:abstractNumId="13" w15:restartNumberingAfterBreak="0">
    <w:nsid w:val="353F0045"/>
    <w:multiLevelType w:val="hybridMultilevel"/>
    <w:tmpl w:val="F40CF162"/>
    <w:lvl w:ilvl="0" w:tplc="FFFFFFFF">
      <w:start w:val="1"/>
      <w:numFmt w:val="upperRoman"/>
      <w:lvlText w:val="%1)"/>
      <w:lvlJc w:val="left"/>
      <w:pPr>
        <w:ind w:left="2136" w:hanging="720"/>
      </w:pPr>
      <w:rPr>
        <w:rFonts w:hint="default"/>
      </w:r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14" w15:restartNumberingAfterBreak="0">
    <w:nsid w:val="384C04FE"/>
    <w:multiLevelType w:val="multilevel"/>
    <w:tmpl w:val="B9BE6450"/>
    <w:lvl w:ilvl="0">
      <w:start w:val="1"/>
      <w:numFmt w:val="decimal"/>
      <w:pStyle w:val="Ttulo1"/>
      <w:lvlText w:val="%1."/>
      <w:lvlJc w:val="left"/>
      <w:pPr>
        <w:ind w:left="360" w:hanging="360"/>
      </w:pPr>
      <w:rPr>
        <w:b/>
      </w:rPr>
    </w:lvl>
    <w:lvl w:ilvl="1">
      <w:start w:val="1"/>
      <w:numFmt w:val="decimal"/>
      <w:lvlText w:val="%1.%2."/>
      <w:lvlJc w:val="left"/>
      <w:pPr>
        <w:ind w:left="999" w:hanging="432"/>
      </w:pPr>
      <w:rPr>
        <w:b w:val="0"/>
        <w:i w:val="0"/>
        <w:strike w:val="0"/>
        <w:color w:val="auto"/>
        <w:sz w:val="20"/>
        <w:szCs w:val="20"/>
        <w:u w:val="none"/>
      </w:rPr>
    </w:lvl>
    <w:lvl w:ilvl="2">
      <w:start w:val="1"/>
      <w:numFmt w:val="decimal"/>
      <w:lvlText w:val="%1.%2.%3."/>
      <w:lvlJc w:val="left"/>
      <w:pPr>
        <w:ind w:left="1638" w:hanging="504"/>
      </w:pPr>
      <w:rPr>
        <w:rFonts w:ascii="Arial" w:hAnsi="Arial" w:hint="default"/>
        <w:b w:val="0"/>
        <w:i w:val="0"/>
        <w:strike w:val="0"/>
        <w:color w:val="auto"/>
        <w:sz w:val="20"/>
        <w:szCs w:val="20"/>
      </w:rPr>
    </w:lvl>
    <w:lvl w:ilvl="3">
      <w:start w:val="1"/>
      <w:numFmt w:val="decimal"/>
      <w:lvlText w:val="%1.%2.%3.%4."/>
      <w:lvlJc w:val="left"/>
      <w:pPr>
        <w:ind w:left="2491"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10D608D"/>
    <w:multiLevelType w:val="multilevel"/>
    <w:tmpl w:val="A66AB27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691757A"/>
    <w:multiLevelType w:val="hybridMultilevel"/>
    <w:tmpl w:val="D6A4043C"/>
    <w:lvl w:ilvl="0" w:tplc="B89A9A64">
      <w:start w:val="1"/>
      <w:numFmt w:val="upperRoman"/>
      <w:pStyle w:val="Nivel3-erro"/>
      <w:lvlText w:val="%1)"/>
      <w:lvlJc w:val="left"/>
      <w:pPr>
        <w:ind w:left="3555" w:hanging="72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9DB48FE8">
      <w:start w:val="1"/>
      <w:numFmt w:val="decimal"/>
      <w:lvlText w:val="%4."/>
      <w:lvlJc w:val="left"/>
      <w:pPr>
        <w:ind w:left="5355" w:hanging="360"/>
      </w:pPr>
    </w:lvl>
    <w:lvl w:ilvl="4" w:tplc="04160019">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18" w15:restartNumberingAfterBreak="0">
    <w:nsid w:val="48466789"/>
    <w:multiLevelType w:val="multilevel"/>
    <w:tmpl w:val="96863394"/>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97F4F9B"/>
    <w:multiLevelType w:val="hybridMultilevel"/>
    <w:tmpl w:val="F40CF162"/>
    <w:lvl w:ilvl="0" w:tplc="E24AD774">
      <w:start w:val="1"/>
      <w:numFmt w:val="upperRoman"/>
      <w:lvlText w:val="%1)"/>
      <w:lvlJc w:val="left"/>
      <w:pPr>
        <w:ind w:left="2136" w:hanging="720"/>
      </w:pPr>
      <w:rPr>
        <w:rFonts w:hint="default"/>
      </w:rPr>
    </w:lvl>
    <w:lvl w:ilvl="1" w:tplc="04160019" w:tentative="1">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abstractNum w:abstractNumId="20"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56A12E52"/>
    <w:multiLevelType w:val="multilevel"/>
    <w:tmpl w:val="9A067E0A"/>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C47654D"/>
    <w:multiLevelType w:val="multilevel"/>
    <w:tmpl w:val="26D8B576"/>
    <w:lvl w:ilvl="0">
      <w:start w:val="7"/>
      <w:numFmt w:val="decimal"/>
      <w:lvlText w:val="%1"/>
      <w:lvlJc w:val="left"/>
      <w:pPr>
        <w:ind w:left="360" w:hanging="360"/>
      </w:pPr>
      <w:rPr>
        <w:rFonts w:hint="default"/>
        <w:color w:val="000000"/>
      </w:rPr>
    </w:lvl>
    <w:lvl w:ilvl="1">
      <w:start w:val="1"/>
      <w:numFmt w:val="decimal"/>
      <w:lvlText w:val="%1.%2"/>
      <w:lvlJc w:val="left"/>
      <w:pPr>
        <w:ind w:left="360" w:hanging="36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800" w:hanging="1800"/>
      </w:pPr>
      <w:rPr>
        <w:rFonts w:hint="default"/>
        <w:color w:val="000000"/>
      </w:rPr>
    </w:lvl>
  </w:abstractNum>
  <w:abstractNum w:abstractNumId="23" w15:restartNumberingAfterBreak="0">
    <w:nsid w:val="5FCD091D"/>
    <w:multiLevelType w:val="multilevel"/>
    <w:tmpl w:val="965829F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68696376"/>
    <w:multiLevelType w:val="hybridMultilevel"/>
    <w:tmpl w:val="C4CA34C6"/>
    <w:lvl w:ilvl="0" w:tplc="04160017">
      <w:start w:val="1"/>
      <w:numFmt w:val="lowerLetter"/>
      <w:lvlText w:val="%1)"/>
      <w:lvlJc w:val="left"/>
      <w:pPr>
        <w:ind w:left="2130" w:hanging="360"/>
      </w:pPr>
    </w:lvl>
    <w:lvl w:ilvl="1" w:tplc="04160019" w:tentative="1">
      <w:start w:val="1"/>
      <w:numFmt w:val="lowerLetter"/>
      <w:lvlText w:val="%2."/>
      <w:lvlJc w:val="left"/>
      <w:pPr>
        <w:ind w:left="2850" w:hanging="360"/>
      </w:pPr>
    </w:lvl>
    <w:lvl w:ilvl="2" w:tplc="0416001B" w:tentative="1">
      <w:start w:val="1"/>
      <w:numFmt w:val="lowerRoman"/>
      <w:lvlText w:val="%3."/>
      <w:lvlJc w:val="right"/>
      <w:pPr>
        <w:ind w:left="3570" w:hanging="180"/>
      </w:pPr>
    </w:lvl>
    <w:lvl w:ilvl="3" w:tplc="0416000F" w:tentative="1">
      <w:start w:val="1"/>
      <w:numFmt w:val="decimal"/>
      <w:lvlText w:val="%4."/>
      <w:lvlJc w:val="left"/>
      <w:pPr>
        <w:ind w:left="4290" w:hanging="360"/>
      </w:pPr>
    </w:lvl>
    <w:lvl w:ilvl="4" w:tplc="04160019" w:tentative="1">
      <w:start w:val="1"/>
      <w:numFmt w:val="lowerLetter"/>
      <w:lvlText w:val="%5."/>
      <w:lvlJc w:val="left"/>
      <w:pPr>
        <w:ind w:left="5010" w:hanging="360"/>
      </w:pPr>
    </w:lvl>
    <w:lvl w:ilvl="5" w:tplc="0416001B" w:tentative="1">
      <w:start w:val="1"/>
      <w:numFmt w:val="lowerRoman"/>
      <w:lvlText w:val="%6."/>
      <w:lvlJc w:val="right"/>
      <w:pPr>
        <w:ind w:left="5730" w:hanging="180"/>
      </w:pPr>
    </w:lvl>
    <w:lvl w:ilvl="6" w:tplc="0416000F" w:tentative="1">
      <w:start w:val="1"/>
      <w:numFmt w:val="decimal"/>
      <w:lvlText w:val="%7."/>
      <w:lvlJc w:val="left"/>
      <w:pPr>
        <w:ind w:left="6450" w:hanging="360"/>
      </w:pPr>
    </w:lvl>
    <w:lvl w:ilvl="7" w:tplc="04160019" w:tentative="1">
      <w:start w:val="1"/>
      <w:numFmt w:val="lowerLetter"/>
      <w:lvlText w:val="%8."/>
      <w:lvlJc w:val="left"/>
      <w:pPr>
        <w:ind w:left="7170" w:hanging="360"/>
      </w:pPr>
    </w:lvl>
    <w:lvl w:ilvl="8" w:tplc="0416001B" w:tentative="1">
      <w:start w:val="1"/>
      <w:numFmt w:val="lowerRoman"/>
      <w:lvlText w:val="%9."/>
      <w:lvlJc w:val="right"/>
      <w:pPr>
        <w:ind w:left="7890" w:hanging="180"/>
      </w:pPr>
    </w:lvl>
  </w:abstractNum>
  <w:abstractNum w:abstractNumId="26" w15:restartNumberingAfterBreak="0">
    <w:nsid w:val="75D833FC"/>
    <w:multiLevelType w:val="multilevel"/>
    <w:tmpl w:val="837E1676"/>
    <w:styleLink w:val="Estilo1"/>
    <w:lvl w:ilvl="0">
      <w:start w:val="8"/>
      <w:numFmt w:val="decimal"/>
      <w:lvlText w:val="%1."/>
      <w:lvlJc w:val="left"/>
      <w:pPr>
        <w:ind w:left="555" w:hanging="555"/>
      </w:pPr>
      <w:rPr>
        <w:rFonts w:hint="default"/>
      </w:rPr>
    </w:lvl>
    <w:lvl w:ilvl="1">
      <w:start w:val="3"/>
      <w:numFmt w:val="decimal"/>
      <w:lvlText w:val="%1.%2."/>
      <w:lvlJc w:val="left"/>
      <w:pPr>
        <w:ind w:left="1222"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2586" w:hanging="1080"/>
      </w:pPr>
      <w:rPr>
        <w:rFonts w:hint="default"/>
      </w:rPr>
    </w:lvl>
    <w:lvl w:ilvl="4">
      <w:start w:val="1"/>
      <w:numFmt w:val="decimal"/>
      <w:lvlText w:val="%1.%2.%3.%4.%5."/>
      <w:lvlJc w:val="left"/>
      <w:pPr>
        <w:ind w:left="3448" w:hanging="1440"/>
      </w:pPr>
      <w:rPr>
        <w:rFonts w:hint="default"/>
      </w:rPr>
    </w:lvl>
    <w:lvl w:ilvl="5">
      <w:start w:val="1"/>
      <w:numFmt w:val="decimal"/>
      <w:lvlText w:val="%1.%2.%3.%4.%5.%6."/>
      <w:lvlJc w:val="left"/>
      <w:pPr>
        <w:ind w:left="3950" w:hanging="1440"/>
      </w:pPr>
      <w:rPr>
        <w:rFonts w:hint="default"/>
      </w:rPr>
    </w:lvl>
    <w:lvl w:ilvl="6">
      <w:start w:val="1"/>
      <w:numFmt w:val="decimal"/>
      <w:lvlText w:val="%1.%2.%3.%4.%5.%6.%7."/>
      <w:lvlJc w:val="left"/>
      <w:pPr>
        <w:ind w:left="4812" w:hanging="1800"/>
      </w:pPr>
      <w:rPr>
        <w:rFonts w:hint="default"/>
      </w:rPr>
    </w:lvl>
    <w:lvl w:ilvl="7">
      <w:start w:val="1"/>
      <w:numFmt w:val="decimal"/>
      <w:lvlText w:val="%1.%2.%3.%4.%5.%6.%7.%8."/>
      <w:lvlJc w:val="left"/>
      <w:pPr>
        <w:ind w:left="5674" w:hanging="2160"/>
      </w:pPr>
      <w:rPr>
        <w:rFonts w:hint="default"/>
      </w:rPr>
    </w:lvl>
    <w:lvl w:ilvl="8">
      <w:start w:val="1"/>
      <w:numFmt w:val="decimal"/>
      <w:lvlText w:val="%1.%2.%3.%4.%5.%6.%7.%8.%9."/>
      <w:lvlJc w:val="left"/>
      <w:pPr>
        <w:ind w:left="6176" w:hanging="2160"/>
      </w:pPr>
      <w:rPr>
        <w:rFonts w:hint="default"/>
      </w:rPr>
    </w:lvl>
  </w:abstractNum>
  <w:abstractNum w:abstractNumId="27"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632559998">
    <w:abstractNumId w:val="0"/>
  </w:num>
  <w:num w:numId="2" w16cid:durableId="1725106058">
    <w:abstractNumId w:val="26"/>
  </w:num>
  <w:num w:numId="3" w16cid:durableId="826017408">
    <w:abstractNumId w:val="27"/>
  </w:num>
  <w:num w:numId="4" w16cid:durableId="645016189">
    <w:abstractNumId w:val="15"/>
  </w:num>
  <w:num w:numId="5" w16cid:durableId="183178772">
    <w:abstractNumId w:val="11"/>
  </w:num>
  <w:num w:numId="6" w16cid:durableId="2079555377">
    <w:abstractNumId w:val="20"/>
  </w:num>
  <w:num w:numId="7" w16cid:durableId="1507134838">
    <w:abstractNumId w:val="24"/>
  </w:num>
  <w:num w:numId="8" w16cid:durableId="151026866">
    <w:abstractNumId w:val="17"/>
  </w:num>
  <w:num w:numId="9" w16cid:durableId="479151140">
    <w:abstractNumId w:val="3"/>
  </w:num>
  <w:num w:numId="10" w16cid:durableId="2050102541">
    <w:abstractNumId w:val="3"/>
  </w:num>
  <w:num w:numId="11" w16cid:durableId="1168137664">
    <w:abstractNumId w:val="25"/>
  </w:num>
  <w:num w:numId="12" w16cid:durableId="1506824116">
    <w:abstractNumId w:val="19"/>
  </w:num>
  <w:num w:numId="13" w16cid:durableId="1681008036">
    <w:abstractNumId w:val="13"/>
  </w:num>
  <w:num w:numId="14" w16cid:durableId="1078015003">
    <w:abstractNumId w:val="4"/>
  </w:num>
  <w:num w:numId="15" w16cid:durableId="1764112028">
    <w:abstractNumId w:val="14"/>
  </w:num>
  <w:num w:numId="16" w16cid:durableId="670643683">
    <w:abstractNumId w:val="5"/>
  </w:num>
  <w:num w:numId="17" w16cid:durableId="977997405">
    <w:abstractNumId w:val="6"/>
  </w:num>
  <w:num w:numId="18" w16cid:durableId="1249999300">
    <w:abstractNumId w:val="16"/>
  </w:num>
  <w:num w:numId="19" w16cid:durableId="823468724">
    <w:abstractNumId w:val="9"/>
  </w:num>
  <w:num w:numId="20" w16cid:durableId="370349176">
    <w:abstractNumId w:val="23"/>
  </w:num>
  <w:num w:numId="21" w16cid:durableId="1765151963">
    <w:abstractNumId w:val="2"/>
  </w:num>
  <w:num w:numId="22" w16cid:durableId="1037660466">
    <w:abstractNumId w:val="8"/>
  </w:num>
  <w:num w:numId="23" w16cid:durableId="696006101">
    <w:abstractNumId w:val="22"/>
  </w:num>
  <w:num w:numId="24" w16cid:durableId="1878740566">
    <w:abstractNumId w:val="18"/>
  </w:num>
  <w:num w:numId="25" w16cid:durableId="1373963395">
    <w:abstractNumId w:val="21"/>
  </w:num>
  <w:num w:numId="26" w16cid:durableId="92989087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39332337">
    <w:abstractNumId w:val="7"/>
  </w:num>
  <w:num w:numId="28" w16cid:durableId="1360163320">
    <w:abstractNumId w:val="10"/>
  </w:num>
  <w:num w:numId="29" w16cid:durableId="2025009871">
    <w:abstractNumId w:val="7"/>
    <w:lvlOverride w:ilvl="0"/>
    <w:lvlOverride w:ilvl="1">
      <w:startOverride w:val="2"/>
    </w:lvlOverride>
    <w:lvlOverride w:ilvl="2"/>
    <w:lvlOverride w:ilvl="3"/>
    <w:lvlOverride w:ilvl="4"/>
    <w:lvlOverride w:ilvl="5"/>
    <w:lvlOverride w:ilvl="6"/>
    <w:lvlOverride w:ilvl="7"/>
    <w:lvlOverride w:ilvl="8"/>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or">
    <w15:presenceInfo w15:providerId="None" w15:userId="Au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mirrorMargins/>
  <w:activeWritingStyle w:appName="MSWord" w:lang="pt-BR" w:vendorID="64" w:dllVersion="0" w:nlCheck="1" w:checkStyle="0"/>
  <w:activeWritingStyle w:appName="MSWord" w:lang="pt-BR" w:vendorID="64" w:dllVersion="4096" w:nlCheck="1" w:checkStyle="0"/>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1AB"/>
    <w:rsid w:val="000000EE"/>
    <w:rsid w:val="0000056A"/>
    <w:rsid w:val="0000071E"/>
    <w:rsid w:val="00000E05"/>
    <w:rsid w:val="00001089"/>
    <w:rsid w:val="000019C6"/>
    <w:rsid w:val="00001ADE"/>
    <w:rsid w:val="0000236D"/>
    <w:rsid w:val="00002AB7"/>
    <w:rsid w:val="00003033"/>
    <w:rsid w:val="00003298"/>
    <w:rsid w:val="00003648"/>
    <w:rsid w:val="00003B6A"/>
    <w:rsid w:val="00003F8B"/>
    <w:rsid w:val="00004D4F"/>
    <w:rsid w:val="00005224"/>
    <w:rsid w:val="00005901"/>
    <w:rsid w:val="00005A68"/>
    <w:rsid w:val="00005C75"/>
    <w:rsid w:val="00006179"/>
    <w:rsid w:val="00006180"/>
    <w:rsid w:val="000066C8"/>
    <w:rsid w:val="000069B4"/>
    <w:rsid w:val="000070AF"/>
    <w:rsid w:val="000073F3"/>
    <w:rsid w:val="0000756E"/>
    <w:rsid w:val="00007952"/>
    <w:rsid w:val="00007E0D"/>
    <w:rsid w:val="0001065A"/>
    <w:rsid w:val="00010C6A"/>
    <w:rsid w:val="00010C88"/>
    <w:rsid w:val="00011390"/>
    <w:rsid w:val="00011684"/>
    <w:rsid w:val="00011FF3"/>
    <w:rsid w:val="000122A4"/>
    <w:rsid w:val="000122C1"/>
    <w:rsid w:val="000124BA"/>
    <w:rsid w:val="00012A11"/>
    <w:rsid w:val="00013040"/>
    <w:rsid w:val="00013695"/>
    <w:rsid w:val="000141D8"/>
    <w:rsid w:val="00014236"/>
    <w:rsid w:val="0001427F"/>
    <w:rsid w:val="00014356"/>
    <w:rsid w:val="0001451E"/>
    <w:rsid w:val="00014B1F"/>
    <w:rsid w:val="00014E7A"/>
    <w:rsid w:val="00014FC0"/>
    <w:rsid w:val="00015076"/>
    <w:rsid w:val="0001535D"/>
    <w:rsid w:val="0001559C"/>
    <w:rsid w:val="00015651"/>
    <w:rsid w:val="000156E9"/>
    <w:rsid w:val="00015783"/>
    <w:rsid w:val="00015A6E"/>
    <w:rsid w:val="00015D4B"/>
    <w:rsid w:val="0001637A"/>
    <w:rsid w:val="00016EDE"/>
    <w:rsid w:val="00017D3B"/>
    <w:rsid w:val="000209C3"/>
    <w:rsid w:val="00020C33"/>
    <w:rsid w:val="0002118D"/>
    <w:rsid w:val="000212C9"/>
    <w:rsid w:val="000224C1"/>
    <w:rsid w:val="0002260C"/>
    <w:rsid w:val="0002289A"/>
    <w:rsid w:val="000229B1"/>
    <w:rsid w:val="00022BA7"/>
    <w:rsid w:val="00022BBB"/>
    <w:rsid w:val="0002306D"/>
    <w:rsid w:val="00023CDD"/>
    <w:rsid w:val="000242C8"/>
    <w:rsid w:val="000246D9"/>
    <w:rsid w:val="00025418"/>
    <w:rsid w:val="0002548B"/>
    <w:rsid w:val="00025B38"/>
    <w:rsid w:val="00025E06"/>
    <w:rsid w:val="00026A9C"/>
    <w:rsid w:val="00027155"/>
    <w:rsid w:val="00027340"/>
    <w:rsid w:val="000277DE"/>
    <w:rsid w:val="00027855"/>
    <w:rsid w:val="00027933"/>
    <w:rsid w:val="00027A5D"/>
    <w:rsid w:val="0003029C"/>
    <w:rsid w:val="000303FD"/>
    <w:rsid w:val="00030B2A"/>
    <w:rsid w:val="00030E5B"/>
    <w:rsid w:val="000318BA"/>
    <w:rsid w:val="00031DBE"/>
    <w:rsid w:val="00031E06"/>
    <w:rsid w:val="000321F5"/>
    <w:rsid w:val="000322A8"/>
    <w:rsid w:val="00032612"/>
    <w:rsid w:val="00032EA8"/>
    <w:rsid w:val="00032F97"/>
    <w:rsid w:val="00033262"/>
    <w:rsid w:val="000335F5"/>
    <w:rsid w:val="00033DA9"/>
    <w:rsid w:val="00033E86"/>
    <w:rsid w:val="000340B8"/>
    <w:rsid w:val="00034839"/>
    <w:rsid w:val="00034A29"/>
    <w:rsid w:val="00034FD6"/>
    <w:rsid w:val="000350C0"/>
    <w:rsid w:val="000350D7"/>
    <w:rsid w:val="000352DC"/>
    <w:rsid w:val="00035D80"/>
    <w:rsid w:val="000364E6"/>
    <w:rsid w:val="00036536"/>
    <w:rsid w:val="00036982"/>
    <w:rsid w:val="00036C08"/>
    <w:rsid w:val="00036D9C"/>
    <w:rsid w:val="00036DF4"/>
    <w:rsid w:val="000373BF"/>
    <w:rsid w:val="0003743B"/>
    <w:rsid w:val="00037B74"/>
    <w:rsid w:val="00037C97"/>
    <w:rsid w:val="00037CFD"/>
    <w:rsid w:val="00040217"/>
    <w:rsid w:val="000403D2"/>
    <w:rsid w:val="0004076C"/>
    <w:rsid w:val="000408A0"/>
    <w:rsid w:val="000408A5"/>
    <w:rsid w:val="000408AE"/>
    <w:rsid w:val="00040957"/>
    <w:rsid w:val="00040CE3"/>
    <w:rsid w:val="00040D0F"/>
    <w:rsid w:val="00041176"/>
    <w:rsid w:val="0004122B"/>
    <w:rsid w:val="00041517"/>
    <w:rsid w:val="00041B5D"/>
    <w:rsid w:val="0004226B"/>
    <w:rsid w:val="00042328"/>
    <w:rsid w:val="00042708"/>
    <w:rsid w:val="00042714"/>
    <w:rsid w:val="00042DB9"/>
    <w:rsid w:val="000438B3"/>
    <w:rsid w:val="00043913"/>
    <w:rsid w:val="00044685"/>
    <w:rsid w:val="0004478F"/>
    <w:rsid w:val="00044C8C"/>
    <w:rsid w:val="00044CF4"/>
    <w:rsid w:val="000452C7"/>
    <w:rsid w:val="0004586D"/>
    <w:rsid w:val="0004587A"/>
    <w:rsid w:val="00045EE0"/>
    <w:rsid w:val="00045EFB"/>
    <w:rsid w:val="00047734"/>
    <w:rsid w:val="00047ADC"/>
    <w:rsid w:val="00047D73"/>
    <w:rsid w:val="00050015"/>
    <w:rsid w:val="000501A4"/>
    <w:rsid w:val="000502FB"/>
    <w:rsid w:val="00050712"/>
    <w:rsid w:val="00050CA9"/>
    <w:rsid w:val="00050EA0"/>
    <w:rsid w:val="00051312"/>
    <w:rsid w:val="00051762"/>
    <w:rsid w:val="0005176B"/>
    <w:rsid w:val="00051782"/>
    <w:rsid w:val="000518EF"/>
    <w:rsid w:val="00051E1B"/>
    <w:rsid w:val="00051F02"/>
    <w:rsid w:val="00052048"/>
    <w:rsid w:val="000526DD"/>
    <w:rsid w:val="00052A0E"/>
    <w:rsid w:val="00052B4F"/>
    <w:rsid w:val="00052F23"/>
    <w:rsid w:val="00053303"/>
    <w:rsid w:val="00053E65"/>
    <w:rsid w:val="0005435B"/>
    <w:rsid w:val="00054D92"/>
    <w:rsid w:val="00054FBE"/>
    <w:rsid w:val="00055034"/>
    <w:rsid w:val="00055889"/>
    <w:rsid w:val="00055C19"/>
    <w:rsid w:val="00055F99"/>
    <w:rsid w:val="00056433"/>
    <w:rsid w:val="000564D1"/>
    <w:rsid w:val="00057363"/>
    <w:rsid w:val="00057D37"/>
    <w:rsid w:val="00060256"/>
    <w:rsid w:val="00060414"/>
    <w:rsid w:val="00060A78"/>
    <w:rsid w:val="00060B91"/>
    <w:rsid w:val="00060E15"/>
    <w:rsid w:val="00060E1B"/>
    <w:rsid w:val="00061400"/>
    <w:rsid w:val="00061553"/>
    <w:rsid w:val="0006191E"/>
    <w:rsid w:val="00061DA5"/>
    <w:rsid w:val="0006239C"/>
    <w:rsid w:val="00062853"/>
    <w:rsid w:val="00062D4A"/>
    <w:rsid w:val="00062E0E"/>
    <w:rsid w:val="0006303F"/>
    <w:rsid w:val="000633EF"/>
    <w:rsid w:val="00063660"/>
    <w:rsid w:val="0006419C"/>
    <w:rsid w:val="00064413"/>
    <w:rsid w:val="00064442"/>
    <w:rsid w:val="00064A73"/>
    <w:rsid w:val="0006504E"/>
    <w:rsid w:val="000652F6"/>
    <w:rsid w:val="0006537A"/>
    <w:rsid w:val="00065883"/>
    <w:rsid w:val="000662C1"/>
    <w:rsid w:val="00066368"/>
    <w:rsid w:val="0006638C"/>
    <w:rsid w:val="00066564"/>
    <w:rsid w:val="00066BE8"/>
    <w:rsid w:val="000670EC"/>
    <w:rsid w:val="000677A2"/>
    <w:rsid w:val="00067B0A"/>
    <w:rsid w:val="0007019A"/>
    <w:rsid w:val="00070375"/>
    <w:rsid w:val="0007075C"/>
    <w:rsid w:val="000709FF"/>
    <w:rsid w:val="00070A35"/>
    <w:rsid w:val="00070BC9"/>
    <w:rsid w:val="00070CA1"/>
    <w:rsid w:val="00070EA5"/>
    <w:rsid w:val="00070FD8"/>
    <w:rsid w:val="0007148E"/>
    <w:rsid w:val="000725AE"/>
    <w:rsid w:val="00073004"/>
    <w:rsid w:val="00073596"/>
    <w:rsid w:val="00073852"/>
    <w:rsid w:val="00073E63"/>
    <w:rsid w:val="0007455C"/>
    <w:rsid w:val="000748E5"/>
    <w:rsid w:val="0007495A"/>
    <w:rsid w:val="00074C4B"/>
    <w:rsid w:val="00075836"/>
    <w:rsid w:val="0007625C"/>
    <w:rsid w:val="00076CBC"/>
    <w:rsid w:val="0007709E"/>
    <w:rsid w:val="00077127"/>
    <w:rsid w:val="000771B9"/>
    <w:rsid w:val="000779C7"/>
    <w:rsid w:val="00077F21"/>
    <w:rsid w:val="00080710"/>
    <w:rsid w:val="00080B53"/>
    <w:rsid w:val="00080DD9"/>
    <w:rsid w:val="00081098"/>
    <w:rsid w:val="000811FC"/>
    <w:rsid w:val="00081282"/>
    <w:rsid w:val="00081A0F"/>
    <w:rsid w:val="00081A14"/>
    <w:rsid w:val="0008205E"/>
    <w:rsid w:val="00082162"/>
    <w:rsid w:val="000823C4"/>
    <w:rsid w:val="000826B8"/>
    <w:rsid w:val="0008276E"/>
    <w:rsid w:val="00082AFB"/>
    <w:rsid w:val="00082DC7"/>
    <w:rsid w:val="0008309B"/>
    <w:rsid w:val="000831C8"/>
    <w:rsid w:val="00083799"/>
    <w:rsid w:val="000838F5"/>
    <w:rsid w:val="00083B6C"/>
    <w:rsid w:val="00083BD5"/>
    <w:rsid w:val="00083D23"/>
    <w:rsid w:val="00084490"/>
    <w:rsid w:val="00084518"/>
    <w:rsid w:val="00085006"/>
    <w:rsid w:val="000850DC"/>
    <w:rsid w:val="0008577A"/>
    <w:rsid w:val="0008597F"/>
    <w:rsid w:val="00086708"/>
    <w:rsid w:val="00086953"/>
    <w:rsid w:val="00086D55"/>
    <w:rsid w:val="000872C8"/>
    <w:rsid w:val="000879FB"/>
    <w:rsid w:val="00087EF2"/>
    <w:rsid w:val="0009015D"/>
    <w:rsid w:val="000902AA"/>
    <w:rsid w:val="00090425"/>
    <w:rsid w:val="00090534"/>
    <w:rsid w:val="00090BA7"/>
    <w:rsid w:val="00090BF6"/>
    <w:rsid w:val="00090D08"/>
    <w:rsid w:val="00090F5D"/>
    <w:rsid w:val="0009133F"/>
    <w:rsid w:val="000915D4"/>
    <w:rsid w:val="00091828"/>
    <w:rsid w:val="00091897"/>
    <w:rsid w:val="000921E1"/>
    <w:rsid w:val="000923CA"/>
    <w:rsid w:val="00092759"/>
    <w:rsid w:val="00092CA5"/>
    <w:rsid w:val="000935AA"/>
    <w:rsid w:val="00093B86"/>
    <w:rsid w:val="00094191"/>
    <w:rsid w:val="00094321"/>
    <w:rsid w:val="00094790"/>
    <w:rsid w:val="00094A8E"/>
    <w:rsid w:val="00094D55"/>
    <w:rsid w:val="00095355"/>
    <w:rsid w:val="000958D5"/>
    <w:rsid w:val="000967EB"/>
    <w:rsid w:val="00096B41"/>
    <w:rsid w:val="000978DD"/>
    <w:rsid w:val="000A0129"/>
    <w:rsid w:val="000A0585"/>
    <w:rsid w:val="000A05E3"/>
    <w:rsid w:val="000A0BAC"/>
    <w:rsid w:val="000A0C55"/>
    <w:rsid w:val="000A102A"/>
    <w:rsid w:val="000A12B6"/>
    <w:rsid w:val="000A179E"/>
    <w:rsid w:val="000A1A7B"/>
    <w:rsid w:val="000A1B88"/>
    <w:rsid w:val="000A1BEE"/>
    <w:rsid w:val="000A1EAC"/>
    <w:rsid w:val="000A2077"/>
    <w:rsid w:val="000A23DA"/>
    <w:rsid w:val="000A2E7B"/>
    <w:rsid w:val="000A37C9"/>
    <w:rsid w:val="000A3852"/>
    <w:rsid w:val="000A3D93"/>
    <w:rsid w:val="000A4173"/>
    <w:rsid w:val="000A4420"/>
    <w:rsid w:val="000A4787"/>
    <w:rsid w:val="000A494B"/>
    <w:rsid w:val="000A498A"/>
    <w:rsid w:val="000A4C80"/>
    <w:rsid w:val="000A50B2"/>
    <w:rsid w:val="000A5AF5"/>
    <w:rsid w:val="000A5D6C"/>
    <w:rsid w:val="000A5E21"/>
    <w:rsid w:val="000A674F"/>
    <w:rsid w:val="000A6AEA"/>
    <w:rsid w:val="000A6DC0"/>
    <w:rsid w:val="000A6EF7"/>
    <w:rsid w:val="000A7471"/>
    <w:rsid w:val="000A748A"/>
    <w:rsid w:val="000A7994"/>
    <w:rsid w:val="000A79C0"/>
    <w:rsid w:val="000A7A72"/>
    <w:rsid w:val="000A7A9F"/>
    <w:rsid w:val="000A9928"/>
    <w:rsid w:val="000B01DF"/>
    <w:rsid w:val="000B02A1"/>
    <w:rsid w:val="000B0327"/>
    <w:rsid w:val="000B0F42"/>
    <w:rsid w:val="000B1534"/>
    <w:rsid w:val="000B1626"/>
    <w:rsid w:val="000B1C01"/>
    <w:rsid w:val="000B226F"/>
    <w:rsid w:val="000B2378"/>
    <w:rsid w:val="000B2618"/>
    <w:rsid w:val="000B283A"/>
    <w:rsid w:val="000B3B09"/>
    <w:rsid w:val="000B3C19"/>
    <w:rsid w:val="000B460C"/>
    <w:rsid w:val="000B4889"/>
    <w:rsid w:val="000B497C"/>
    <w:rsid w:val="000B49DC"/>
    <w:rsid w:val="000B56AB"/>
    <w:rsid w:val="000B5806"/>
    <w:rsid w:val="000B663C"/>
    <w:rsid w:val="000B69EE"/>
    <w:rsid w:val="000B7B55"/>
    <w:rsid w:val="000C052F"/>
    <w:rsid w:val="000C05F5"/>
    <w:rsid w:val="000C08E9"/>
    <w:rsid w:val="000C0A7A"/>
    <w:rsid w:val="000C1127"/>
    <w:rsid w:val="000C123B"/>
    <w:rsid w:val="000C19BD"/>
    <w:rsid w:val="000C1A8D"/>
    <w:rsid w:val="000C2047"/>
    <w:rsid w:val="000C20BD"/>
    <w:rsid w:val="000C21AD"/>
    <w:rsid w:val="000C2C16"/>
    <w:rsid w:val="000C2E00"/>
    <w:rsid w:val="000C32BF"/>
    <w:rsid w:val="000C3794"/>
    <w:rsid w:val="000C380A"/>
    <w:rsid w:val="000C3E5F"/>
    <w:rsid w:val="000C40ED"/>
    <w:rsid w:val="000C4324"/>
    <w:rsid w:val="000C5D14"/>
    <w:rsid w:val="000C6446"/>
    <w:rsid w:val="000C670A"/>
    <w:rsid w:val="000C7B49"/>
    <w:rsid w:val="000C7FA6"/>
    <w:rsid w:val="000C7FFC"/>
    <w:rsid w:val="000D017E"/>
    <w:rsid w:val="000D239E"/>
    <w:rsid w:val="000D273A"/>
    <w:rsid w:val="000D294B"/>
    <w:rsid w:val="000D2A6B"/>
    <w:rsid w:val="000D2AC3"/>
    <w:rsid w:val="000D3590"/>
    <w:rsid w:val="000D3B43"/>
    <w:rsid w:val="000D4159"/>
    <w:rsid w:val="000D4BAA"/>
    <w:rsid w:val="000D4D3E"/>
    <w:rsid w:val="000D5100"/>
    <w:rsid w:val="000D5774"/>
    <w:rsid w:val="000D5AF9"/>
    <w:rsid w:val="000D5CAD"/>
    <w:rsid w:val="000D5EBE"/>
    <w:rsid w:val="000D6597"/>
    <w:rsid w:val="000D76B8"/>
    <w:rsid w:val="000E0276"/>
    <w:rsid w:val="000E071F"/>
    <w:rsid w:val="000E075E"/>
    <w:rsid w:val="000E0923"/>
    <w:rsid w:val="000E15DC"/>
    <w:rsid w:val="000E1C20"/>
    <w:rsid w:val="000E1E7F"/>
    <w:rsid w:val="000E20A6"/>
    <w:rsid w:val="000E238A"/>
    <w:rsid w:val="000E26B5"/>
    <w:rsid w:val="000E300E"/>
    <w:rsid w:val="000E3092"/>
    <w:rsid w:val="000E31D5"/>
    <w:rsid w:val="000E320E"/>
    <w:rsid w:val="000E395C"/>
    <w:rsid w:val="000E3C13"/>
    <w:rsid w:val="000E3CC6"/>
    <w:rsid w:val="000E3D71"/>
    <w:rsid w:val="000E42DE"/>
    <w:rsid w:val="000E4C1B"/>
    <w:rsid w:val="000E4D98"/>
    <w:rsid w:val="000E4F8C"/>
    <w:rsid w:val="000E553F"/>
    <w:rsid w:val="000E5C58"/>
    <w:rsid w:val="000E5ED5"/>
    <w:rsid w:val="000E610F"/>
    <w:rsid w:val="000E611D"/>
    <w:rsid w:val="000E6B74"/>
    <w:rsid w:val="000E709A"/>
    <w:rsid w:val="000E739A"/>
    <w:rsid w:val="000E7761"/>
    <w:rsid w:val="000E7810"/>
    <w:rsid w:val="000E7EB8"/>
    <w:rsid w:val="000E7F73"/>
    <w:rsid w:val="000F03F6"/>
    <w:rsid w:val="000F0A2E"/>
    <w:rsid w:val="000F104D"/>
    <w:rsid w:val="000F113C"/>
    <w:rsid w:val="000F1290"/>
    <w:rsid w:val="000F1C1C"/>
    <w:rsid w:val="000F1CCF"/>
    <w:rsid w:val="000F2B66"/>
    <w:rsid w:val="000F2D6D"/>
    <w:rsid w:val="000F3C28"/>
    <w:rsid w:val="000F4088"/>
    <w:rsid w:val="000F4B7B"/>
    <w:rsid w:val="000F4F96"/>
    <w:rsid w:val="000F5326"/>
    <w:rsid w:val="000F5A07"/>
    <w:rsid w:val="000F68B7"/>
    <w:rsid w:val="000F71DA"/>
    <w:rsid w:val="000F7C08"/>
    <w:rsid w:val="001003FA"/>
    <w:rsid w:val="0010044D"/>
    <w:rsid w:val="0010051D"/>
    <w:rsid w:val="00100606"/>
    <w:rsid w:val="00100990"/>
    <w:rsid w:val="0010099D"/>
    <w:rsid w:val="00100BD1"/>
    <w:rsid w:val="00100D91"/>
    <w:rsid w:val="001011D5"/>
    <w:rsid w:val="00101369"/>
    <w:rsid w:val="00102976"/>
    <w:rsid w:val="00102CF6"/>
    <w:rsid w:val="00102F0D"/>
    <w:rsid w:val="00102F2B"/>
    <w:rsid w:val="0010312E"/>
    <w:rsid w:val="00103391"/>
    <w:rsid w:val="00103440"/>
    <w:rsid w:val="00103461"/>
    <w:rsid w:val="00103668"/>
    <w:rsid w:val="00104204"/>
    <w:rsid w:val="0010488C"/>
    <w:rsid w:val="00104C11"/>
    <w:rsid w:val="00105071"/>
    <w:rsid w:val="00105707"/>
    <w:rsid w:val="00105BB9"/>
    <w:rsid w:val="00105C7B"/>
    <w:rsid w:val="00106358"/>
    <w:rsid w:val="00106B39"/>
    <w:rsid w:val="00110305"/>
    <w:rsid w:val="001103FF"/>
    <w:rsid w:val="00110909"/>
    <w:rsid w:val="001115CC"/>
    <w:rsid w:val="001116F8"/>
    <w:rsid w:val="00111AC3"/>
    <w:rsid w:val="00111C8B"/>
    <w:rsid w:val="0011201A"/>
    <w:rsid w:val="0011261C"/>
    <w:rsid w:val="00112A6A"/>
    <w:rsid w:val="00112ABD"/>
    <w:rsid w:val="0011358D"/>
    <w:rsid w:val="00113EEB"/>
    <w:rsid w:val="00114C63"/>
    <w:rsid w:val="00115429"/>
    <w:rsid w:val="0011575E"/>
    <w:rsid w:val="00115907"/>
    <w:rsid w:val="00115C30"/>
    <w:rsid w:val="00116179"/>
    <w:rsid w:val="0011653D"/>
    <w:rsid w:val="00116D83"/>
    <w:rsid w:val="001208D4"/>
    <w:rsid w:val="00120B79"/>
    <w:rsid w:val="00120DAD"/>
    <w:rsid w:val="0012102E"/>
    <w:rsid w:val="001219B0"/>
    <w:rsid w:val="00121B4A"/>
    <w:rsid w:val="00121BF7"/>
    <w:rsid w:val="00121E12"/>
    <w:rsid w:val="001225D3"/>
    <w:rsid w:val="001227C6"/>
    <w:rsid w:val="00122C50"/>
    <w:rsid w:val="00122CF4"/>
    <w:rsid w:val="00123540"/>
    <w:rsid w:val="00123693"/>
    <w:rsid w:val="001243BC"/>
    <w:rsid w:val="00124736"/>
    <w:rsid w:val="00124990"/>
    <w:rsid w:val="00124A63"/>
    <w:rsid w:val="00124F89"/>
    <w:rsid w:val="00124FB7"/>
    <w:rsid w:val="00125A7B"/>
    <w:rsid w:val="00125AF2"/>
    <w:rsid w:val="00125CCF"/>
    <w:rsid w:val="001260FD"/>
    <w:rsid w:val="00126D51"/>
    <w:rsid w:val="0012731E"/>
    <w:rsid w:val="00127321"/>
    <w:rsid w:val="0012744D"/>
    <w:rsid w:val="001274AB"/>
    <w:rsid w:val="00127D78"/>
    <w:rsid w:val="00127DCD"/>
    <w:rsid w:val="00130039"/>
    <w:rsid w:val="001304C0"/>
    <w:rsid w:val="001305E6"/>
    <w:rsid w:val="001305EC"/>
    <w:rsid w:val="00130BEE"/>
    <w:rsid w:val="00131109"/>
    <w:rsid w:val="00131137"/>
    <w:rsid w:val="001315F2"/>
    <w:rsid w:val="00132214"/>
    <w:rsid w:val="00132231"/>
    <w:rsid w:val="00132A28"/>
    <w:rsid w:val="00132A7A"/>
    <w:rsid w:val="00132C65"/>
    <w:rsid w:val="00133148"/>
    <w:rsid w:val="001333CE"/>
    <w:rsid w:val="00133A1F"/>
    <w:rsid w:val="0013405D"/>
    <w:rsid w:val="001342C0"/>
    <w:rsid w:val="00134694"/>
    <w:rsid w:val="001346A7"/>
    <w:rsid w:val="00134741"/>
    <w:rsid w:val="001349B8"/>
    <w:rsid w:val="00134FE4"/>
    <w:rsid w:val="0013520A"/>
    <w:rsid w:val="001352C3"/>
    <w:rsid w:val="00135710"/>
    <w:rsid w:val="001357D7"/>
    <w:rsid w:val="00135CCD"/>
    <w:rsid w:val="00136255"/>
    <w:rsid w:val="00136D43"/>
    <w:rsid w:val="0013709F"/>
    <w:rsid w:val="00137BE7"/>
    <w:rsid w:val="00137F60"/>
    <w:rsid w:val="00140037"/>
    <w:rsid w:val="0014004B"/>
    <w:rsid w:val="001400AB"/>
    <w:rsid w:val="00140584"/>
    <w:rsid w:val="00140A41"/>
    <w:rsid w:val="00141189"/>
    <w:rsid w:val="001414AC"/>
    <w:rsid w:val="001418DA"/>
    <w:rsid w:val="001419CD"/>
    <w:rsid w:val="001419EE"/>
    <w:rsid w:val="00142B67"/>
    <w:rsid w:val="00142FE1"/>
    <w:rsid w:val="0014325E"/>
    <w:rsid w:val="00143845"/>
    <w:rsid w:val="00143DB3"/>
    <w:rsid w:val="00143E29"/>
    <w:rsid w:val="001441A4"/>
    <w:rsid w:val="001443B4"/>
    <w:rsid w:val="00144AB1"/>
    <w:rsid w:val="00144D2A"/>
    <w:rsid w:val="00144E73"/>
    <w:rsid w:val="0014509B"/>
    <w:rsid w:val="00145F90"/>
    <w:rsid w:val="0014670B"/>
    <w:rsid w:val="001468D3"/>
    <w:rsid w:val="00146BDF"/>
    <w:rsid w:val="00150295"/>
    <w:rsid w:val="0015040D"/>
    <w:rsid w:val="001516EA"/>
    <w:rsid w:val="0015172D"/>
    <w:rsid w:val="00152D4F"/>
    <w:rsid w:val="0015308C"/>
    <w:rsid w:val="001532EF"/>
    <w:rsid w:val="0015330F"/>
    <w:rsid w:val="0015394F"/>
    <w:rsid w:val="00153ABA"/>
    <w:rsid w:val="00153E25"/>
    <w:rsid w:val="00154505"/>
    <w:rsid w:val="001547A5"/>
    <w:rsid w:val="00154B86"/>
    <w:rsid w:val="00154BF4"/>
    <w:rsid w:val="00155CC9"/>
    <w:rsid w:val="00155D25"/>
    <w:rsid w:val="001562A8"/>
    <w:rsid w:val="00156349"/>
    <w:rsid w:val="0015684D"/>
    <w:rsid w:val="00156C74"/>
    <w:rsid w:val="00156E90"/>
    <w:rsid w:val="00157474"/>
    <w:rsid w:val="00157D8E"/>
    <w:rsid w:val="00160112"/>
    <w:rsid w:val="00160549"/>
    <w:rsid w:val="00160602"/>
    <w:rsid w:val="001608E4"/>
    <w:rsid w:val="00160BBD"/>
    <w:rsid w:val="00160BCA"/>
    <w:rsid w:val="00160D9F"/>
    <w:rsid w:val="00160DA4"/>
    <w:rsid w:val="00161423"/>
    <w:rsid w:val="00162645"/>
    <w:rsid w:val="00163925"/>
    <w:rsid w:val="00163F90"/>
    <w:rsid w:val="00164119"/>
    <w:rsid w:val="0016418C"/>
    <w:rsid w:val="00164870"/>
    <w:rsid w:val="001648FB"/>
    <w:rsid w:val="00164CC3"/>
    <w:rsid w:val="00164D3A"/>
    <w:rsid w:val="00164EBC"/>
    <w:rsid w:val="0016553F"/>
    <w:rsid w:val="00165573"/>
    <w:rsid w:val="00165577"/>
    <w:rsid w:val="001656AE"/>
    <w:rsid w:val="0016584A"/>
    <w:rsid w:val="0016603C"/>
    <w:rsid w:val="00166516"/>
    <w:rsid w:val="00166820"/>
    <w:rsid w:val="00166BDB"/>
    <w:rsid w:val="00170173"/>
    <w:rsid w:val="00170558"/>
    <w:rsid w:val="001705DE"/>
    <w:rsid w:val="001706E2"/>
    <w:rsid w:val="00170CE1"/>
    <w:rsid w:val="00170D49"/>
    <w:rsid w:val="00171A80"/>
    <w:rsid w:val="001723DF"/>
    <w:rsid w:val="0017284B"/>
    <w:rsid w:val="00172A0F"/>
    <w:rsid w:val="0017326E"/>
    <w:rsid w:val="00174843"/>
    <w:rsid w:val="00174CAA"/>
    <w:rsid w:val="00174D48"/>
    <w:rsid w:val="00174F1B"/>
    <w:rsid w:val="00175089"/>
    <w:rsid w:val="001754EA"/>
    <w:rsid w:val="00175687"/>
    <w:rsid w:val="00175B9C"/>
    <w:rsid w:val="00176D13"/>
    <w:rsid w:val="001772A8"/>
    <w:rsid w:val="001777C6"/>
    <w:rsid w:val="00177958"/>
    <w:rsid w:val="00177CD5"/>
    <w:rsid w:val="00177D19"/>
    <w:rsid w:val="00180641"/>
    <w:rsid w:val="00180B4C"/>
    <w:rsid w:val="0018179A"/>
    <w:rsid w:val="001817D2"/>
    <w:rsid w:val="00181E1F"/>
    <w:rsid w:val="00181F1C"/>
    <w:rsid w:val="0018218A"/>
    <w:rsid w:val="00182912"/>
    <w:rsid w:val="001835F9"/>
    <w:rsid w:val="00184086"/>
    <w:rsid w:val="001842A6"/>
    <w:rsid w:val="00184548"/>
    <w:rsid w:val="00184618"/>
    <w:rsid w:val="00184919"/>
    <w:rsid w:val="001849FC"/>
    <w:rsid w:val="00184E7C"/>
    <w:rsid w:val="00185B1E"/>
    <w:rsid w:val="00185E30"/>
    <w:rsid w:val="00185F3B"/>
    <w:rsid w:val="0018613B"/>
    <w:rsid w:val="001863B4"/>
    <w:rsid w:val="001864DD"/>
    <w:rsid w:val="00186D2D"/>
    <w:rsid w:val="001874F4"/>
    <w:rsid w:val="001904A8"/>
    <w:rsid w:val="001908B9"/>
    <w:rsid w:val="00191140"/>
    <w:rsid w:val="001916AA"/>
    <w:rsid w:val="0019233D"/>
    <w:rsid w:val="001935E5"/>
    <w:rsid w:val="001937C4"/>
    <w:rsid w:val="00193D1A"/>
    <w:rsid w:val="00194118"/>
    <w:rsid w:val="00194866"/>
    <w:rsid w:val="00194F7C"/>
    <w:rsid w:val="001959DA"/>
    <w:rsid w:val="00196321"/>
    <w:rsid w:val="0019663B"/>
    <w:rsid w:val="00196668"/>
    <w:rsid w:val="00196F55"/>
    <w:rsid w:val="00197070"/>
    <w:rsid w:val="00197292"/>
    <w:rsid w:val="0019742D"/>
    <w:rsid w:val="001979BA"/>
    <w:rsid w:val="001A009A"/>
    <w:rsid w:val="001A0186"/>
    <w:rsid w:val="001A0A05"/>
    <w:rsid w:val="001A112C"/>
    <w:rsid w:val="001A1138"/>
    <w:rsid w:val="001A1397"/>
    <w:rsid w:val="001A13FA"/>
    <w:rsid w:val="001A1732"/>
    <w:rsid w:val="001A2051"/>
    <w:rsid w:val="001A20E8"/>
    <w:rsid w:val="001A2185"/>
    <w:rsid w:val="001A2CE9"/>
    <w:rsid w:val="001A3153"/>
    <w:rsid w:val="001A3407"/>
    <w:rsid w:val="001A3722"/>
    <w:rsid w:val="001A3A05"/>
    <w:rsid w:val="001A3ADF"/>
    <w:rsid w:val="001A3E18"/>
    <w:rsid w:val="001A40A3"/>
    <w:rsid w:val="001A428A"/>
    <w:rsid w:val="001A43DE"/>
    <w:rsid w:val="001A459B"/>
    <w:rsid w:val="001A4748"/>
    <w:rsid w:val="001A570F"/>
    <w:rsid w:val="001A6F4B"/>
    <w:rsid w:val="001A7EEF"/>
    <w:rsid w:val="001A7F1F"/>
    <w:rsid w:val="001B005B"/>
    <w:rsid w:val="001B1079"/>
    <w:rsid w:val="001B1976"/>
    <w:rsid w:val="001B2538"/>
    <w:rsid w:val="001B2A3F"/>
    <w:rsid w:val="001B2FAE"/>
    <w:rsid w:val="001B3448"/>
    <w:rsid w:val="001B3617"/>
    <w:rsid w:val="001B3DA3"/>
    <w:rsid w:val="001B4143"/>
    <w:rsid w:val="001B4471"/>
    <w:rsid w:val="001B44DA"/>
    <w:rsid w:val="001B4796"/>
    <w:rsid w:val="001B4A0C"/>
    <w:rsid w:val="001B4B92"/>
    <w:rsid w:val="001B4D40"/>
    <w:rsid w:val="001B51F9"/>
    <w:rsid w:val="001B53DE"/>
    <w:rsid w:val="001B5A50"/>
    <w:rsid w:val="001B62B8"/>
    <w:rsid w:val="001B6423"/>
    <w:rsid w:val="001B6B57"/>
    <w:rsid w:val="001B7184"/>
    <w:rsid w:val="001B76A0"/>
    <w:rsid w:val="001B7FE6"/>
    <w:rsid w:val="001C0622"/>
    <w:rsid w:val="001C0F34"/>
    <w:rsid w:val="001C11C5"/>
    <w:rsid w:val="001C1FB9"/>
    <w:rsid w:val="001C2C97"/>
    <w:rsid w:val="001C2E71"/>
    <w:rsid w:val="001C2FA4"/>
    <w:rsid w:val="001C352B"/>
    <w:rsid w:val="001C3F32"/>
    <w:rsid w:val="001C41C8"/>
    <w:rsid w:val="001C48B6"/>
    <w:rsid w:val="001C4C04"/>
    <w:rsid w:val="001C4DF7"/>
    <w:rsid w:val="001C4FB2"/>
    <w:rsid w:val="001C501A"/>
    <w:rsid w:val="001C57FF"/>
    <w:rsid w:val="001C59C0"/>
    <w:rsid w:val="001C5FEE"/>
    <w:rsid w:val="001C60EF"/>
    <w:rsid w:val="001C694F"/>
    <w:rsid w:val="001C6C9C"/>
    <w:rsid w:val="001C6D40"/>
    <w:rsid w:val="001C7098"/>
    <w:rsid w:val="001C70DB"/>
    <w:rsid w:val="001C721E"/>
    <w:rsid w:val="001C72CA"/>
    <w:rsid w:val="001D1172"/>
    <w:rsid w:val="001D21DD"/>
    <w:rsid w:val="001D288E"/>
    <w:rsid w:val="001D28CC"/>
    <w:rsid w:val="001D2907"/>
    <w:rsid w:val="001D2967"/>
    <w:rsid w:val="001D2C58"/>
    <w:rsid w:val="001D31AA"/>
    <w:rsid w:val="001D3305"/>
    <w:rsid w:val="001D3368"/>
    <w:rsid w:val="001D3524"/>
    <w:rsid w:val="001D3833"/>
    <w:rsid w:val="001D3951"/>
    <w:rsid w:val="001D3BA3"/>
    <w:rsid w:val="001D3ED8"/>
    <w:rsid w:val="001D4665"/>
    <w:rsid w:val="001D4741"/>
    <w:rsid w:val="001D4C33"/>
    <w:rsid w:val="001D4EF3"/>
    <w:rsid w:val="001D557C"/>
    <w:rsid w:val="001D6122"/>
    <w:rsid w:val="001D6554"/>
    <w:rsid w:val="001D6EE5"/>
    <w:rsid w:val="001D7B52"/>
    <w:rsid w:val="001D7DBD"/>
    <w:rsid w:val="001E053E"/>
    <w:rsid w:val="001E093F"/>
    <w:rsid w:val="001E1335"/>
    <w:rsid w:val="001E137B"/>
    <w:rsid w:val="001E1D6B"/>
    <w:rsid w:val="001E204B"/>
    <w:rsid w:val="001E2495"/>
    <w:rsid w:val="001E2579"/>
    <w:rsid w:val="001E2E97"/>
    <w:rsid w:val="001E3AAF"/>
    <w:rsid w:val="001E40D3"/>
    <w:rsid w:val="001E47ED"/>
    <w:rsid w:val="001E52DF"/>
    <w:rsid w:val="001E5690"/>
    <w:rsid w:val="001E5767"/>
    <w:rsid w:val="001E60BA"/>
    <w:rsid w:val="001E702D"/>
    <w:rsid w:val="001E722B"/>
    <w:rsid w:val="001E7281"/>
    <w:rsid w:val="001E7948"/>
    <w:rsid w:val="001E7CE4"/>
    <w:rsid w:val="001F0A6E"/>
    <w:rsid w:val="001F0D23"/>
    <w:rsid w:val="001F0E4E"/>
    <w:rsid w:val="001F176F"/>
    <w:rsid w:val="001F28BE"/>
    <w:rsid w:val="001F39FA"/>
    <w:rsid w:val="001F4655"/>
    <w:rsid w:val="001F4C3C"/>
    <w:rsid w:val="001F5154"/>
    <w:rsid w:val="001F54F2"/>
    <w:rsid w:val="001F660F"/>
    <w:rsid w:val="001F66DD"/>
    <w:rsid w:val="001F6A1C"/>
    <w:rsid w:val="001F6AED"/>
    <w:rsid w:val="001F6C44"/>
    <w:rsid w:val="001F7203"/>
    <w:rsid w:val="00200097"/>
    <w:rsid w:val="0020019F"/>
    <w:rsid w:val="00200A4B"/>
    <w:rsid w:val="002018CC"/>
    <w:rsid w:val="00201BC1"/>
    <w:rsid w:val="00201C4C"/>
    <w:rsid w:val="00201F24"/>
    <w:rsid w:val="00202234"/>
    <w:rsid w:val="00202A04"/>
    <w:rsid w:val="00202BFE"/>
    <w:rsid w:val="00202DBE"/>
    <w:rsid w:val="00203003"/>
    <w:rsid w:val="00203585"/>
    <w:rsid w:val="00203BD2"/>
    <w:rsid w:val="002042BD"/>
    <w:rsid w:val="00205034"/>
    <w:rsid w:val="00205197"/>
    <w:rsid w:val="002053A4"/>
    <w:rsid w:val="0020593D"/>
    <w:rsid w:val="002059A3"/>
    <w:rsid w:val="002059AC"/>
    <w:rsid w:val="00205ADE"/>
    <w:rsid w:val="00205B37"/>
    <w:rsid w:val="00205D29"/>
    <w:rsid w:val="00205F6E"/>
    <w:rsid w:val="00206083"/>
    <w:rsid w:val="00206118"/>
    <w:rsid w:val="00206480"/>
    <w:rsid w:val="00206959"/>
    <w:rsid w:val="00206CBF"/>
    <w:rsid w:val="0020735B"/>
    <w:rsid w:val="00207B07"/>
    <w:rsid w:val="00207B98"/>
    <w:rsid w:val="00210001"/>
    <w:rsid w:val="00210338"/>
    <w:rsid w:val="00210599"/>
    <w:rsid w:val="002105DC"/>
    <w:rsid w:val="00210B04"/>
    <w:rsid w:val="0021106D"/>
    <w:rsid w:val="0021162B"/>
    <w:rsid w:val="00211C19"/>
    <w:rsid w:val="00211F6A"/>
    <w:rsid w:val="00212535"/>
    <w:rsid w:val="00213E2F"/>
    <w:rsid w:val="00213E32"/>
    <w:rsid w:val="00214276"/>
    <w:rsid w:val="00214832"/>
    <w:rsid w:val="00214916"/>
    <w:rsid w:val="00214A26"/>
    <w:rsid w:val="00214B64"/>
    <w:rsid w:val="00215ECC"/>
    <w:rsid w:val="0021606B"/>
    <w:rsid w:val="002163DF"/>
    <w:rsid w:val="00216492"/>
    <w:rsid w:val="002165CA"/>
    <w:rsid w:val="0021698A"/>
    <w:rsid w:val="00216AA5"/>
    <w:rsid w:val="00220307"/>
    <w:rsid w:val="00220365"/>
    <w:rsid w:val="00220D79"/>
    <w:rsid w:val="00220FFE"/>
    <w:rsid w:val="002217D6"/>
    <w:rsid w:val="00221BA5"/>
    <w:rsid w:val="00221CB8"/>
    <w:rsid w:val="002226F5"/>
    <w:rsid w:val="00222980"/>
    <w:rsid w:val="00223000"/>
    <w:rsid w:val="0022333F"/>
    <w:rsid w:val="00223621"/>
    <w:rsid w:val="002241A2"/>
    <w:rsid w:val="002249FB"/>
    <w:rsid w:val="00224BEB"/>
    <w:rsid w:val="00225EC5"/>
    <w:rsid w:val="00225F8A"/>
    <w:rsid w:val="00226061"/>
    <w:rsid w:val="0022617E"/>
    <w:rsid w:val="00226320"/>
    <w:rsid w:val="002267BC"/>
    <w:rsid w:val="002273DE"/>
    <w:rsid w:val="00227861"/>
    <w:rsid w:val="00227F96"/>
    <w:rsid w:val="00230C82"/>
    <w:rsid w:val="00231E0D"/>
    <w:rsid w:val="00231E9C"/>
    <w:rsid w:val="00232146"/>
    <w:rsid w:val="002322DE"/>
    <w:rsid w:val="0023260A"/>
    <w:rsid w:val="00232E32"/>
    <w:rsid w:val="002330F4"/>
    <w:rsid w:val="002332E9"/>
    <w:rsid w:val="002333D7"/>
    <w:rsid w:val="002345B4"/>
    <w:rsid w:val="00234CE9"/>
    <w:rsid w:val="00235187"/>
    <w:rsid w:val="00235B76"/>
    <w:rsid w:val="00236150"/>
    <w:rsid w:val="00236166"/>
    <w:rsid w:val="00236A67"/>
    <w:rsid w:val="00236EF6"/>
    <w:rsid w:val="00237B90"/>
    <w:rsid w:val="00237CC8"/>
    <w:rsid w:val="00240B17"/>
    <w:rsid w:val="00240E5B"/>
    <w:rsid w:val="00241680"/>
    <w:rsid w:val="00241D78"/>
    <w:rsid w:val="002420D4"/>
    <w:rsid w:val="002430F2"/>
    <w:rsid w:val="00243210"/>
    <w:rsid w:val="00243342"/>
    <w:rsid w:val="0024516A"/>
    <w:rsid w:val="00245337"/>
    <w:rsid w:val="002457A5"/>
    <w:rsid w:val="00245B00"/>
    <w:rsid w:val="00245C2C"/>
    <w:rsid w:val="002463C0"/>
    <w:rsid w:val="002463E2"/>
    <w:rsid w:val="002463FA"/>
    <w:rsid w:val="00246B60"/>
    <w:rsid w:val="00246DAE"/>
    <w:rsid w:val="00247A28"/>
    <w:rsid w:val="00250C01"/>
    <w:rsid w:val="002521DC"/>
    <w:rsid w:val="00252859"/>
    <w:rsid w:val="00252866"/>
    <w:rsid w:val="00252934"/>
    <w:rsid w:val="00253206"/>
    <w:rsid w:val="00253319"/>
    <w:rsid w:val="002538B4"/>
    <w:rsid w:val="002538E3"/>
    <w:rsid w:val="00253C18"/>
    <w:rsid w:val="00253EDB"/>
    <w:rsid w:val="00255593"/>
    <w:rsid w:val="00255907"/>
    <w:rsid w:val="0025592E"/>
    <w:rsid w:val="00255B96"/>
    <w:rsid w:val="00255C24"/>
    <w:rsid w:val="00256D88"/>
    <w:rsid w:val="00256F46"/>
    <w:rsid w:val="002570DE"/>
    <w:rsid w:val="00257354"/>
    <w:rsid w:val="002573FE"/>
    <w:rsid w:val="002574DA"/>
    <w:rsid w:val="00257699"/>
    <w:rsid w:val="00257939"/>
    <w:rsid w:val="00257DB8"/>
    <w:rsid w:val="00257FA9"/>
    <w:rsid w:val="0026009E"/>
    <w:rsid w:val="002603BB"/>
    <w:rsid w:val="0026065F"/>
    <w:rsid w:val="00260802"/>
    <w:rsid w:val="00261723"/>
    <w:rsid w:val="002617C8"/>
    <w:rsid w:val="002617F3"/>
    <w:rsid w:val="00261925"/>
    <w:rsid w:val="00261A38"/>
    <w:rsid w:val="0026234A"/>
    <w:rsid w:val="002632D7"/>
    <w:rsid w:val="0026386A"/>
    <w:rsid w:val="00263A2E"/>
    <w:rsid w:val="0026417F"/>
    <w:rsid w:val="00265059"/>
    <w:rsid w:val="002650CE"/>
    <w:rsid w:val="0026552C"/>
    <w:rsid w:val="002656A2"/>
    <w:rsid w:val="00265AD0"/>
    <w:rsid w:val="00265AD1"/>
    <w:rsid w:val="00265B35"/>
    <w:rsid w:val="00265F07"/>
    <w:rsid w:val="00265FB6"/>
    <w:rsid w:val="002668C6"/>
    <w:rsid w:val="00266C61"/>
    <w:rsid w:val="00267125"/>
    <w:rsid w:val="00267178"/>
    <w:rsid w:val="0026767C"/>
    <w:rsid w:val="00267993"/>
    <w:rsid w:val="00267B22"/>
    <w:rsid w:val="00267D00"/>
    <w:rsid w:val="00270346"/>
    <w:rsid w:val="0027097C"/>
    <w:rsid w:val="002710E6"/>
    <w:rsid w:val="002711B5"/>
    <w:rsid w:val="0027179B"/>
    <w:rsid w:val="00271CB6"/>
    <w:rsid w:val="00271E5A"/>
    <w:rsid w:val="002722EA"/>
    <w:rsid w:val="0027248A"/>
    <w:rsid w:val="00272763"/>
    <w:rsid w:val="00272867"/>
    <w:rsid w:val="00272E2D"/>
    <w:rsid w:val="0027301A"/>
    <w:rsid w:val="002735FF"/>
    <w:rsid w:val="00273748"/>
    <w:rsid w:val="00273809"/>
    <w:rsid w:val="0027381F"/>
    <w:rsid w:val="00273B0A"/>
    <w:rsid w:val="002743CC"/>
    <w:rsid w:val="002744AA"/>
    <w:rsid w:val="002748FE"/>
    <w:rsid w:val="00274FAF"/>
    <w:rsid w:val="0027533B"/>
    <w:rsid w:val="0027617B"/>
    <w:rsid w:val="002762DA"/>
    <w:rsid w:val="00276ECC"/>
    <w:rsid w:val="00277FA1"/>
    <w:rsid w:val="0028032D"/>
    <w:rsid w:val="00280846"/>
    <w:rsid w:val="00280E21"/>
    <w:rsid w:val="00281E5E"/>
    <w:rsid w:val="002821A0"/>
    <w:rsid w:val="00282AC5"/>
    <w:rsid w:val="00282DB1"/>
    <w:rsid w:val="00283A3E"/>
    <w:rsid w:val="00283BFE"/>
    <w:rsid w:val="00283D51"/>
    <w:rsid w:val="002840F4"/>
    <w:rsid w:val="00284B5E"/>
    <w:rsid w:val="00284E0E"/>
    <w:rsid w:val="0028552D"/>
    <w:rsid w:val="00285733"/>
    <w:rsid w:val="0028593C"/>
    <w:rsid w:val="00285983"/>
    <w:rsid w:val="00285FE8"/>
    <w:rsid w:val="00286AD9"/>
    <w:rsid w:val="00286AF4"/>
    <w:rsid w:val="0028765E"/>
    <w:rsid w:val="0028769B"/>
    <w:rsid w:val="00287BB2"/>
    <w:rsid w:val="00287D22"/>
    <w:rsid w:val="00290164"/>
    <w:rsid w:val="0029037D"/>
    <w:rsid w:val="002906AC"/>
    <w:rsid w:val="00290798"/>
    <w:rsid w:val="00290D32"/>
    <w:rsid w:val="002911C7"/>
    <w:rsid w:val="002914D7"/>
    <w:rsid w:val="00291936"/>
    <w:rsid w:val="002919EB"/>
    <w:rsid w:val="00291A77"/>
    <w:rsid w:val="00291ABA"/>
    <w:rsid w:val="00291AC3"/>
    <w:rsid w:val="002923A3"/>
    <w:rsid w:val="0029266A"/>
    <w:rsid w:val="002926AC"/>
    <w:rsid w:val="002927E7"/>
    <w:rsid w:val="00292A58"/>
    <w:rsid w:val="002931C6"/>
    <w:rsid w:val="0029332D"/>
    <w:rsid w:val="0029345B"/>
    <w:rsid w:val="00293786"/>
    <w:rsid w:val="002937D4"/>
    <w:rsid w:val="00293AE8"/>
    <w:rsid w:val="00293B0E"/>
    <w:rsid w:val="00293D30"/>
    <w:rsid w:val="00293E9C"/>
    <w:rsid w:val="00293FFC"/>
    <w:rsid w:val="00294348"/>
    <w:rsid w:val="00294B3A"/>
    <w:rsid w:val="00294C1A"/>
    <w:rsid w:val="00294F3F"/>
    <w:rsid w:val="002950EF"/>
    <w:rsid w:val="00295A94"/>
    <w:rsid w:val="00295EB3"/>
    <w:rsid w:val="002961D6"/>
    <w:rsid w:val="00296524"/>
    <w:rsid w:val="002967D4"/>
    <w:rsid w:val="00296F0D"/>
    <w:rsid w:val="0029705F"/>
    <w:rsid w:val="002973C9"/>
    <w:rsid w:val="00297E77"/>
    <w:rsid w:val="002A008E"/>
    <w:rsid w:val="002A046D"/>
    <w:rsid w:val="002A0D02"/>
    <w:rsid w:val="002A1164"/>
    <w:rsid w:val="002A127F"/>
    <w:rsid w:val="002A17C6"/>
    <w:rsid w:val="002A18C1"/>
    <w:rsid w:val="002A19C7"/>
    <w:rsid w:val="002A1D8D"/>
    <w:rsid w:val="002A2822"/>
    <w:rsid w:val="002A31ED"/>
    <w:rsid w:val="002A3A9F"/>
    <w:rsid w:val="002A3D1E"/>
    <w:rsid w:val="002A3E68"/>
    <w:rsid w:val="002A4265"/>
    <w:rsid w:val="002A50DF"/>
    <w:rsid w:val="002A51E3"/>
    <w:rsid w:val="002A53E3"/>
    <w:rsid w:val="002A566E"/>
    <w:rsid w:val="002A5B83"/>
    <w:rsid w:val="002A611E"/>
    <w:rsid w:val="002A6586"/>
    <w:rsid w:val="002A7034"/>
    <w:rsid w:val="002A7724"/>
    <w:rsid w:val="002A7E55"/>
    <w:rsid w:val="002B0200"/>
    <w:rsid w:val="002B023E"/>
    <w:rsid w:val="002B02A6"/>
    <w:rsid w:val="002B0A65"/>
    <w:rsid w:val="002B0CB2"/>
    <w:rsid w:val="002B0CF8"/>
    <w:rsid w:val="002B0CFA"/>
    <w:rsid w:val="002B138E"/>
    <w:rsid w:val="002B14D1"/>
    <w:rsid w:val="002B1A68"/>
    <w:rsid w:val="002B210B"/>
    <w:rsid w:val="002B2690"/>
    <w:rsid w:val="002B2A87"/>
    <w:rsid w:val="002B2E88"/>
    <w:rsid w:val="002B2EE9"/>
    <w:rsid w:val="002B34DB"/>
    <w:rsid w:val="002B39B4"/>
    <w:rsid w:val="002B3ACD"/>
    <w:rsid w:val="002B3E15"/>
    <w:rsid w:val="002B3F95"/>
    <w:rsid w:val="002B4540"/>
    <w:rsid w:val="002B50AB"/>
    <w:rsid w:val="002B5E72"/>
    <w:rsid w:val="002B60CC"/>
    <w:rsid w:val="002B6280"/>
    <w:rsid w:val="002B74A9"/>
    <w:rsid w:val="002B74F7"/>
    <w:rsid w:val="002B7727"/>
    <w:rsid w:val="002B7AD9"/>
    <w:rsid w:val="002B7DAC"/>
    <w:rsid w:val="002B7EB0"/>
    <w:rsid w:val="002C006A"/>
    <w:rsid w:val="002C05C9"/>
    <w:rsid w:val="002C1258"/>
    <w:rsid w:val="002C17A8"/>
    <w:rsid w:val="002C1B28"/>
    <w:rsid w:val="002C1D1D"/>
    <w:rsid w:val="002C206D"/>
    <w:rsid w:val="002C2411"/>
    <w:rsid w:val="002C2B04"/>
    <w:rsid w:val="002C2C44"/>
    <w:rsid w:val="002C42F6"/>
    <w:rsid w:val="002C4E86"/>
    <w:rsid w:val="002C4F64"/>
    <w:rsid w:val="002C54C1"/>
    <w:rsid w:val="002C5E97"/>
    <w:rsid w:val="002C6278"/>
    <w:rsid w:val="002C6363"/>
    <w:rsid w:val="002C661C"/>
    <w:rsid w:val="002C6793"/>
    <w:rsid w:val="002C6799"/>
    <w:rsid w:val="002C72B3"/>
    <w:rsid w:val="002C7627"/>
    <w:rsid w:val="002C78B4"/>
    <w:rsid w:val="002C7B23"/>
    <w:rsid w:val="002D04FB"/>
    <w:rsid w:val="002D07BF"/>
    <w:rsid w:val="002D14AB"/>
    <w:rsid w:val="002D1B50"/>
    <w:rsid w:val="002D21D8"/>
    <w:rsid w:val="002D5122"/>
    <w:rsid w:val="002D5700"/>
    <w:rsid w:val="002D5AAD"/>
    <w:rsid w:val="002D5CA9"/>
    <w:rsid w:val="002D6984"/>
    <w:rsid w:val="002D69C4"/>
    <w:rsid w:val="002D6BF6"/>
    <w:rsid w:val="002D6CFB"/>
    <w:rsid w:val="002D6DBE"/>
    <w:rsid w:val="002D78B4"/>
    <w:rsid w:val="002D7B0D"/>
    <w:rsid w:val="002D7C8E"/>
    <w:rsid w:val="002E1455"/>
    <w:rsid w:val="002E15A7"/>
    <w:rsid w:val="002E160F"/>
    <w:rsid w:val="002E1EE8"/>
    <w:rsid w:val="002E2016"/>
    <w:rsid w:val="002E2074"/>
    <w:rsid w:val="002E20F8"/>
    <w:rsid w:val="002E276E"/>
    <w:rsid w:val="002E2AF2"/>
    <w:rsid w:val="002E2B74"/>
    <w:rsid w:val="002E2FFE"/>
    <w:rsid w:val="002E3A34"/>
    <w:rsid w:val="002E3B9D"/>
    <w:rsid w:val="002E3EEA"/>
    <w:rsid w:val="002E3F91"/>
    <w:rsid w:val="002E40C5"/>
    <w:rsid w:val="002E42FF"/>
    <w:rsid w:val="002E4709"/>
    <w:rsid w:val="002E480D"/>
    <w:rsid w:val="002E4FD4"/>
    <w:rsid w:val="002E5386"/>
    <w:rsid w:val="002E544D"/>
    <w:rsid w:val="002E5A61"/>
    <w:rsid w:val="002E5E4A"/>
    <w:rsid w:val="002E5F6B"/>
    <w:rsid w:val="002E60B3"/>
    <w:rsid w:val="002E6499"/>
    <w:rsid w:val="002E649F"/>
    <w:rsid w:val="002E6C10"/>
    <w:rsid w:val="002E6DA0"/>
    <w:rsid w:val="002E7459"/>
    <w:rsid w:val="002E7544"/>
    <w:rsid w:val="002E77D3"/>
    <w:rsid w:val="002E7C0B"/>
    <w:rsid w:val="002E7F19"/>
    <w:rsid w:val="002F084D"/>
    <w:rsid w:val="002F0A9A"/>
    <w:rsid w:val="002F0D0C"/>
    <w:rsid w:val="002F17FE"/>
    <w:rsid w:val="002F1CE6"/>
    <w:rsid w:val="002F1DAD"/>
    <w:rsid w:val="002F25AE"/>
    <w:rsid w:val="002F2989"/>
    <w:rsid w:val="002F2A81"/>
    <w:rsid w:val="002F308B"/>
    <w:rsid w:val="002F312E"/>
    <w:rsid w:val="002F3699"/>
    <w:rsid w:val="002F3A33"/>
    <w:rsid w:val="002F3B04"/>
    <w:rsid w:val="002F4811"/>
    <w:rsid w:val="002F48A7"/>
    <w:rsid w:val="002F4CB3"/>
    <w:rsid w:val="002F6672"/>
    <w:rsid w:val="002F6A2D"/>
    <w:rsid w:val="002F6A58"/>
    <w:rsid w:val="002F70BE"/>
    <w:rsid w:val="002F717F"/>
    <w:rsid w:val="002F784D"/>
    <w:rsid w:val="002F7EB1"/>
    <w:rsid w:val="0030088F"/>
    <w:rsid w:val="00301CAE"/>
    <w:rsid w:val="00302138"/>
    <w:rsid w:val="0030248D"/>
    <w:rsid w:val="00302A21"/>
    <w:rsid w:val="00302A6E"/>
    <w:rsid w:val="003030F1"/>
    <w:rsid w:val="00303784"/>
    <w:rsid w:val="00303864"/>
    <w:rsid w:val="00303DF2"/>
    <w:rsid w:val="003047A9"/>
    <w:rsid w:val="003049ED"/>
    <w:rsid w:val="00304AEA"/>
    <w:rsid w:val="00304B56"/>
    <w:rsid w:val="003051D8"/>
    <w:rsid w:val="00305652"/>
    <w:rsid w:val="0030582C"/>
    <w:rsid w:val="00305F81"/>
    <w:rsid w:val="00307DBE"/>
    <w:rsid w:val="003105D9"/>
    <w:rsid w:val="003109E1"/>
    <w:rsid w:val="00310B4A"/>
    <w:rsid w:val="00311D0A"/>
    <w:rsid w:val="00313147"/>
    <w:rsid w:val="00313399"/>
    <w:rsid w:val="003134A4"/>
    <w:rsid w:val="0031358C"/>
    <w:rsid w:val="00313B45"/>
    <w:rsid w:val="00313D78"/>
    <w:rsid w:val="00313E32"/>
    <w:rsid w:val="00313E34"/>
    <w:rsid w:val="003141E8"/>
    <w:rsid w:val="00314264"/>
    <w:rsid w:val="00314319"/>
    <w:rsid w:val="00314B45"/>
    <w:rsid w:val="00314CA9"/>
    <w:rsid w:val="003156BC"/>
    <w:rsid w:val="00315A92"/>
    <w:rsid w:val="00315CA8"/>
    <w:rsid w:val="003161AA"/>
    <w:rsid w:val="00316458"/>
    <w:rsid w:val="00316D00"/>
    <w:rsid w:val="0031715D"/>
    <w:rsid w:val="003176CC"/>
    <w:rsid w:val="00320345"/>
    <w:rsid w:val="00320A68"/>
    <w:rsid w:val="0032192E"/>
    <w:rsid w:val="00321A1D"/>
    <w:rsid w:val="00321BD5"/>
    <w:rsid w:val="00322A3E"/>
    <w:rsid w:val="003238C3"/>
    <w:rsid w:val="0032398B"/>
    <w:rsid w:val="00323E6D"/>
    <w:rsid w:val="00323F7F"/>
    <w:rsid w:val="003244D7"/>
    <w:rsid w:val="00324781"/>
    <w:rsid w:val="00324A5D"/>
    <w:rsid w:val="00324BCD"/>
    <w:rsid w:val="00324F30"/>
    <w:rsid w:val="00325023"/>
    <w:rsid w:val="0032533F"/>
    <w:rsid w:val="00325B98"/>
    <w:rsid w:val="00325BFF"/>
    <w:rsid w:val="00325FD8"/>
    <w:rsid w:val="003265B9"/>
    <w:rsid w:val="003265FC"/>
    <w:rsid w:val="00326A56"/>
    <w:rsid w:val="00326C2A"/>
    <w:rsid w:val="00326F5C"/>
    <w:rsid w:val="00327232"/>
    <w:rsid w:val="00327DD2"/>
    <w:rsid w:val="00330864"/>
    <w:rsid w:val="0033103B"/>
    <w:rsid w:val="003310F0"/>
    <w:rsid w:val="00331182"/>
    <w:rsid w:val="003317C5"/>
    <w:rsid w:val="00332AB2"/>
    <w:rsid w:val="00332C60"/>
    <w:rsid w:val="00333B87"/>
    <w:rsid w:val="00333D81"/>
    <w:rsid w:val="003342E1"/>
    <w:rsid w:val="003343F8"/>
    <w:rsid w:val="00335189"/>
    <w:rsid w:val="0033550F"/>
    <w:rsid w:val="003364F2"/>
    <w:rsid w:val="0033678D"/>
    <w:rsid w:val="00337355"/>
    <w:rsid w:val="003373DB"/>
    <w:rsid w:val="0033777C"/>
    <w:rsid w:val="0033795C"/>
    <w:rsid w:val="0034018E"/>
    <w:rsid w:val="00340192"/>
    <w:rsid w:val="003403C0"/>
    <w:rsid w:val="0034062D"/>
    <w:rsid w:val="00340692"/>
    <w:rsid w:val="00340EE0"/>
    <w:rsid w:val="00340FFA"/>
    <w:rsid w:val="003412B1"/>
    <w:rsid w:val="003415B6"/>
    <w:rsid w:val="00341B71"/>
    <w:rsid w:val="00342037"/>
    <w:rsid w:val="00342322"/>
    <w:rsid w:val="003426BF"/>
    <w:rsid w:val="00342A21"/>
    <w:rsid w:val="00342AA1"/>
    <w:rsid w:val="00342CB9"/>
    <w:rsid w:val="00343032"/>
    <w:rsid w:val="00343533"/>
    <w:rsid w:val="00343A5B"/>
    <w:rsid w:val="00343ADA"/>
    <w:rsid w:val="00343C3E"/>
    <w:rsid w:val="00343C73"/>
    <w:rsid w:val="00343DE8"/>
    <w:rsid w:val="00343FE5"/>
    <w:rsid w:val="00344637"/>
    <w:rsid w:val="003447B8"/>
    <w:rsid w:val="00344A12"/>
    <w:rsid w:val="00344BEF"/>
    <w:rsid w:val="00344C69"/>
    <w:rsid w:val="00344F82"/>
    <w:rsid w:val="0034596F"/>
    <w:rsid w:val="00345AA4"/>
    <w:rsid w:val="003466A3"/>
    <w:rsid w:val="00346C68"/>
    <w:rsid w:val="00346E75"/>
    <w:rsid w:val="0034712C"/>
    <w:rsid w:val="0034750F"/>
    <w:rsid w:val="00347598"/>
    <w:rsid w:val="0034783E"/>
    <w:rsid w:val="00347AB9"/>
    <w:rsid w:val="00350615"/>
    <w:rsid w:val="00350BED"/>
    <w:rsid w:val="00350E1F"/>
    <w:rsid w:val="00352438"/>
    <w:rsid w:val="00352541"/>
    <w:rsid w:val="003527C1"/>
    <w:rsid w:val="0035366F"/>
    <w:rsid w:val="00353C42"/>
    <w:rsid w:val="0035417E"/>
    <w:rsid w:val="00354B78"/>
    <w:rsid w:val="00354BBC"/>
    <w:rsid w:val="00355EDF"/>
    <w:rsid w:val="0035658A"/>
    <w:rsid w:val="00357854"/>
    <w:rsid w:val="00357ADD"/>
    <w:rsid w:val="00357DC7"/>
    <w:rsid w:val="00360444"/>
    <w:rsid w:val="00360501"/>
    <w:rsid w:val="0036051A"/>
    <w:rsid w:val="003605F6"/>
    <w:rsid w:val="00361551"/>
    <w:rsid w:val="00362361"/>
    <w:rsid w:val="00362847"/>
    <w:rsid w:val="003629E4"/>
    <w:rsid w:val="003639AA"/>
    <w:rsid w:val="00363E13"/>
    <w:rsid w:val="00364141"/>
    <w:rsid w:val="00364286"/>
    <w:rsid w:val="0036453C"/>
    <w:rsid w:val="00364821"/>
    <w:rsid w:val="003648BA"/>
    <w:rsid w:val="00364911"/>
    <w:rsid w:val="00364F4B"/>
    <w:rsid w:val="00365C7D"/>
    <w:rsid w:val="00365F02"/>
    <w:rsid w:val="003664F7"/>
    <w:rsid w:val="00366705"/>
    <w:rsid w:val="0036700A"/>
    <w:rsid w:val="003671ED"/>
    <w:rsid w:val="00367D72"/>
    <w:rsid w:val="00367EF6"/>
    <w:rsid w:val="00370241"/>
    <w:rsid w:val="00370C43"/>
    <w:rsid w:val="00370FE8"/>
    <w:rsid w:val="0037125D"/>
    <w:rsid w:val="003716C9"/>
    <w:rsid w:val="00371E7E"/>
    <w:rsid w:val="00371EF6"/>
    <w:rsid w:val="00372512"/>
    <w:rsid w:val="003731FA"/>
    <w:rsid w:val="00373AB4"/>
    <w:rsid w:val="00373F2A"/>
    <w:rsid w:val="00374A75"/>
    <w:rsid w:val="00374B6B"/>
    <w:rsid w:val="00374D92"/>
    <w:rsid w:val="00374DCD"/>
    <w:rsid w:val="003751AD"/>
    <w:rsid w:val="00376236"/>
    <w:rsid w:val="00376A5A"/>
    <w:rsid w:val="00376A71"/>
    <w:rsid w:val="00376E41"/>
    <w:rsid w:val="00377059"/>
    <w:rsid w:val="003770C5"/>
    <w:rsid w:val="00377222"/>
    <w:rsid w:val="003772FA"/>
    <w:rsid w:val="00377529"/>
    <w:rsid w:val="003778BE"/>
    <w:rsid w:val="003779A2"/>
    <w:rsid w:val="003800AF"/>
    <w:rsid w:val="003810ED"/>
    <w:rsid w:val="0038139C"/>
    <w:rsid w:val="00381BE5"/>
    <w:rsid w:val="00381E84"/>
    <w:rsid w:val="003823E1"/>
    <w:rsid w:val="0038245E"/>
    <w:rsid w:val="00382798"/>
    <w:rsid w:val="00383436"/>
    <w:rsid w:val="00383CAA"/>
    <w:rsid w:val="003842E9"/>
    <w:rsid w:val="00384376"/>
    <w:rsid w:val="003844E9"/>
    <w:rsid w:val="00384CB4"/>
    <w:rsid w:val="00384DBB"/>
    <w:rsid w:val="003859E2"/>
    <w:rsid w:val="00385B97"/>
    <w:rsid w:val="00386157"/>
    <w:rsid w:val="003863B8"/>
    <w:rsid w:val="00386912"/>
    <w:rsid w:val="00386AAC"/>
    <w:rsid w:val="00386ADE"/>
    <w:rsid w:val="00386C8D"/>
    <w:rsid w:val="00386D22"/>
    <w:rsid w:val="00386F0C"/>
    <w:rsid w:val="003878C9"/>
    <w:rsid w:val="00390D0A"/>
    <w:rsid w:val="00390F03"/>
    <w:rsid w:val="003911FA"/>
    <w:rsid w:val="00391AB2"/>
    <w:rsid w:val="00391E14"/>
    <w:rsid w:val="003936AA"/>
    <w:rsid w:val="00393B69"/>
    <w:rsid w:val="00393C0E"/>
    <w:rsid w:val="00393EB6"/>
    <w:rsid w:val="00393FF6"/>
    <w:rsid w:val="003941B7"/>
    <w:rsid w:val="003945AA"/>
    <w:rsid w:val="00395140"/>
    <w:rsid w:val="0039545C"/>
    <w:rsid w:val="003959F6"/>
    <w:rsid w:val="00395C8F"/>
    <w:rsid w:val="00395CAA"/>
    <w:rsid w:val="003963D1"/>
    <w:rsid w:val="00396DE4"/>
    <w:rsid w:val="00396E8A"/>
    <w:rsid w:val="00397544"/>
    <w:rsid w:val="003979FF"/>
    <w:rsid w:val="00397BEE"/>
    <w:rsid w:val="003A05B0"/>
    <w:rsid w:val="003A0AD2"/>
    <w:rsid w:val="003A0B63"/>
    <w:rsid w:val="003A0D0D"/>
    <w:rsid w:val="003A1ED1"/>
    <w:rsid w:val="003A1F5A"/>
    <w:rsid w:val="003A23E4"/>
    <w:rsid w:val="003A2584"/>
    <w:rsid w:val="003A2654"/>
    <w:rsid w:val="003A29A9"/>
    <w:rsid w:val="003A2B8F"/>
    <w:rsid w:val="003A2D48"/>
    <w:rsid w:val="003A2FDC"/>
    <w:rsid w:val="003A3116"/>
    <w:rsid w:val="003A3294"/>
    <w:rsid w:val="003A337E"/>
    <w:rsid w:val="003A3FB0"/>
    <w:rsid w:val="003A44C6"/>
    <w:rsid w:val="003A4E15"/>
    <w:rsid w:val="003A4E63"/>
    <w:rsid w:val="003A5367"/>
    <w:rsid w:val="003A54A7"/>
    <w:rsid w:val="003A58C2"/>
    <w:rsid w:val="003A6656"/>
    <w:rsid w:val="003A71A0"/>
    <w:rsid w:val="003A728F"/>
    <w:rsid w:val="003A73C1"/>
    <w:rsid w:val="003A7599"/>
    <w:rsid w:val="003A79B2"/>
    <w:rsid w:val="003A7B29"/>
    <w:rsid w:val="003B01FD"/>
    <w:rsid w:val="003B09A5"/>
    <w:rsid w:val="003B0A07"/>
    <w:rsid w:val="003B0CEB"/>
    <w:rsid w:val="003B0D27"/>
    <w:rsid w:val="003B2071"/>
    <w:rsid w:val="003B2188"/>
    <w:rsid w:val="003B219B"/>
    <w:rsid w:val="003B2B65"/>
    <w:rsid w:val="003B31DC"/>
    <w:rsid w:val="003B32C1"/>
    <w:rsid w:val="003B3A4B"/>
    <w:rsid w:val="003B3D14"/>
    <w:rsid w:val="003B3F08"/>
    <w:rsid w:val="003B479C"/>
    <w:rsid w:val="003B47AE"/>
    <w:rsid w:val="003B48C0"/>
    <w:rsid w:val="003B5096"/>
    <w:rsid w:val="003B55DE"/>
    <w:rsid w:val="003B587E"/>
    <w:rsid w:val="003B5C47"/>
    <w:rsid w:val="003B5C81"/>
    <w:rsid w:val="003B5DF2"/>
    <w:rsid w:val="003B67C5"/>
    <w:rsid w:val="003B6A88"/>
    <w:rsid w:val="003B6D97"/>
    <w:rsid w:val="003B7226"/>
    <w:rsid w:val="003B74E1"/>
    <w:rsid w:val="003B791E"/>
    <w:rsid w:val="003B7EA4"/>
    <w:rsid w:val="003C0AA6"/>
    <w:rsid w:val="003C1379"/>
    <w:rsid w:val="003C181E"/>
    <w:rsid w:val="003C1FDE"/>
    <w:rsid w:val="003C2524"/>
    <w:rsid w:val="003C2A40"/>
    <w:rsid w:val="003C4001"/>
    <w:rsid w:val="003C493E"/>
    <w:rsid w:val="003C4C35"/>
    <w:rsid w:val="003C502C"/>
    <w:rsid w:val="003C529E"/>
    <w:rsid w:val="003C5CFB"/>
    <w:rsid w:val="003C5E41"/>
    <w:rsid w:val="003C5E76"/>
    <w:rsid w:val="003C5FD7"/>
    <w:rsid w:val="003C609E"/>
    <w:rsid w:val="003C6275"/>
    <w:rsid w:val="003C62F2"/>
    <w:rsid w:val="003C6559"/>
    <w:rsid w:val="003C65E9"/>
    <w:rsid w:val="003C6615"/>
    <w:rsid w:val="003C674E"/>
    <w:rsid w:val="003C6AD6"/>
    <w:rsid w:val="003C6CE4"/>
    <w:rsid w:val="003C6DB1"/>
    <w:rsid w:val="003C709C"/>
    <w:rsid w:val="003C7829"/>
    <w:rsid w:val="003D0099"/>
    <w:rsid w:val="003D0233"/>
    <w:rsid w:val="003D023E"/>
    <w:rsid w:val="003D084B"/>
    <w:rsid w:val="003D1078"/>
    <w:rsid w:val="003D129F"/>
    <w:rsid w:val="003D1688"/>
    <w:rsid w:val="003D16F1"/>
    <w:rsid w:val="003D17B8"/>
    <w:rsid w:val="003D2C66"/>
    <w:rsid w:val="003D2F54"/>
    <w:rsid w:val="003D37F3"/>
    <w:rsid w:val="003D4037"/>
    <w:rsid w:val="003D4284"/>
    <w:rsid w:val="003D4382"/>
    <w:rsid w:val="003D43E5"/>
    <w:rsid w:val="003D47AF"/>
    <w:rsid w:val="003D4C30"/>
    <w:rsid w:val="003D4ECF"/>
    <w:rsid w:val="003D4F98"/>
    <w:rsid w:val="003D5314"/>
    <w:rsid w:val="003D57A2"/>
    <w:rsid w:val="003D584E"/>
    <w:rsid w:val="003D5AC6"/>
    <w:rsid w:val="003D6109"/>
    <w:rsid w:val="003D6C15"/>
    <w:rsid w:val="003D6D9F"/>
    <w:rsid w:val="003D717C"/>
    <w:rsid w:val="003D729D"/>
    <w:rsid w:val="003D738C"/>
    <w:rsid w:val="003D7493"/>
    <w:rsid w:val="003D7A67"/>
    <w:rsid w:val="003D7B4B"/>
    <w:rsid w:val="003D7BC9"/>
    <w:rsid w:val="003E036D"/>
    <w:rsid w:val="003E0F62"/>
    <w:rsid w:val="003E1085"/>
    <w:rsid w:val="003E1251"/>
    <w:rsid w:val="003E12A6"/>
    <w:rsid w:val="003E1F90"/>
    <w:rsid w:val="003E26F1"/>
    <w:rsid w:val="003E3374"/>
    <w:rsid w:val="003E3C2F"/>
    <w:rsid w:val="003E4012"/>
    <w:rsid w:val="003E4181"/>
    <w:rsid w:val="003E4719"/>
    <w:rsid w:val="003E4889"/>
    <w:rsid w:val="003E4927"/>
    <w:rsid w:val="003E4D59"/>
    <w:rsid w:val="003E4D76"/>
    <w:rsid w:val="003E5379"/>
    <w:rsid w:val="003E55B1"/>
    <w:rsid w:val="003E5730"/>
    <w:rsid w:val="003E598B"/>
    <w:rsid w:val="003E5BD7"/>
    <w:rsid w:val="003E6D56"/>
    <w:rsid w:val="003E6E03"/>
    <w:rsid w:val="003E6FFF"/>
    <w:rsid w:val="003E74B0"/>
    <w:rsid w:val="003E7DE1"/>
    <w:rsid w:val="003F004A"/>
    <w:rsid w:val="003F048E"/>
    <w:rsid w:val="003F05B2"/>
    <w:rsid w:val="003F092F"/>
    <w:rsid w:val="003F0A00"/>
    <w:rsid w:val="003F0AE3"/>
    <w:rsid w:val="003F1437"/>
    <w:rsid w:val="003F185C"/>
    <w:rsid w:val="003F1DD8"/>
    <w:rsid w:val="003F2275"/>
    <w:rsid w:val="003F2446"/>
    <w:rsid w:val="003F2479"/>
    <w:rsid w:val="003F2C40"/>
    <w:rsid w:val="003F2D4E"/>
    <w:rsid w:val="003F2DA4"/>
    <w:rsid w:val="003F305B"/>
    <w:rsid w:val="003F3197"/>
    <w:rsid w:val="003F367F"/>
    <w:rsid w:val="003F36A3"/>
    <w:rsid w:val="003F3A4A"/>
    <w:rsid w:val="003F5240"/>
    <w:rsid w:val="003F5940"/>
    <w:rsid w:val="003F5CD4"/>
    <w:rsid w:val="003F66B5"/>
    <w:rsid w:val="003F675F"/>
    <w:rsid w:val="003F6883"/>
    <w:rsid w:val="003F6965"/>
    <w:rsid w:val="003F69E4"/>
    <w:rsid w:val="003F6BB2"/>
    <w:rsid w:val="003F6C4D"/>
    <w:rsid w:val="003F6E6A"/>
    <w:rsid w:val="003F6F05"/>
    <w:rsid w:val="003F707A"/>
    <w:rsid w:val="003F7C89"/>
    <w:rsid w:val="0040000D"/>
    <w:rsid w:val="00400200"/>
    <w:rsid w:val="004011D9"/>
    <w:rsid w:val="00401A9B"/>
    <w:rsid w:val="004021C4"/>
    <w:rsid w:val="004021DF"/>
    <w:rsid w:val="0040330C"/>
    <w:rsid w:val="004036E0"/>
    <w:rsid w:val="004037DD"/>
    <w:rsid w:val="00403EA8"/>
    <w:rsid w:val="00403EDC"/>
    <w:rsid w:val="00404065"/>
    <w:rsid w:val="0040443F"/>
    <w:rsid w:val="004044B8"/>
    <w:rsid w:val="004046ED"/>
    <w:rsid w:val="004053E1"/>
    <w:rsid w:val="004055C9"/>
    <w:rsid w:val="00405763"/>
    <w:rsid w:val="0040604D"/>
    <w:rsid w:val="00406952"/>
    <w:rsid w:val="00407603"/>
    <w:rsid w:val="004076F7"/>
    <w:rsid w:val="00407F1C"/>
    <w:rsid w:val="004112F6"/>
    <w:rsid w:val="004119BA"/>
    <w:rsid w:val="004122ED"/>
    <w:rsid w:val="00412C7A"/>
    <w:rsid w:val="00413089"/>
    <w:rsid w:val="004130BD"/>
    <w:rsid w:val="00413782"/>
    <w:rsid w:val="00413DFC"/>
    <w:rsid w:val="0041402E"/>
    <w:rsid w:val="0041458F"/>
    <w:rsid w:val="00414DDA"/>
    <w:rsid w:val="00414DF1"/>
    <w:rsid w:val="00414E9B"/>
    <w:rsid w:val="0041506F"/>
    <w:rsid w:val="00415D0B"/>
    <w:rsid w:val="00415F27"/>
    <w:rsid w:val="00416336"/>
    <w:rsid w:val="00416421"/>
    <w:rsid w:val="00416A59"/>
    <w:rsid w:val="00416D8E"/>
    <w:rsid w:val="00416EE0"/>
    <w:rsid w:val="004170DD"/>
    <w:rsid w:val="0041775A"/>
    <w:rsid w:val="00417CA8"/>
    <w:rsid w:val="00420140"/>
    <w:rsid w:val="0042021B"/>
    <w:rsid w:val="004202BA"/>
    <w:rsid w:val="0042080B"/>
    <w:rsid w:val="00421408"/>
    <w:rsid w:val="004214DB"/>
    <w:rsid w:val="0042190C"/>
    <w:rsid w:val="00421E20"/>
    <w:rsid w:val="00422491"/>
    <w:rsid w:val="00422721"/>
    <w:rsid w:val="00422A84"/>
    <w:rsid w:val="004230DE"/>
    <w:rsid w:val="00423B4A"/>
    <w:rsid w:val="00423F44"/>
    <w:rsid w:val="004245A8"/>
    <w:rsid w:val="004246E7"/>
    <w:rsid w:val="00424E47"/>
    <w:rsid w:val="00424EA3"/>
    <w:rsid w:val="00425359"/>
    <w:rsid w:val="004253D6"/>
    <w:rsid w:val="004254D8"/>
    <w:rsid w:val="00425856"/>
    <w:rsid w:val="00426862"/>
    <w:rsid w:val="00426BA6"/>
    <w:rsid w:val="00427410"/>
    <w:rsid w:val="00427990"/>
    <w:rsid w:val="00427A6C"/>
    <w:rsid w:val="004307A2"/>
    <w:rsid w:val="00430FD9"/>
    <w:rsid w:val="00430FDB"/>
    <w:rsid w:val="00431129"/>
    <w:rsid w:val="004313FF"/>
    <w:rsid w:val="00431584"/>
    <w:rsid w:val="00431629"/>
    <w:rsid w:val="004316D7"/>
    <w:rsid w:val="00431740"/>
    <w:rsid w:val="00431B71"/>
    <w:rsid w:val="00431C55"/>
    <w:rsid w:val="00431EDA"/>
    <w:rsid w:val="00431F33"/>
    <w:rsid w:val="0043231C"/>
    <w:rsid w:val="00432348"/>
    <w:rsid w:val="00432470"/>
    <w:rsid w:val="00432837"/>
    <w:rsid w:val="004329FA"/>
    <w:rsid w:val="00432C72"/>
    <w:rsid w:val="00432E82"/>
    <w:rsid w:val="004330AF"/>
    <w:rsid w:val="00433207"/>
    <w:rsid w:val="0043396E"/>
    <w:rsid w:val="00433A09"/>
    <w:rsid w:val="00434500"/>
    <w:rsid w:val="00434AB7"/>
    <w:rsid w:val="004350B5"/>
    <w:rsid w:val="00435447"/>
    <w:rsid w:val="00435751"/>
    <w:rsid w:val="00435997"/>
    <w:rsid w:val="00435D45"/>
    <w:rsid w:val="00435EA4"/>
    <w:rsid w:val="00435EDE"/>
    <w:rsid w:val="00436C42"/>
    <w:rsid w:val="004370AA"/>
    <w:rsid w:val="00437126"/>
    <w:rsid w:val="00437282"/>
    <w:rsid w:val="00440D8A"/>
    <w:rsid w:val="00441A6B"/>
    <w:rsid w:val="00441EA1"/>
    <w:rsid w:val="00442782"/>
    <w:rsid w:val="0044294C"/>
    <w:rsid w:val="00443B3B"/>
    <w:rsid w:val="00443D53"/>
    <w:rsid w:val="00443E2F"/>
    <w:rsid w:val="00444956"/>
    <w:rsid w:val="00445418"/>
    <w:rsid w:val="0044564C"/>
    <w:rsid w:val="00445798"/>
    <w:rsid w:val="00445B47"/>
    <w:rsid w:val="0044628C"/>
    <w:rsid w:val="00446448"/>
    <w:rsid w:val="00446E40"/>
    <w:rsid w:val="0044725C"/>
    <w:rsid w:val="00447465"/>
    <w:rsid w:val="00447575"/>
    <w:rsid w:val="004475CE"/>
    <w:rsid w:val="004479B1"/>
    <w:rsid w:val="004505C1"/>
    <w:rsid w:val="004507B8"/>
    <w:rsid w:val="004507D4"/>
    <w:rsid w:val="00450A85"/>
    <w:rsid w:val="00450CD0"/>
    <w:rsid w:val="00451065"/>
    <w:rsid w:val="0045133B"/>
    <w:rsid w:val="00451965"/>
    <w:rsid w:val="00452011"/>
    <w:rsid w:val="00452D4A"/>
    <w:rsid w:val="00453647"/>
    <w:rsid w:val="0045384E"/>
    <w:rsid w:val="0045392B"/>
    <w:rsid w:val="00453C82"/>
    <w:rsid w:val="00453EC6"/>
    <w:rsid w:val="004546BE"/>
    <w:rsid w:val="004549EA"/>
    <w:rsid w:val="00454CC0"/>
    <w:rsid w:val="00454FF2"/>
    <w:rsid w:val="0045512F"/>
    <w:rsid w:val="0045540E"/>
    <w:rsid w:val="00455494"/>
    <w:rsid w:val="00455AB5"/>
    <w:rsid w:val="00455CBE"/>
    <w:rsid w:val="00455EB7"/>
    <w:rsid w:val="00455FD5"/>
    <w:rsid w:val="00457B6F"/>
    <w:rsid w:val="00457CC6"/>
    <w:rsid w:val="00457E42"/>
    <w:rsid w:val="004602E1"/>
    <w:rsid w:val="0046036D"/>
    <w:rsid w:val="004604C0"/>
    <w:rsid w:val="004609C2"/>
    <w:rsid w:val="00460E8A"/>
    <w:rsid w:val="004617D7"/>
    <w:rsid w:val="0046184B"/>
    <w:rsid w:val="00462126"/>
    <w:rsid w:val="0046230A"/>
    <w:rsid w:val="00462707"/>
    <w:rsid w:val="004627FF"/>
    <w:rsid w:val="004629B8"/>
    <w:rsid w:val="00462C95"/>
    <w:rsid w:val="00462E4C"/>
    <w:rsid w:val="004630AC"/>
    <w:rsid w:val="004632F4"/>
    <w:rsid w:val="004634B2"/>
    <w:rsid w:val="00463888"/>
    <w:rsid w:val="00463B0A"/>
    <w:rsid w:val="0046486A"/>
    <w:rsid w:val="004649EB"/>
    <w:rsid w:val="00464AAF"/>
    <w:rsid w:val="00464B78"/>
    <w:rsid w:val="00464D4C"/>
    <w:rsid w:val="00464E7E"/>
    <w:rsid w:val="00464FEC"/>
    <w:rsid w:val="004653C5"/>
    <w:rsid w:val="0046542D"/>
    <w:rsid w:val="00465909"/>
    <w:rsid w:val="00465AED"/>
    <w:rsid w:val="00465B92"/>
    <w:rsid w:val="0046697C"/>
    <w:rsid w:val="00466F3B"/>
    <w:rsid w:val="00467025"/>
    <w:rsid w:val="0046744C"/>
    <w:rsid w:val="00467518"/>
    <w:rsid w:val="0046751C"/>
    <w:rsid w:val="004701CD"/>
    <w:rsid w:val="0047089C"/>
    <w:rsid w:val="00471425"/>
    <w:rsid w:val="00471443"/>
    <w:rsid w:val="0047195C"/>
    <w:rsid w:val="00471D4F"/>
    <w:rsid w:val="00472103"/>
    <w:rsid w:val="004721CC"/>
    <w:rsid w:val="004728ED"/>
    <w:rsid w:val="004737D0"/>
    <w:rsid w:val="00474483"/>
    <w:rsid w:val="00474F4B"/>
    <w:rsid w:val="00475009"/>
    <w:rsid w:val="004750E0"/>
    <w:rsid w:val="004756DD"/>
    <w:rsid w:val="004757FF"/>
    <w:rsid w:val="00475ACE"/>
    <w:rsid w:val="00475C7D"/>
    <w:rsid w:val="00476C51"/>
    <w:rsid w:val="00476CBE"/>
    <w:rsid w:val="004773FC"/>
    <w:rsid w:val="00477623"/>
    <w:rsid w:val="00480328"/>
    <w:rsid w:val="004804EA"/>
    <w:rsid w:val="0048110E"/>
    <w:rsid w:val="004816F3"/>
    <w:rsid w:val="00481BA3"/>
    <w:rsid w:val="00482163"/>
    <w:rsid w:val="00482275"/>
    <w:rsid w:val="00482AA9"/>
    <w:rsid w:val="004830F4"/>
    <w:rsid w:val="0048344E"/>
    <w:rsid w:val="004834FC"/>
    <w:rsid w:val="0048396A"/>
    <w:rsid w:val="00483B15"/>
    <w:rsid w:val="00483FB9"/>
    <w:rsid w:val="004845C8"/>
    <w:rsid w:val="00484732"/>
    <w:rsid w:val="004849BE"/>
    <w:rsid w:val="00484CF0"/>
    <w:rsid w:val="004866B0"/>
    <w:rsid w:val="00486C44"/>
    <w:rsid w:val="004873D6"/>
    <w:rsid w:val="004875F1"/>
    <w:rsid w:val="00487AD4"/>
    <w:rsid w:val="00487C6B"/>
    <w:rsid w:val="00487F0F"/>
    <w:rsid w:val="004903FB"/>
    <w:rsid w:val="004905E4"/>
    <w:rsid w:val="00491176"/>
    <w:rsid w:val="0049119A"/>
    <w:rsid w:val="004913E1"/>
    <w:rsid w:val="004919E4"/>
    <w:rsid w:val="00491F05"/>
    <w:rsid w:val="00491F90"/>
    <w:rsid w:val="004920E0"/>
    <w:rsid w:val="00492153"/>
    <w:rsid w:val="0049237B"/>
    <w:rsid w:val="00492A5A"/>
    <w:rsid w:val="00492C93"/>
    <w:rsid w:val="00492E29"/>
    <w:rsid w:val="00493315"/>
    <w:rsid w:val="00493C95"/>
    <w:rsid w:val="00493D94"/>
    <w:rsid w:val="004946CD"/>
    <w:rsid w:val="00494AE7"/>
    <w:rsid w:val="00494E37"/>
    <w:rsid w:val="00495FC7"/>
    <w:rsid w:val="00496609"/>
    <w:rsid w:val="0049669A"/>
    <w:rsid w:val="00496877"/>
    <w:rsid w:val="00496B3C"/>
    <w:rsid w:val="00496B7E"/>
    <w:rsid w:val="0049744B"/>
    <w:rsid w:val="004974D8"/>
    <w:rsid w:val="004977C7"/>
    <w:rsid w:val="0049796F"/>
    <w:rsid w:val="00497A4B"/>
    <w:rsid w:val="004A03F8"/>
    <w:rsid w:val="004A0C3A"/>
    <w:rsid w:val="004A13C4"/>
    <w:rsid w:val="004A1514"/>
    <w:rsid w:val="004A1940"/>
    <w:rsid w:val="004A1BC0"/>
    <w:rsid w:val="004A1F98"/>
    <w:rsid w:val="004A2566"/>
    <w:rsid w:val="004A316B"/>
    <w:rsid w:val="004A32CC"/>
    <w:rsid w:val="004A3794"/>
    <w:rsid w:val="004A42F2"/>
    <w:rsid w:val="004A4B9C"/>
    <w:rsid w:val="004A4C06"/>
    <w:rsid w:val="004A4CDA"/>
    <w:rsid w:val="004A5319"/>
    <w:rsid w:val="004A57D7"/>
    <w:rsid w:val="004A57DB"/>
    <w:rsid w:val="004A57F5"/>
    <w:rsid w:val="004A5864"/>
    <w:rsid w:val="004A5A99"/>
    <w:rsid w:val="004A5D92"/>
    <w:rsid w:val="004A68E6"/>
    <w:rsid w:val="004A6AA4"/>
    <w:rsid w:val="004A6DA6"/>
    <w:rsid w:val="004A7264"/>
    <w:rsid w:val="004A781C"/>
    <w:rsid w:val="004A7926"/>
    <w:rsid w:val="004A7BBC"/>
    <w:rsid w:val="004A7BE8"/>
    <w:rsid w:val="004A7DEB"/>
    <w:rsid w:val="004B0381"/>
    <w:rsid w:val="004B05B0"/>
    <w:rsid w:val="004B0CAC"/>
    <w:rsid w:val="004B1122"/>
    <w:rsid w:val="004B1164"/>
    <w:rsid w:val="004B1379"/>
    <w:rsid w:val="004B19B5"/>
    <w:rsid w:val="004B1A34"/>
    <w:rsid w:val="004B1D7D"/>
    <w:rsid w:val="004B2677"/>
    <w:rsid w:val="004B3088"/>
    <w:rsid w:val="004B32A8"/>
    <w:rsid w:val="004B32F7"/>
    <w:rsid w:val="004B3650"/>
    <w:rsid w:val="004B37BA"/>
    <w:rsid w:val="004B3A83"/>
    <w:rsid w:val="004B460A"/>
    <w:rsid w:val="004B478E"/>
    <w:rsid w:val="004B4F03"/>
    <w:rsid w:val="004B68C4"/>
    <w:rsid w:val="004B6B1E"/>
    <w:rsid w:val="004B7A96"/>
    <w:rsid w:val="004C0212"/>
    <w:rsid w:val="004C05F9"/>
    <w:rsid w:val="004C0B32"/>
    <w:rsid w:val="004C0C17"/>
    <w:rsid w:val="004C1122"/>
    <w:rsid w:val="004C1573"/>
    <w:rsid w:val="004C15CB"/>
    <w:rsid w:val="004C18FD"/>
    <w:rsid w:val="004C22F9"/>
    <w:rsid w:val="004C2751"/>
    <w:rsid w:val="004C2864"/>
    <w:rsid w:val="004C2BFF"/>
    <w:rsid w:val="004C2FBB"/>
    <w:rsid w:val="004C30A7"/>
    <w:rsid w:val="004C34FE"/>
    <w:rsid w:val="004C3A4B"/>
    <w:rsid w:val="004C3E7C"/>
    <w:rsid w:val="004C41A0"/>
    <w:rsid w:val="004C4681"/>
    <w:rsid w:val="004C494C"/>
    <w:rsid w:val="004C49F0"/>
    <w:rsid w:val="004C4F8F"/>
    <w:rsid w:val="004C52CE"/>
    <w:rsid w:val="004C5380"/>
    <w:rsid w:val="004C5955"/>
    <w:rsid w:val="004C6779"/>
    <w:rsid w:val="004C75D4"/>
    <w:rsid w:val="004C77A7"/>
    <w:rsid w:val="004C7E36"/>
    <w:rsid w:val="004D067A"/>
    <w:rsid w:val="004D0D16"/>
    <w:rsid w:val="004D1305"/>
    <w:rsid w:val="004D133F"/>
    <w:rsid w:val="004D144F"/>
    <w:rsid w:val="004D1A1A"/>
    <w:rsid w:val="004D2BC8"/>
    <w:rsid w:val="004D31CA"/>
    <w:rsid w:val="004D3268"/>
    <w:rsid w:val="004D35EB"/>
    <w:rsid w:val="004D374E"/>
    <w:rsid w:val="004D38D3"/>
    <w:rsid w:val="004D39AE"/>
    <w:rsid w:val="004D473E"/>
    <w:rsid w:val="004D4D32"/>
    <w:rsid w:val="004D5677"/>
    <w:rsid w:val="004D5D42"/>
    <w:rsid w:val="004D6968"/>
    <w:rsid w:val="004D6C85"/>
    <w:rsid w:val="004D6DCA"/>
    <w:rsid w:val="004D715C"/>
    <w:rsid w:val="004D7205"/>
    <w:rsid w:val="004D7340"/>
    <w:rsid w:val="004D79E0"/>
    <w:rsid w:val="004E0194"/>
    <w:rsid w:val="004E0E99"/>
    <w:rsid w:val="004E1325"/>
    <w:rsid w:val="004E13D4"/>
    <w:rsid w:val="004E1905"/>
    <w:rsid w:val="004E1D0C"/>
    <w:rsid w:val="004E1E6B"/>
    <w:rsid w:val="004E212E"/>
    <w:rsid w:val="004E2308"/>
    <w:rsid w:val="004E23A7"/>
    <w:rsid w:val="004E2404"/>
    <w:rsid w:val="004E24C7"/>
    <w:rsid w:val="004E2628"/>
    <w:rsid w:val="004E2A2E"/>
    <w:rsid w:val="004E2F37"/>
    <w:rsid w:val="004E3BF3"/>
    <w:rsid w:val="004E4437"/>
    <w:rsid w:val="004E4A16"/>
    <w:rsid w:val="004E52AA"/>
    <w:rsid w:val="004E54DA"/>
    <w:rsid w:val="004E5560"/>
    <w:rsid w:val="004E576D"/>
    <w:rsid w:val="004E5811"/>
    <w:rsid w:val="004E6CBC"/>
    <w:rsid w:val="004E6F0F"/>
    <w:rsid w:val="004E6FA6"/>
    <w:rsid w:val="004EE66A"/>
    <w:rsid w:val="004F0884"/>
    <w:rsid w:val="004F0A3B"/>
    <w:rsid w:val="004F0BDB"/>
    <w:rsid w:val="004F0C21"/>
    <w:rsid w:val="004F0F71"/>
    <w:rsid w:val="004F1177"/>
    <w:rsid w:val="004F1294"/>
    <w:rsid w:val="004F16B4"/>
    <w:rsid w:val="004F19FB"/>
    <w:rsid w:val="004F1A89"/>
    <w:rsid w:val="004F1E97"/>
    <w:rsid w:val="004F20C3"/>
    <w:rsid w:val="004F2445"/>
    <w:rsid w:val="004F24A0"/>
    <w:rsid w:val="004F2773"/>
    <w:rsid w:val="004F299C"/>
    <w:rsid w:val="004F2E9D"/>
    <w:rsid w:val="004F346E"/>
    <w:rsid w:val="004F39CA"/>
    <w:rsid w:val="004F3B31"/>
    <w:rsid w:val="004F45F2"/>
    <w:rsid w:val="004F51F0"/>
    <w:rsid w:val="004F563A"/>
    <w:rsid w:val="004F56C3"/>
    <w:rsid w:val="004F5DF9"/>
    <w:rsid w:val="004F6042"/>
    <w:rsid w:val="004F65CC"/>
    <w:rsid w:val="004F66B4"/>
    <w:rsid w:val="004F6C38"/>
    <w:rsid w:val="004F737D"/>
    <w:rsid w:val="004F78C6"/>
    <w:rsid w:val="0050032A"/>
    <w:rsid w:val="00500584"/>
    <w:rsid w:val="005009C7"/>
    <w:rsid w:val="0050139A"/>
    <w:rsid w:val="005014F9"/>
    <w:rsid w:val="00501781"/>
    <w:rsid w:val="00501790"/>
    <w:rsid w:val="00501CB5"/>
    <w:rsid w:val="0050224C"/>
    <w:rsid w:val="00502433"/>
    <w:rsid w:val="005024BD"/>
    <w:rsid w:val="0050256B"/>
    <w:rsid w:val="005026DD"/>
    <w:rsid w:val="00502761"/>
    <w:rsid w:val="00502B71"/>
    <w:rsid w:val="0050340D"/>
    <w:rsid w:val="005037A6"/>
    <w:rsid w:val="00503938"/>
    <w:rsid w:val="0050562B"/>
    <w:rsid w:val="00505A4C"/>
    <w:rsid w:val="0050644A"/>
    <w:rsid w:val="00506818"/>
    <w:rsid w:val="00506ED6"/>
    <w:rsid w:val="005072FA"/>
    <w:rsid w:val="00507671"/>
    <w:rsid w:val="005076BB"/>
    <w:rsid w:val="005077D1"/>
    <w:rsid w:val="005078CF"/>
    <w:rsid w:val="005079D6"/>
    <w:rsid w:val="0050AC89"/>
    <w:rsid w:val="005104ED"/>
    <w:rsid w:val="00510960"/>
    <w:rsid w:val="00510A57"/>
    <w:rsid w:val="00511A69"/>
    <w:rsid w:val="0051260B"/>
    <w:rsid w:val="005128F7"/>
    <w:rsid w:val="00512D53"/>
    <w:rsid w:val="005132A8"/>
    <w:rsid w:val="00513768"/>
    <w:rsid w:val="00513C6E"/>
    <w:rsid w:val="0051477F"/>
    <w:rsid w:val="00514883"/>
    <w:rsid w:val="005154BE"/>
    <w:rsid w:val="0051571F"/>
    <w:rsid w:val="00515B84"/>
    <w:rsid w:val="00515BBC"/>
    <w:rsid w:val="005164CD"/>
    <w:rsid w:val="00516728"/>
    <w:rsid w:val="0051674B"/>
    <w:rsid w:val="00516B66"/>
    <w:rsid w:val="00516B96"/>
    <w:rsid w:val="00516EEE"/>
    <w:rsid w:val="00516F69"/>
    <w:rsid w:val="00516FFE"/>
    <w:rsid w:val="005175CE"/>
    <w:rsid w:val="00517A4F"/>
    <w:rsid w:val="00517D94"/>
    <w:rsid w:val="005201AC"/>
    <w:rsid w:val="00520D64"/>
    <w:rsid w:val="0052128D"/>
    <w:rsid w:val="00521DA7"/>
    <w:rsid w:val="00521DFE"/>
    <w:rsid w:val="00522038"/>
    <w:rsid w:val="00523E99"/>
    <w:rsid w:val="0052410E"/>
    <w:rsid w:val="005244D3"/>
    <w:rsid w:val="00524710"/>
    <w:rsid w:val="00524802"/>
    <w:rsid w:val="00524C4C"/>
    <w:rsid w:val="00524C7C"/>
    <w:rsid w:val="00525306"/>
    <w:rsid w:val="0052530F"/>
    <w:rsid w:val="00525315"/>
    <w:rsid w:val="005259D4"/>
    <w:rsid w:val="00525A84"/>
    <w:rsid w:val="00525BE2"/>
    <w:rsid w:val="005268EB"/>
    <w:rsid w:val="00526B87"/>
    <w:rsid w:val="00526C3D"/>
    <w:rsid w:val="00527233"/>
    <w:rsid w:val="005273E0"/>
    <w:rsid w:val="005276CE"/>
    <w:rsid w:val="00527D57"/>
    <w:rsid w:val="00530AE8"/>
    <w:rsid w:val="00530CA0"/>
    <w:rsid w:val="0053119E"/>
    <w:rsid w:val="0053132E"/>
    <w:rsid w:val="00531425"/>
    <w:rsid w:val="00532126"/>
    <w:rsid w:val="00532993"/>
    <w:rsid w:val="00532A04"/>
    <w:rsid w:val="005334F1"/>
    <w:rsid w:val="00533750"/>
    <w:rsid w:val="005338DF"/>
    <w:rsid w:val="005338E2"/>
    <w:rsid w:val="0053391D"/>
    <w:rsid w:val="00534331"/>
    <w:rsid w:val="005347A3"/>
    <w:rsid w:val="0053498D"/>
    <w:rsid w:val="00534B33"/>
    <w:rsid w:val="00534D20"/>
    <w:rsid w:val="005356C1"/>
    <w:rsid w:val="0053570E"/>
    <w:rsid w:val="00535A68"/>
    <w:rsid w:val="00536923"/>
    <w:rsid w:val="00537A7D"/>
    <w:rsid w:val="00537BE7"/>
    <w:rsid w:val="0054016D"/>
    <w:rsid w:val="005402E7"/>
    <w:rsid w:val="00540696"/>
    <w:rsid w:val="0054077F"/>
    <w:rsid w:val="00540A4E"/>
    <w:rsid w:val="00541DB9"/>
    <w:rsid w:val="00541F11"/>
    <w:rsid w:val="005425C9"/>
    <w:rsid w:val="00542891"/>
    <w:rsid w:val="00542A36"/>
    <w:rsid w:val="00542CFA"/>
    <w:rsid w:val="005434D7"/>
    <w:rsid w:val="0054384E"/>
    <w:rsid w:val="00544C09"/>
    <w:rsid w:val="00545B8E"/>
    <w:rsid w:val="00546260"/>
    <w:rsid w:val="0054646D"/>
    <w:rsid w:val="00547069"/>
    <w:rsid w:val="00547CDD"/>
    <w:rsid w:val="0055057F"/>
    <w:rsid w:val="00550ADA"/>
    <w:rsid w:val="00551646"/>
    <w:rsid w:val="0055170E"/>
    <w:rsid w:val="0055174B"/>
    <w:rsid w:val="00551CE8"/>
    <w:rsid w:val="00551F75"/>
    <w:rsid w:val="005520B4"/>
    <w:rsid w:val="00552208"/>
    <w:rsid w:val="005522B9"/>
    <w:rsid w:val="00552430"/>
    <w:rsid w:val="00552879"/>
    <w:rsid w:val="00552E3F"/>
    <w:rsid w:val="00552F78"/>
    <w:rsid w:val="00553389"/>
    <w:rsid w:val="00553622"/>
    <w:rsid w:val="005539FC"/>
    <w:rsid w:val="00553D9A"/>
    <w:rsid w:val="00554950"/>
    <w:rsid w:val="00554AA2"/>
    <w:rsid w:val="00554F4E"/>
    <w:rsid w:val="00555496"/>
    <w:rsid w:val="005555D6"/>
    <w:rsid w:val="00555F15"/>
    <w:rsid w:val="005569C3"/>
    <w:rsid w:val="00556D01"/>
    <w:rsid w:val="00557403"/>
    <w:rsid w:val="00557405"/>
    <w:rsid w:val="00557B3A"/>
    <w:rsid w:val="00560149"/>
    <w:rsid w:val="0056038A"/>
    <w:rsid w:val="005603EE"/>
    <w:rsid w:val="0056091A"/>
    <w:rsid w:val="00560E24"/>
    <w:rsid w:val="00560FC4"/>
    <w:rsid w:val="00561103"/>
    <w:rsid w:val="00561B3E"/>
    <w:rsid w:val="00561C04"/>
    <w:rsid w:val="00561C8A"/>
    <w:rsid w:val="0056213B"/>
    <w:rsid w:val="00562213"/>
    <w:rsid w:val="00562331"/>
    <w:rsid w:val="00562B21"/>
    <w:rsid w:val="00562E08"/>
    <w:rsid w:val="00562F82"/>
    <w:rsid w:val="00563591"/>
    <w:rsid w:val="0056373B"/>
    <w:rsid w:val="0056383C"/>
    <w:rsid w:val="00564913"/>
    <w:rsid w:val="00564978"/>
    <w:rsid w:val="005652D1"/>
    <w:rsid w:val="00565AD2"/>
    <w:rsid w:val="005663FC"/>
    <w:rsid w:val="00566D73"/>
    <w:rsid w:val="00566FE8"/>
    <w:rsid w:val="00567475"/>
    <w:rsid w:val="00567C15"/>
    <w:rsid w:val="005702EB"/>
    <w:rsid w:val="00570B5A"/>
    <w:rsid w:val="00570DD6"/>
    <w:rsid w:val="005712BA"/>
    <w:rsid w:val="0057249A"/>
    <w:rsid w:val="00572580"/>
    <w:rsid w:val="00572663"/>
    <w:rsid w:val="00572EE5"/>
    <w:rsid w:val="00573B09"/>
    <w:rsid w:val="00573B28"/>
    <w:rsid w:val="00573BD8"/>
    <w:rsid w:val="005751B7"/>
    <w:rsid w:val="00575326"/>
    <w:rsid w:val="0057585B"/>
    <w:rsid w:val="0057592D"/>
    <w:rsid w:val="00575BF5"/>
    <w:rsid w:val="00575FA2"/>
    <w:rsid w:val="005761A3"/>
    <w:rsid w:val="00576256"/>
    <w:rsid w:val="005762B2"/>
    <w:rsid w:val="005765CE"/>
    <w:rsid w:val="005777BD"/>
    <w:rsid w:val="00577B8D"/>
    <w:rsid w:val="005800D8"/>
    <w:rsid w:val="00580C15"/>
    <w:rsid w:val="00581347"/>
    <w:rsid w:val="00581492"/>
    <w:rsid w:val="00581688"/>
    <w:rsid w:val="005817F5"/>
    <w:rsid w:val="00581981"/>
    <w:rsid w:val="005819EE"/>
    <w:rsid w:val="00581EA5"/>
    <w:rsid w:val="00582396"/>
    <w:rsid w:val="0058251E"/>
    <w:rsid w:val="00584482"/>
    <w:rsid w:val="005846C9"/>
    <w:rsid w:val="00584B49"/>
    <w:rsid w:val="00584FA3"/>
    <w:rsid w:val="00585EEB"/>
    <w:rsid w:val="00586705"/>
    <w:rsid w:val="00586906"/>
    <w:rsid w:val="005872CC"/>
    <w:rsid w:val="005873FC"/>
    <w:rsid w:val="00590646"/>
    <w:rsid w:val="00590BCB"/>
    <w:rsid w:val="00590EAF"/>
    <w:rsid w:val="00590F5F"/>
    <w:rsid w:val="00591708"/>
    <w:rsid w:val="00591709"/>
    <w:rsid w:val="00591ADF"/>
    <w:rsid w:val="00591FFE"/>
    <w:rsid w:val="00592626"/>
    <w:rsid w:val="005926A6"/>
    <w:rsid w:val="00592C40"/>
    <w:rsid w:val="00592FEA"/>
    <w:rsid w:val="0059395A"/>
    <w:rsid w:val="00593A7A"/>
    <w:rsid w:val="005941CA"/>
    <w:rsid w:val="00594783"/>
    <w:rsid w:val="00594EE8"/>
    <w:rsid w:val="0059549E"/>
    <w:rsid w:val="005954DF"/>
    <w:rsid w:val="005957DD"/>
    <w:rsid w:val="00595B36"/>
    <w:rsid w:val="00595DA6"/>
    <w:rsid w:val="005960B8"/>
    <w:rsid w:val="0059642A"/>
    <w:rsid w:val="00596883"/>
    <w:rsid w:val="00596AF1"/>
    <w:rsid w:val="00596C72"/>
    <w:rsid w:val="00597898"/>
    <w:rsid w:val="00597AC2"/>
    <w:rsid w:val="00597CA8"/>
    <w:rsid w:val="005A0202"/>
    <w:rsid w:val="005A0528"/>
    <w:rsid w:val="005A0C51"/>
    <w:rsid w:val="005A1428"/>
    <w:rsid w:val="005A152F"/>
    <w:rsid w:val="005A15E5"/>
    <w:rsid w:val="005A1DF1"/>
    <w:rsid w:val="005A29BF"/>
    <w:rsid w:val="005A29E3"/>
    <w:rsid w:val="005A3236"/>
    <w:rsid w:val="005A3B20"/>
    <w:rsid w:val="005A3B88"/>
    <w:rsid w:val="005A3F8A"/>
    <w:rsid w:val="005A445B"/>
    <w:rsid w:val="005A507E"/>
    <w:rsid w:val="005A510C"/>
    <w:rsid w:val="005A511F"/>
    <w:rsid w:val="005A5A4F"/>
    <w:rsid w:val="005A5B33"/>
    <w:rsid w:val="005A5C12"/>
    <w:rsid w:val="005A5F43"/>
    <w:rsid w:val="005A60C6"/>
    <w:rsid w:val="005A640F"/>
    <w:rsid w:val="005A6547"/>
    <w:rsid w:val="005A65CD"/>
    <w:rsid w:val="005A65D1"/>
    <w:rsid w:val="005A6A91"/>
    <w:rsid w:val="005A6D37"/>
    <w:rsid w:val="005A750C"/>
    <w:rsid w:val="005B0066"/>
    <w:rsid w:val="005B018E"/>
    <w:rsid w:val="005B0202"/>
    <w:rsid w:val="005B046F"/>
    <w:rsid w:val="005B07CB"/>
    <w:rsid w:val="005B091D"/>
    <w:rsid w:val="005B09C8"/>
    <w:rsid w:val="005B1254"/>
    <w:rsid w:val="005B12EE"/>
    <w:rsid w:val="005B1BA4"/>
    <w:rsid w:val="005B1C59"/>
    <w:rsid w:val="005B20BB"/>
    <w:rsid w:val="005B3094"/>
    <w:rsid w:val="005B359A"/>
    <w:rsid w:val="005B35C2"/>
    <w:rsid w:val="005B41F1"/>
    <w:rsid w:val="005B48F0"/>
    <w:rsid w:val="005B4A13"/>
    <w:rsid w:val="005B4D36"/>
    <w:rsid w:val="005B511B"/>
    <w:rsid w:val="005B5788"/>
    <w:rsid w:val="005B58F0"/>
    <w:rsid w:val="005B5D6A"/>
    <w:rsid w:val="005B6507"/>
    <w:rsid w:val="005B654A"/>
    <w:rsid w:val="005B69A7"/>
    <w:rsid w:val="005B6D5A"/>
    <w:rsid w:val="005B785F"/>
    <w:rsid w:val="005B7C12"/>
    <w:rsid w:val="005C0A2B"/>
    <w:rsid w:val="005C1511"/>
    <w:rsid w:val="005C1659"/>
    <w:rsid w:val="005C25B5"/>
    <w:rsid w:val="005C3069"/>
    <w:rsid w:val="005C3522"/>
    <w:rsid w:val="005C36F8"/>
    <w:rsid w:val="005C3930"/>
    <w:rsid w:val="005C3A49"/>
    <w:rsid w:val="005C3E02"/>
    <w:rsid w:val="005C434E"/>
    <w:rsid w:val="005C4633"/>
    <w:rsid w:val="005C49EC"/>
    <w:rsid w:val="005C4BB0"/>
    <w:rsid w:val="005C4DA7"/>
    <w:rsid w:val="005C50B6"/>
    <w:rsid w:val="005C528C"/>
    <w:rsid w:val="005C52BD"/>
    <w:rsid w:val="005C52D4"/>
    <w:rsid w:val="005C5BB0"/>
    <w:rsid w:val="005C66FD"/>
    <w:rsid w:val="005C6AB8"/>
    <w:rsid w:val="005C6B12"/>
    <w:rsid w:val="005C6D5D"/>
    <w:rsid w:val="005C7669"/>
    <w:rsid w:val="005C76D8"/>
    <w:rsid w:val="005C7C13"/>
    <w:rsid w:val="005C7D37"/>
    <w:rsid w:val="005C7DCE"/>
    <w:rsid w:val="005C7FA9"/>
    <w:rsid w:val="005D0DD1"/>
    <w:rsid w:val="005D0FB4"/>
    <w:rsid w:val="005D14BE"/>
    <w:rsid w:val="005D1FC2"/>
    <w:rsid w:val="005D2ACC"/>
    <w:rsid w:val="005D2B55"/>
    <w:rsid w:val="005D3030"/>
    <w:rsid w:val="005D4928"/>
    <w:rsid w:val="005D5254"/>
    <w:rsid w:val="005D540F"/>
    <w:rsid w:val="005D58AE"/>
    <w:rsid w:val="005D5B63"/>
    <w:rsid w:val="005D6078"/>
    <w:rsid w:val="005D6447"/>
    <w:rsid w:val="005D65A0"/>
    <w:rsid w:val="005D71B0"/>
    <w:rsid w:val="005D74DA"/>
    <w:rsid w:val="005D79D8"/>
    <w:rsid w:val="005D7C59"/>
    <w:rsid w:val="005E075F"/>
    <w:rsid w:val="005E08E2"/>
    <w:rsid w:val="005E1321"/>
    <w:rsid w:val="005E15FA"/>
    <w:rsid w:val="005E162E"/>
    <w:rsid w:val="005E1666"/>
    <w:rsid w:val="005E1B67"/>
    <w:rsid w:val="005E1C1D"/>
    <w:rsid w:val="005E21A3"/>
    <w:rsid w:val="005E233F"/>
    <w:rsid w:val="005E2DD4"/>
    <w:rsid w:val="005E37A0"/>
    <w:rsid w:val="005E383F"/>
    <w:rsid w:val="005E4625"/>
    <w:rsid w:val="005E4752"/>
    <w:rsid w:val="005E47F7"/>
    <w:rsid w:val="005E538B"/>
    <w:rsid w:val="005E5528"/>
    <w:rsid w:val="005E587B"/>
    <w:rsid w:val="005E60E9"/>
    <w:rsid w:val="005E6642"/>
    <w:rsid w:val="005E6C5D"/>
    <w:rsid w:val="005E6D43"/>
    <w:rsid w:val="005E7043"/>
    <w:rsid w:val="005E753C"/>
    <w:rsid w:val="005E75AD"/>
    <w:rsid w:val="005F0676"/>
    <w:rsid w:val="005F0C69"/>
    <w:rsid w:val="005F1E76"/>
    <w:rsid w:val="005F2122"/>
    <w:rsid w:val="005F255F"/>
    <w:rsid w:val="005F333B"/>
    <w:rsid w:val="005F34E6"/>
    <w:rsid w:val="005F39C1"/>
    <w:rsid w:val="005F4215"/>
    <w:rsid w:val="005F44C6"/>
    <w:rsid w:val="005F4983"/>
    <w:rsid w:val="005F50D6"/>
    <w:rsid w:val="005F51D4"/>
    <w:rsid w:val="005F51F9"/>
    <w:rsid w:val="005F5249"/>
    <w:rsid w:val="005F54D6"/>
    <w:rsid w:val="005F5E21"/>
    <w:rsid w:val="005F65EF"/>
    <w:rsid w:val="005F686E"/>
    <w:rsid w:val="005F6AE0"/>
    <w:rsid w:val="005F6C70"/>
    <w:rsid w:val="005F6E82"/>
    <w:rsid w:val="005F6F64"/>
    <w:rsid w:val="005F729C"/>
    <w:rsid w:val="005F7566"/>
    <w:rsid w:val="005F7663"/>
    <w:rsid w:val="005F76A6"/>
    <w:rsid w:val="005F76E7"/>
    <w:rsid w:val="005F7AE3"/>
    <w:rsid w:val="005F7B0A"/>
    <w:rsid w:val="005F7B7B"/>
    <w:rsid w:val="005F7EAE"/>
    <w:rsid w:val="0060025A"/>
    <w:rsid w:val="0060085B"/>
    <w:rsid w:val="00600BC4"/>
    <w:rsid w:val="00600BD2"/>
    <w:rsid w:val="00600C49"/>
    <w:rsid w:val="006010E1"/>
    <w:rsid w:val="006013CF"/>
    <w:rsid w:val="006016C0"/>
    <w:rsid w:val="006026D1"/>
    <w:rsid w:val="00602B5F"/>
    <w:rsid w:val="00603459"/>
    <w:rsid w:val="00603F5F"/>
    <w:rsid w:val="00604277"/>
    <w:rsid w:val="00604447"/>
    <w:rsid w:val="00604B3C"/>
    <w:rsid w:val="00604CC7"/>
    <w:rsid w:val="00604DC9"/>
    <w:rsid w:val="00604FCD"/>
    <w:rsid w:val="00604FCF"/>
    <w:rsid w:val="006050D2"/>
    <w:rsid w:val="00605362"/>
    <w:rsid w:val="0060537D"/>
    <w:rsid w:val="00605B49"/>
    <w:rsid w:val="00605C11"/>
    <w:rsid w:val="00605D96"/>
    <w:rsid w:val="00606440"/>
    <w:rsid w:val="006076B8"/>
    <w:rsid w:val="006078C2"/>
    <w:rsid w:val="00607A05"/>
    <w:rsid w:val="00607EFD"/>
    <w:rsid w:val="006105A2"/>
    <w:rsid w:val="0061085F"/>
    <w:rsid w:val="00610CC5"/>
    <w:rsid w:val="00610CEA"/>
    <w:rsid w:val="006113BA"/>
    <w:rsid w:val="00611810"/>
    <w:rsid w:val="0061183E"/>
    <w:rsid w:val="00611899"/>
    <w:rsid w:val="0061210A"/>
    <w:rsid w:val="006126A1"/>
    <w:rsid w:val="00612ECF"/>
    <w:rsid w:val="0061313C"/>
    <w:rsid w:val="00613180"/>
    <w:rsid w:val="00613538"/>
    <w:rsid w:val="006135AD"/>
    <w:rsid w:val="0061387E"/>
    <w:rsid w:val="00613896"/>
    <w:rsid w:val="00613B56"/>
    <w:rsid w:val="00613F59"/>
    <w:rsid w:val="00614AA6"/>
    <w:rsid w:val="00614B9F"/>
    <w:rsid w:val="00615222"/>
    <w:rsid w:val="006152C9"/>
    <w:rsid w:val="006156AE"/>
    <w:rsid w:val="00615A36"/>
    <w:rsid w:val="00616134"/>
    <w:rsid w:val="006161D6"/>
    <w:rsid w:val="0061673F"/>
    <w:rsid w:val="00616815"/>
    <w:rsid w:val="00616835"/>
    <w:rsid w:val="00617036"/>
    <w:rsid w:val="0061712C"/>
    <w:rsid w:val="006171A9"/>
    <w:rsid w:val="00617518"/>
    <w:rsid w:val="00617F5C"/>
    <w:rsid w:val="0062051A"/>
    <w:rsid w:val="0062055A"/>
    <w:rsid w:val="00620648"/>
    <w:rsid w:val="006207E8"/>
    <w:rsid w:val="00620C94"/>
    <w:rsid w:val="006210D6"/>
    <w:rsid w:val="00621397"/>
    <w:rsid w:val="006217A6"/>
    <w:rsid w:val="006219D6"/>
    <w:rsid w:val="00621B3B"/>
    <w:rsid w:val="00622153"/>
    <w:rsid w:val="0062260F"/>
    <w:rsid w:val="006229DC"/>
    <w:rsid w:val="00622B52"/>
    <w:rsid w:val="00622D7C"/>
    <w:rsid w:val="00623436"/>
    <w:rsid w:val="00623498"/>
    <w:rsid w:val="006236D8"/>
    <w:rsid w:val="0062403D"/>
    <w:rsid w:val="00624084"/>
    <w:rsid w:val="006243BF"/>
    <w:rsid w:val="006248E6"/>
    <w:rsid w:val="00624F55"/>
    <w:rsid w:val="00624F70"/>
    <w:rsid w:val="00625595"/>
    <w:rsid w:val="0062563B"/>
    <w:rsid w:val="006259A3"/>
    <w:rsid w:val="00625AFC"/>
    <w:rsid w:val="00625D3B"/>
    <w:rsid w:val="006260A4"/>
    <w:rsid w:val="006261DB"/>
    <w:rsid w:val="00626502"/>
    <w:rsid w:val="00626903"/>
    <w:rsid w:val="00626B53"/>
    <w:rsid w:val="006272FB"/>
    <w:rsid w:val="0062767A"/>
    <w:rsid w:val="00627C2F"/>
    <w:rsid w:val="00627F57"/>
    <w:rsid w:val="0063029C"/>
    <w:rsid w:val="00630464"/>
    <w:rsid w:val="00630CF2"/>
    <w:rsid w:val="00630EB2"/>
    <w:rsid w:val="00630FB9"/>
    <w:rsid w:val="00631549"/>
    <w:rsid w:val="00632048"/>
    <w:rsid w:val="0063246D"/>
    <w:rsid w:val="0063257C"/>
    <w:rsid w:val="00632D2B"/>
    <w:rsid w:val="00632D6B"/>
    <w:rsid w:val="006330AE"/>
    <w:rsid w:val="00633765"/>
    <w:rsid w:val="00633AA2"/>
    <w:rsid w:val="0063444C"/>
    <w:rsid w:val="0063484D"/>
    <w:rsid w:val="00634E98"/>
    <w:rsid w:val="00635279"/>
    <w:rsid w:val="006352B4"/>
    <w:rsid w:val="0063584C"/>
    <w:rsid w:val="00635B69"/>
    <w:rsid w:val="00636593"/>
    <w:rsid w:val="00637342"/>
    <w:rsid w:val="00637AA1"/>
    <w:rsid w:val="00637D73"/>
    <w:rsid w:val="00640298"/>
    <w:rsid w:val="0064078D"/>
    <w:rsid w:val="00640A36"/>
    <w:rsid w:val="00640D81"/>
    <w:rsid w:val="00640F39"/>
    <w:rsid w:val="00640F57"/>
    <w:rsid w:val="006414FF"/>
    <w:rsid w:val="00641BFD"/>
    <w:rsid w:val="00642053"/>
    <w:rsid w:val="00642224"/>
    <w:rsid w:val="0064233A"/>
    <w:rsid w:val="00642EE7"/>
    <w:rsid w:val="00643052"/>
    <w:rsid w:val="006431A0"/>
    <w:rsid w:val="006436E7"/>
    <w:rsid w:val="006439E4"/>
    <w:rsid w:val="00643CE7"/>
    <w:rsid w:val="00643CF9"/>
    <w:rsid w:val="006443EF"/>
    <w:rsid w:val="00644475"/>
    <w:rsid w:val="006445F8"/>
    <w:rsid w:val="00644735"/>
    <w:rsid w:val="00644ACB"/>
    <w:rsid w:val="00644F3F"/>
    <w:rsid w:val="00644FDA"/>
    <w:rsid w:val="00645C8E"/>
    <w:rsid w:val="0064607E"/>
    <w:rsid w:val="00646360"/>
    <w:rsid w:val="00646E4B"/>
    <w:rsid w:val="0064710C"/>
    <w:rsid w:val="006477A7"/>
    <w:rsid w:val="00647B47"/>
    <w:rsid w:val="00647C0B"/>
    <w:rsid w:val="00647CA5"/>
    <w:rsid w:val="0065019F"/>
    <w:rsid w:val="006501D0"/>
    <w:rsid w:val="00650242"/>
    <w:rsid w:val="006509A7"/>
    <w:rsid w:val="00651A2B"/>
    <w:rsid w:val="006520F3"/>
    <w:rsid w:val="006522C2"/>
    <w:rsid w:val="00652486"/>
    <w:rsid w:val="006525BA"/>
    <w:rsid w:val="00652C9E"/>
    <w:rsid w:val="0065326D"/>
    <w:rsid w:val="006536A3"/>
    <w:rsid w:val="00653C85"/>
    <w:rsid w:val="00654393"/>
    <w:rsid w:val="00654397"/>
    <w:rsid w:val="006549BF"/>
    <w:rsid w:val="00654A62"/>
    <w:rsid w:val="006553A6"/>
    <w:rsid w:val="006553B5"/>
    <w:rsid w:val="00655AAF"/>
    <w:rsid w:val="00655DFF"/>
    <w:rsid w:val="0065614D"/>
    <w:rsid w:val="0065622A"/>
    <w:rsid w:val="00656847"/>
    <w:rsid w:val="00656A30"/>
    <w:rsid w:val="006572C6"/>
    <w:rsid w:val="00657E82"/>
    <w:rsid w:val="006606F2"/>
    <w:rsid w:val="00660F84"/>
    <w:rsid w:val="00660F89"/>
    <w:rsid w:val="0066135B"/>
    <w:rsid w:val="006618DC"/>
    <w:rsid w:val="00661946"/>
    <w:rsid w:val="00661AF3"/>
    <w:rsid w:val="00662A82"/>
    <w:rsid w:val="00662BCE"/>
    <w:rsid w:val="00662F0E"/>
    <w:rsid w:val="00662F78"/>
    <w:rsid w:val="00663029"/>
    <w:rsid w:val="00663046"/>
    <w:rsid w:val="006637FF"/>
    <w:rsid w:val="006639D3"/>
    <w:rsid w:val="00663F00"/>
    <w:rsid w:val="00664013"/>
    <w:rsid w:val="00664458"/>
    <w:rsid w:val="00664475"/>
    <w:rsid w:val="00664CC6"/>
    <w:rsid w:val="00664ECD"/>
    <w:rsid w:val="00665022"/>
    <w:rsid w:val="00666099"/>
    <w:rsid w:val="00666139"/>
    <w:rsid w:val="00666E77"/>
    <w:rsid w:val="00667103"/>
    <w:rsid w:val="006673E7"/>
    <w:rsid w:val="006674C2"/>
    <w:rsid w:val="00667559"/>
    <w:rsid w:val="0066789B"/>
    <w:rsid w:val="00667C40"/>
    <w:rsid w:val="00667C76"/>
    <w:rsid w:val="00667D44"/>
    <w:rsid w:val="00670427"/>
    <w:rsid w:val="0067065B"/>
    <w:rsid w:val="00670BB3"/>
    <w:rsid w:val="00671250"/>
    <w:rsid w:val="00671932"/>
    <w:rsid w:val="00671E95"/>
    <w:rsid w:val="00672017"/>
    <w:rsid w:val="00672293"/>
    <w:rsid w:val="0067339F"/>
    <w:rsid w:val="006735EB"/>
    <w:rsid w:val="00673847"/>
    <w:rsid w:val="00674488"/>
    <w:rsid w:val="00674840"/>
    <w:rsid w:val="00674964"/>
    <w:rsid w:val="00674C6E"/>
    <w:rsid w:val="00675ACF"/>
    <w:rsid w:val="00675CA9"/>
    <w:rsid w:val="00675EF4"/>
    <w:rsid w:val="00676C73"/>
    <w:rsid w:val="00677831"/>
    <w:rsid w:val="006779CB"/>
    <w:rsid w:val="00677A77"/>
    <w:rsid w:val="00677FEB"/>
    <w:rsid w:val="006803C4"/>
    <w:rsid w:val="00680467"/>
    <w:rsid w:val="00680747"/>
    <w:rsid w:val="0068087C"/>
    <w:rsid w:val="00680B7E"/>
    <w:rsid w:val="0068108A"/>
    <w:rsid w:val="00681927"/>
    <w:rsid w:val="00681E2E"/>
    <w:rsid w:val="00681E86"/>
    <w:rsid w:val="00681F9B"/>
    <w:rsid w:val="00682215"/>
    <w:rsid w:val="00683408"/>
    <w:rsid w:val="00683B94"/>
    <w:rsid w:val="00683CFC"/>
    <w:rsid w:val="00683E79"/>
    <w:rsid w:val="00683F27"/>
    <w:rsid w:val="0068482D"/>
    <w:rsid w:val="00684CA4"/>
    <w:rsid w:val="00684E72"/>
    <w:rsid w:val="00685909"/>
    <w:rsid w:val="0068599B"/>
    <w:rsid w:val="00686692"/>
    <w:rsid w:val="006869EC"/>
    <w:rsid w:val="006876DE"/>
    <w:rsid w:val="00687E10"/>
    <w:rsid w:val="00690011"/>
    <w:rsid w:val="006901E4"/>
    <w:rsid w:val="00690316"/>
    <w:rsid w:val="0069077E"/>
    <w:rsid w:val="00690839"/>
    <w:rsid w:val="00690CAC"/>
    <w:rsid w:val="00692178"/>
    <w:rsid w:val="00692D34"/>
    <w:rsid w:val="00692DBF"/>
    <w:rsid w:val="00693033"/>
    <w:rsid w:val="00693321"/>
    <w:rsid w:val="006934B6"/>
    <w:rsid w:val="006939A3"/>
    <w:rsid w:val="00693A8E"/>
    <w:rsid w:val="00694893"/>
    <w:rsid w:val="00694DD9"/>
    <w:rsid w:val="00695090"/>
    <w:rsid w:val="00695097"/>
    <w:rsid w:val="00695BE6"/>
    <w:rsid w:val="00695DF1"/>
    <w:rsid w:val="006963BC"/>
    <w:rsid w:val="00696498"/>
    <w:rsid w:val="00696FCD"/>
    <w:rsid w:val="00697671"/>
    <w:rsid w:val="006A0069"/>
    <w:rsid w:val="006A02A7"/>
    <w:rsid w:val="006A075A"/>
    <w:rsid w:val="006A09BE"/>
    <w:rsid w:val="006A0DCA"/>
    <w:rsid w:val="006A12B1"/>
    <w:rsid w:val="006A15C1"/>
    <w:rsid w:val="006A1E80"/>
    <w:rsid w:val="006A2935"/>
    <w:rsid w:val="006A31CA"/>
    <w:rsid w:val="006A379F"/>
    <w:rsid w:val="006A3CAE"/>
    <w:rsid w:val="006A3F75"/>
    <w:rsid w:val="006A4A37"/>
    <w:rsid w:val="006A4E44"/>
    <w:rsid w:val="006A51E4"/>
    <w:rsid w:val="006A5F42"/>
    <w:rsid w:val="006A5FEA"/>
    <w:rsid w:val="006A6103"/>
    <w:rsid w:val="006A65AD"/>
    <w:rsid w:val="006A6690"/>
    <w:rsid w:val="006A6813"/>
    <w:rsid w:val="006A68C5"/>
    <w:rsid w:val="006A6B84"/>
    <w:rsid w:val="006A71EB"/>
    <w:rsid w:val="006A79A9"/>
    <w:rsid w:val="006B08C6"/>
    <w:rsid w:val="006B0AB0"/>
    <w:rsid w:val="006B10ED"/>
    <w:rsid w:val="006B1342"/>
    <w:rsid w:val="006B156A"/>
    <w:rsid w:val="006B186A"/>
    <w:rsid w:val="006B18A4"/>
    <w:rsid w:val="006B194C"/>
    <w:rsid w:val="006B1A86"/>
    <w:rsid w:val="006B1AE7"/>
    <w:rsid w:val="006B1E98"/>
    <w:rsid w:val="006B26E3"/>
    <w:rsid w:val="006B3257"/>
    <w:rsid w:val="006B3834"/>
    <w:rsid w:val="006B3A27"/>
    <w:rsid w:val="006B4326"/>
    <w:rsid w:val="006B4CA3"/>
    <w:rsid w:val="006B51B2"/>
    <w:rsid w:val="006B5B2C"/>
    <w:rsid w:val="006B62A5"/>
    <w:rsid w:val="006B67DE"/>
    <w:rsid w:val="006B6F05"/>
    <w:rsid w:val="006B74D3"/>
    <w:rsid w:val="006B74D9"/>
    <w:rsid w:val="006B7B15"/>
    <w:rsid w:val="006B7FB0"/>
    <w:rsid w:val="006C0913"/>
    <w:rsid w:val="006C0AD3"/>
    <w:rsid w:val="006C0D78"/>
    <w:rsid w:val="006C0E19"/>
    <w:rsid w:val="006C16A6"/>
    <w:rsid w:val="006C17A0"/>
    <w:rsid w:val="006C17D4"/>
    <w:rsid w:val="006C18B2"/>
    <w:rsid w:val="006C223A"/>
    <w:rsid w:val="006C2C16"/>
    <w:rsid w:val="006C2CC5"/>
    <w:rsid w:val="006C3C4A"/>
    <w:rsid w:val="006C3C4F"/>
    <w:rsid w:val="006C468E"/>
    <w:rsid w:val="006C496B"/>
    <w:rsid w:val="006C49BC"/>
    <w:rsid w:val="006C5AAA"/>
    <w:rsid w:val="006C66B6"/>
    <w:rsid w:val="006C6780"/>
    <w:rsid w:val="006C67DA"/>
    <w:rsid w:val="006C69E6"/>
    <w:rsid w:val="006C6E5F"/>
    <w:rsid w:val="006C7300"/>
    <w:rsid w:val="006C7CCE"/>
    <w:rsid w:val="006C7DE7"/>
    <w:rsid w:val="006D000D"/>
    <w:rsid w:val="006D021E"/>
    <w:rsid w:val="006D04BE"/>
    <w:rsid w:val="006D0921"/>
    <w:rsid w:val="006D0C35"/>
    <w:rsid w:val="006D0D9A"/>
    <w:rsid w:val="006D1103"/>
    <w:rsid w:val="006D1198"/>
    <w:rsid w:val="006D14D0"/>
    <w:rsid w:val="006D18F6"/>
    <w:rsid w:val="006D1B6C"/>
    <w:rsid w:val="006D27E3"/>
    <w:rsid w:val="006D28E7"/>
    <w:rsid w:val="006D2AA1"/>
    <w:rsid w:val="006D2BFA"/>
    <w:rsid w:val="006D2C83"/>
    <w:rsid w:val="006D2F95"/>
    <w:rsid w:val="006D3A60"/>
    <w:rsid w:val="006D3BA5"/>
    <w:rsid w:val="006D3D52"/>
    <w:rsid w:val="006D3DD5"/>
    <w:rsid w:val="006D4135"/>
    <w:rsid w:val="006D4236"/>
    <w:rsid w:val="006D425F"/>
    <w:rsid w:val="006D472D"/>
    <w:rsid w:val="006D4818"/>
    <w:rsid w:val="006D55BB"/>
    <w:rsid w:val="006D5926"/>
    <w:rsid w:val="006D5FA5"/>
    <w:rsid w:val="006D6610"/>
    <w:rsid w:val="006D70F2"/>
    <w:rsid w:val="006D7394"/>
    <w:rsid w:val="006D780E"/>
    <w:rsid w:val="006D7854"/>
    <w:rsid w:val="006D7860"/>
    <w:rsid w:val="006E0823"/>
    <w:rsid w:val="006E09F2"/>
    <w:rsid w:val="006E0C2E"/>
    <w:rsid w:val="006E1476"/>
    <w:rsid w:val="006E1B4C"/>
    <w:rsid w:val="006E1D1C"/>
    <w:rsid w:val="006E1D7B"/>
    <w:rsid w:val="006E1DB8"/>
    <w:rsid w:val="006E1E3F"/>
    <w:rsid w:val="006E25F7"/>
    <w:rsid w:val="006E29ED"/>
    <w:rsid w:val="006E2D9C"/>
    <w:rsid w:val="006E353D"/>
    <w:rsid w:val="006E4C6B"/>
    <w:rsid w:val="006E4F55"/>
    <w:rsid w:val="006E53E9"/>
    <w:rsid w:val="006E54A6"/>
    <w:rsid w:val="006E5777"/>
    <w:rsid w:val="006E5902"/>
    <w:rsid w:val="006E6236"/>
    <w:rsid w:val="006E649F"/>
    <w:rsid w:val="006E721C"/>
    <w:rsid w:val="006E74D3"/>
    <w:rsid w:val="006E7556"/>
    <w:rsid w:val="006E786D"/>
    <w:rsid w:val="006F003B"/>
    <w:rsid w:val="006F066D"/>
    <w:rsid w:val="006F07A6"/>
    <w:rsid w:val="006F12DD"/>
    <w:rsid w:val="006F13EA"/>
    <w:rsid w:val="006F1DEB"/>
    <w:rsid w:val="006F20F5"/>
    <w:rsid w:val="006F2149"/>
    <w:rsid w:val="006F2599"/>
    <w:rsid w:val="006F26AF"/>
    <w:rsid w:val="006F28CE"/>
    <w:rsid w:val="006F2F5F"/>
    <w:rsid w:val="006F38DB"/>
    <w:rsid w:val="006F3C17"/>
    <w:rsid w:val="006F3C6F"/>
    <w:rsid w:val="006F3EE2"/>
    <w:rsid w:val="006F412D"/>
    <w:rsid w:val="006F42FA"/>
    <w:rsid w:val="006F43B0"/>
    <w:rsid w:val="006F461B"/>
    <w:rsid w:val="006F4798"/>
    <w:rsid w:val="006F480C"/>
    <w:rsid w:val="006F4C61"/>
    <w:rsid w:val="006F50AA"/>
    <w:rsid w:val="006F55FD"/>
    <w:rsid w:val="006F5EB6"/>
    <w:rsid w:val="006F62DB"/>
    <w:rsid w:val="006F6C7F"/>
    <w:rsid w:val="006F777E"/>
    <w:rsid w:val="006F78F5"/>
    <w:rsid w:val="007004F9"/>
    <w:rsid w:val="0070051E"/>
    <w:rsid w:val="00700CBD"/>
    <w:rsid w:val="00700E41"/>
    <w:rsid w:val="007010B9"/>
    <w:rsid w:val="00701698"/>
    <w:rsid w:val="0070180C"/>
    <w:rsid w:val="00701B88"/>
    <w:rsid w:val="00702125"/>
    <w:rsid w:val="00702214"/>
    <w:rsid w:val="00702245"/>
    <w:rsid w:val="007025B5"/>
    <w:rsid w:val="007028C7"/>
    <w:rsid w:val="007029D6"/>
    <w:rsid w:val="00702B9B"/>
    <w:rsid w:val="00702F74"/>
    <w:rsid w:val="00703295"/>
    <w:rsid w:val="00703554"/>
    <w:rsid w:val="0070372D"/>
    <w:rsid w:val="0070381E"/>
    <w:rsid w:val="00704462"/>
    <w:rsid w:val="007049A5"/>
    <w:rsid w:val="007055DF"/>
    <w:rsid w:val="00705D39"/>
    <w:rsid w:val="00705D43"/>
    <w:rsid w:val="0070653A"/>
    <w:rsid w:val="00706C56"/>
    <w:rsid w:val="00707396"/>
    <w:rsid w:val="0070762A"/>
    <w:rsid w:val="00707F9F"/>
    <w:rsid w:val="007101D0"/>
    <w:rsid w:val="0071066D"/>
    <w:rsid w:val="007108C2"/>
    <w:rsid w:val="00710C7E"/>
    <w:rsid w:val="00710D8A"/>
    <w:rsid w:val="00710EB3"/>
    <w:rsid w:val="00710F3D"/>
    <w:rsid w:val="00710FFF"/>
    <w:rsid w:val="00711273"/>
    <w:rsid w:val="00712144"/>
    <w:rsid w:val="0071215E"/>
    <w:rsid w:val="007135F7"/>
    <w:rsid w:val="007136D9"/>
    <w:rsid w:val="007139D6"/>
    <w:rsid w:val="00713A16"/>
    <w:rsid w:val="00713C5D"/>
    <w:rsid w:val="00714034"/>
    <w:rsid w:val="007145B4"/>
    <w:rsid w:val="007148AA"/>
    <w:rsid w:val="00714A09"/>
    <w:rsid w:val="00715114"/>
    <w:rsid w:val="00715139"/>
    <w:rsid w:val="0071542D"/>
    <w:rsid w:val="007159EC"/>
    <w:rsid w:val="007164C4"/>
    <w:rsid w:val="0071659B"/>
    <w:rsid w:val="007166B3"/>
    <w:rsid w:val="00716ABD"/>
    <w:rsid w:val="00717876"/>
    <w:rsid w:val="00717EF0"/>
    <w:rsid w:val="0072023A"/>
    <w:rsid w:val="00720342"/>
    <w:rsid w:val="00720EA6"/>
    <w:rsid w:val="007214E3"/>
    <w:rsid w:val="00722D13"/>
    <w:rsid w:val="00722E4C"/>
    <w:rsid w:val="00722EB6"/>
    <w:rsid w:val="007236E3"/>
    <w:rsid w:val="00723B4F"/>
    <w:rsid w:val="00724070"/>
    <w:rsid w:val="00724218"/>
    <w:rsid w:val="007242A3"/>
    <w:rsid w:val="007249BF"/>
    <w:rsid w:val="007251CD"/>
    <w:rsid w:val="00726814"/>
    <w:rsid w:val="00726924"/>
    <w:rsid w:val="0072717B"/>
    <w:rsid w:val="0072781B"/>
    <w:rsid w:val="00727F52"/>
    <w:rsid w:val="0073009A"/>
    <w:rsid w:val="00730973"/>
    <w:rsid w:val="00730D94"/>
    <w:rsid w:val="007310DE"/>
    <w:rsid w:val="0073153F"/>
    <w:rsid w:val="00731741"/>
    <w:rsid w:val="007317FD"/>
    <w:rsid w:val="007321C2"/>
    <w:rsid w:val="0073225B"/>
    <w:rsid w:val="00732BBA"/>
    <w:rsid w:val="00733245"/>
    <w:rsid w:val="0073366B"/>
    <w:rsid w:val="00733709"/>
    <w:rsid w:val="00733DE0"/>
    <w:rsid w:val="00734628"/>
    <w:rsid w:val="00734BA3"/>
    <w:rsid w:val="007350B8"/>
    <w:rsid w:val="00735226"/>
    <w:rsid w:val="007357C5"/>
    <w:rsid w:val="0073590A"/>
    <w:rsid w:val="00735A52"/>
    <w:rsid w:val="00735ABA"/>
    <w:rsid w:val="00735EE1"/>
    <w:rsid w:val="007366D4"/>
    <w:rsid w:val="00736B4D"/>
    <w:rsid w:val="00737779"/>
    <w:rsid w:val="00737AA8"/>
    <w:rsid w:val="007402A6"/>
    <w:rsid w:val="0074032D"/>
    <w:rsid w:val="0074032E"/>
    <w:rsid w:val="007405A7"/>
    <w:rsid w:val="007406E4"/>
    <w:rsid w:val="0074075A"/>
    <w:rsid w:val="00740787"/>
    <w:rsid w:val="00740892"/>
    <w:rsid w:val="00740D25"/>
    <w:rsid w:val="00740EDD"/>
    <w:rsid w:val="00741214"/>
    <w:rsid w:val="00741298"/>
    <w:rsid w:val="00741328"/>
    <w:rsid w:val="0074179A"/>
    <w:rsid w:val="007417B1"/>
    <w:rsid w:val="0074191C"/>
    <w:rsid w:val="00742962"/>
    <w:rsid w:val="007435AB"/>
    <w:rsid w:val="00744F18"/>
    <w:rsid w:val="00745B3F"/>
    <w:rsid w:val="00746073"/>
    <w:rsid w:val="00746126"/>
    <w:rsid w:val="0074706C"/>
    <w:rsid w:val="00747316"/>
    <w:rsid w:val="00747367"/>
    <w:rsid w:val="00747434"/>
    <w:rsid w:val="0074783D"/>
    <w:rsid w:val="00747886"/>
    <w:rsid w:val="00747CCD"/>
    <w:rsid w:val="00747D2C"/>
    <w:rsid w:val="00750255"/>
    <w:rsid w:val="007508B8"/>
    <w:rsid w:val="00750A6C"/>
    <w:rsid w:val="00750E67"/>
    <w:rsid w:val="00751280"/>
    <w:rsid w:val="007515F8"/>
    <w:rsid w:val="007518AA"/>
    <w:rsid w:val="00751BF5"/>
    <w:rsid w:val="00751D83"/>
    <w:rsid w:val="007531D3"/>
    <w:rsid w:val="00754359"/>
    <w:rsid w:val="0075472E"/>
    <w:rsid w:val="0075654A"/>
    <w:rsid w:val="007569EA"/>
    <w:rsid w:val="00756E78"/>
    <w:rsid w:val="00756F76"/>
    <w:rsid w:val="00757201"/>
    <w:rsid w:val="0075748A"/>
    <w:rsid w:val="007577B7"/>
    <w:rsid w:val="007579D9"/>
    <w:rsid w:val="00757B14"/>
    <w:rsid w:val="00760C85"/>
    <w:rsid w:val="0076160D"/>
    <w:rsid w:val="00761AF2"/>
    <w:rsid w:val="00761E49"/>
    <w:rsid w:val="00762A14"/>
    <w:rsid w:val="0076316C"/>
    <w:rsid w:val="00763C01"/>
    <w:rsid w:val="00763FAD"/>
    <w:rsid w:val="007643AB"/>
    <w:rsid w:val="00764B79"/>
    <w:rsid w:val="00764F36"/>
    <w:rsid w:val="007656AF"/>
    <w:rsid w:val="00766275"/>
    <w:rsid w:val="0076696B"/>
    <w:rsid w:val="00766CD6"/>
    <w:rsid w:val="007672C9"/>
    <w:rsid w:val="007679B9"/>
    <w:rsid w:val="00767A83"/>
    <w:rsid w:val="00767DDE"/>
    <w:rsid w:val="00770288"/>
    <w:rsid w:val="007708AF"/>
    <w:rsid w:val="007714BD"/>
    <w:rsid w:val="007714E5"/>
    <w:rsid w:val="00771800"/>
    <w:rsid w:val="00771D84"/>
    <w:rsid w:val="007725B4"/>
    <w:rsid w:val="00772D94"/>
    <w:rsid w:val="00772F50"/>
    <w:rsid w:val="00773106"/>
    <w:rsid w:val="007734D0"/>
    <w:rsid w:val="007734D1"/>
    <w:rsid w:val="00773785"/>
    <w:rsid w:val="0077505F"/>
    <w:rsid w:val="00775259"/>
    <w:rsid w:val="00775F9A"/>
    <w:rsid w:val="00776167"/>
    <w:rsid w:val="00776216"/>
    <w:rsid w:val="007763D6"/>
    <w:rsid w:val="00776572"/>
    <w:rsid w:val="0077738D"/>
    <w:rsid w:val="007774C2"/>
    <w:rsid w:val="007774CA"/>
    <w:rsid w:val="00777ADF"/>
    <w:rsid w:val="00780D13"/>
    <w:rsid w:val="007813F2"/>
    <w:rsid w:val="00781953"/>
    <w:rsid w:val="00781AD8"/>
    <w:rsid w:val="00782E24"/>
    <w:rsid w:val="007835ED"/>
    <w:rsid w:val="00783A7E"/>
    <w:rsid w:val="00783F1F"/>
    <w:rsid w:val="007842FF"/>
    <w:rsid w:val="00784B38"/>
    <w:rsid w:val="00784CC4"/>
    <w:rsid w:val="0078595E"/>
    <w:rsid w:val="00785C3A"/>
    <w:rsid w:val="00786098"/>
    <w:rsid w:val="00786EB8"/>
    <w:rsid w:val="00787582"/>
    <w:rsid w:val="00787D28"/>
    <w:rsid w:val="0079000C"/>
    <w:rsid w:val="00790B29"/>
    <w:rsid w:val="00790B3E"/>
    <w:rsid w:val="00790CDC"/>
    <w:rsid w:val="00790D7B"/>
    <w:rsid w:val="00790D93"/>
    <w:rsid w:val="00790FBD"/>
    <w:rsid w:val="00791CD7"/>
    <w:rsid w:val="00791F2C"/>
    <w:rsid w:val="007923B8"/>
    <w:rsid w:val="00792D22"/>
    <w:rsid w:val="00792D6F"/>
    <w:rsid w:val="00792E3D"/>
    <w:rsid w:val="00793206"/>
    <w:rsid w:val="00793676"/>
    <w:rsid w:val="007938EF"/>
    <w:rsid w:val="0079430D"/>
    <w:rsid w:val="007947FD"/>
    <w:rsid w:val="00794A5E"/>
    <w:rsid w:val="00794B4C"/>
    <w:rsid w:val="007953B9"/>
    <w:rsid w:val="00795A49"/>
    <w:rsid w:val="00795D61"/>
    <w:rsid w:val="00796620"/>
    <w:rsid w:val="0079697B"/>
    <w:rsid w:val="00796B6B"/>
    <w:rsid w:val="00797415"/>
    <w:rsid w:val="0079754C"/>
    <w:rsid w:val="00797FEF"/>
    <w:rsid w:val="007A0657"/>
    <w:rsid w:val="007A0679"/>
    <w:rsid w:val="007A0E8A"/>
    <w:rsid w:val="007A1395"/>
    <w:rsid w:val="007A17DA"/>
    <w:rsid w:val="007A1B41"/>
    <w:rsid w:val="007A22E9"/>
    <w:rsid w:val="007A24A2"/>
    <w:rsid w:val="007A24EB"/>
    <w:rsid w:val="007A25CC"/>
    <w:rsid w:val="007A282D"/>
    <w:rsid w:val="007A331E"/>
    <w:rsid w:val="007A3B34"/>
    <w:rsid w:val="007A3BD0"/>
    <w:rsid w:val="007A4313"/>
    <w:rsid w:val="007A455D"/>
    <w:rsid w:val="007A45FF"/>
    <w:rsid w:val="007A4860"/>
    <w:rsid w:val="007A4C6D"/>
    <w:rsid w:val="007A4ED1"/>
    <w:rsid w:val="007A4F2F"/>
    <w:rsid w:val="007A5CE9"/>
    <w:rsid w:val="007A5F2F"/>
    <w:rsid w:val="007A644F"/>
    <w:rsid w:val="007A66AA"/>
    <w:rsid w:val="007A6928"/>
    <w:rsid w:val="007A6B97"/>
    <w:rsid w:val="007A6FEB"/>
    <w:rsid w:val="007A71FD"/>
    <w:rsid w:val="007A7CE5"/>
    <w:rsid w:val="007A7DE1"/>
    <w:rsid w:val="007B04E7"/>
    <w:rsid w:val="007B07CA"/>
    <w:rsid w:val="007B080B"/>
    <w:rsid w:val="007B0C6A"/>
    <w:rsid w:val="007B1812"/>
    <w:rsid w:val="007B19CE"/>
    <w:rsid w:val="007B1E12"/>
    <w:rsid w:val="007B1E53"/>
    <w:rsid w:val="007B2616"/>
    <w:rsid w:val="007B26C0"/>
    <w:rsid w:val="007B276C"/>
    <w:rsid w:val="007B305E"/>
    <w:rsid w:val="007B3291"/>
    <w:rsid w:val="007B3771"/>
    <w:rsid w:val="007B3789"/>
    <w:rsid w:val="007B392D"/>
    <w:rsid w:val="007B3E1D"/>
    <w:rsid w:val="007B520E"/>
    <w:rsid w:val="007B5385"/>
    <w:rsid w:val="007B547C"/>
    <w:rsid w:val="007B5569"/>
    <w:rsid w:val="007B63C3"/>
    <w:rsid w:val="007B63FB"/>
    <w:rsid w:val="007B65E3"/>
    <w:rsid w:val="007B668E"/>
    <w:rsid w:val="007B69CB"/>
    <w:rsid w:val="007B70C3"/>
    <w:rsid w:val="007B7A0C"/>
    <w:rsid w:val="007B7C23"/>
    <w:rsid w:val="007B7FFE"/>
    <w:rsid w:val="007C0255"/>
    <w:rsid w:val="007C052A"/>
    <w:rsid w:val="007C09C8"/>
    <w:rsid w:val="007C0C22"/>
    <w:rsid w:val="007C1222"/>
    <w:rsid w:val="007C13ED"/>
    <w:rsid w:val="007C1651"/>
    <w:rsid w:val="007C19EA"/>
    <w:rsid w:val="007C1A8C"/>
    <w:rsid w:val="007C22AA"/>
    <w:rsid w:val="007C22CA"/>
    <w:rsid w:val="007C230D"/>
    <w:rsid w:val="007C2346"/>
    <w:rsid w:val="007C2707"/>
    <w:rsid w:val="007C2DD4"/>
    <w:rsid w:val="007C33CF"/>
    <w:rsid w:val="007C3543"/>
    <w:rsid w:val="007C36CB"/>
    <w:rsid w:val="007C4769"/>
    <w:rsid w:val="007C486D"/>
    <w:rsid w:val="007C50ED"/>
    <w:rsid w:val="007C5197"/>
    <w:rsid w:val="007C608B"/>
    <w:rsid w:val="007C62E7"/>
    <w:rsid w:val="007C6623"/>
    <w:rsid w:val="007C671E"/>
    <w:rsid w:val="007C6AA3"/>
    <w:rsid w:val="007C6AF1"/>
    <w:rsid w:val="007C7457"/>
    <w:rsid w:val="007C7D9A"/>
    <w:rsid w:val="007D0D04"/>
    <w:rsid w:val="007D0ECD"/>
    <w:rsid w:val="007D1258"/>
    <w:rsid w:val="007D13F2"/>
    <w:rsid w:val="007D1573"/>
    <w:rsid w:val="007D1A12"/>
    <w:rsid w:val="007D1CB4"/>
    <w:rsid w:val="007D1F1A"/>
    <w:rsid w:val="007D2550"/>
    <w:rsid w:val="007D2A7C"/>
    <w:rsid w:val="007D3011"/>
    <w:rsid w:val="007D3195"/>
    <w:rsid w:val="007D3572"/>
    <w:rsid w:val="007D3FCB"/>
    <w:rsid w:val="007D4064"/>
    <w:rsid w:val="007D44E1"/>
    <w:rsid w:val="007D4EFC"/>
    <w:rsid w:val="007D501A"/>
    <w:rsid w:val="007D5105"/>
    <w:rsid w:val="007D53CD"/>
    <w:rsid w:val="007D548B"/>
    <w:rsid w:val="007D54B0"/>
    <w:rsid w:val="007D5548"/>
    <w:rsid w:val="007D5D56"/>
    <w:rsid w:val="007D6377"/>
    <w:rsid w:val="007D6528"/>
    <w:rsid w:val="007D699F"/>
    <w:rsid w:val="007D6AF4"/>
    <w:rsid w:val="007D6BA5"/>
    <w:rsid w:val="007D6D86"/>
    <w:rsid w:val="007D77FD"/>
    <w:rsid w:val="007D7EFC"/>
    <w:rsid w:val="007E02CE"/>
    <w:rsid w:val="007E02F1"/>
    <w:rsid w:val="007E103C"/>
    <w:rsid w:val="007E11BD"/>
    <w:rsid w:val="007E1221"/>
    <w:rsid w:val="007E24B8"/>
    <w:rsid w:val="007E253C"/>
    <w:rsid w:val="007E2A27"/>
    <w:rsid w:val="007E300C"/>
    <w:rsid w:val="007E3133"/>
    <w:rsid w:val="007E3995"/>
    <w:rsid w:val="007E39F0"/>
    <w:rsid w:val="007E3F27"/>
    <w:rsid w:val="007E3F65"/>
    <w:rsid w:val="007E40DB"/>
    <w:rsid w:val="007E43FA"/>
    <w:rsid w:val="007E4AD7"/>
    <w:rsid w:val="007E50D9"/>
    <w:rsid w:val="007E5253"/>
    <w:rsid w:val="007E5591"/>
    <w:rsid w:val="007E5648"/>
    <w:rsid w:val="007E57A5"/>
    <w:rsid w:val="007E5A17"/>
    <w:rsid w:val="007E5B0E"/>
    <w:rsid w:val="007E5CB8"/>
    <w:rsid w:val="007E61F7"/>
    <w:rsid w:val="007E6339"/>
    <w:rsid w:val="007E650F"/>
    <w:rsid w:val="007E666A"/>
    <w:rsid w:val="007E681E"/>
    <w:rsid w:val="007E68F6"/>
    <w:rsid w:val="007E6ACE"/>
    <w:rsid w:val="007E6B0B"/>
    <w:rsid w:val="007E6B84"/>
    <w:rsid w:val="007E6D39"/>
    <w:rsid w:val="007E6EF9"/>
    <w:rsid w:val="007E6FBF"/>
    <w:rsid w:val="007E7814"/>
    <w:rsid w:val="007E7972"/>
    <w:rsid w:val="007E7C59"/>
    <w:rsid w:val="007F00A2"/>
    <w:rsid w:val="007F049C"/>
    <w:rsid w:val="007F0511"/>
    <w:rsid w:val="007F087C"/>
    <w:rsid w:val="007F12C1"/>
    <w:rsid w:val="007F1FC9"/>
    <w:rsid w:val="007F2093"/>
    <w:rsid w:val="007F2731"/>
    <w:rsid w:val="007F2AE5"/>
    <w:rsid w:val="007F2B8F"/>
    <w:rsid w:val="007F31E1"/>
    <w:rsid w:val="007F3400"/>
    <w:rsid w:val="007F370B"/>
    <w:rsid w:val="007F49A4"/>
    <w:rsid w:val="007F4AB0"/>
    <w:rsid w:val="007F4DCC"/>
    <w:rsid w:val="007F4E05"/>
    <w:rsid w:val="007F52E1"/>
    <w:rsid w:val="007F53A1"/>
    <w:rsid w:val="007F53B4"/>
    <w:rsid w:val="007F563F"/>
    <w:rsid w:val="007F56C3"/>
    <w:rsid w:val="007F5EA8"/>
    <w:rsid w:val="007F5FEB"/>
    <w:rsid w:val="007F6AB0"/>
    <w:rsid w:val="007F77AD"/>
    <w:rsid w:val="00800347"/>
    <w:rsid w:val="00800A85"/>
    <w:rsid w:val="00800C84"/>
    <w:rsid w:val="00800F4E"/>
    <w:rsid w:val="0080257D"/>
    <w:rsid w:val="008025AE"/>
    <w:rsid w:val="00802670"/>
    <w:rsid w:val="008032DD"/>
    <w:rsid w:val="00803615"/>
    <w:rsid w:val="0080375F"/>
    <w:rsid w:val="00803805"/>
    <w:rsid w:val="00803812"/>
    <w:rsid w:val="00803E0A"/>
    <w:rsid w:val="00803E2F"/>
    <w:rsid w:val="00803EA8"/>
    <w:rsid w:val="00803EA9"/>
    <w:rsid w:val="00803F6B"/>
    <w:rsid w:val="008040EC"/>
    <w:rsid w:val="00804C68"/>
    <w:rsid w:val="008052B1"/>
    <w:rsid w:val="00805337"/>
    <w:rsid w:val="0080582D"/>
    <w:rsid w:val="008059CD"/>
    <w:rsid w:val="00805AB1"/>
    <w:rsid w:val="00805D11"/>
    <w:rsid w:val="00805F72"/>
    <w:rsid w:val="0080756C"/>
    <w:rsid w:val="00807FAE"/>
    <w:rsid w:val="00810200"/>
    <w:rsid w:val="00810322"/>
    <w:rsid w:val="00810325"/>
    <w:rsid w:val="00811243"/>
    <w:rsid w:val="00811AF4"/>
    <w:rsid w:val="00811B35"/>
    <w:rsid w:val="00811E3F"/>
    <w:rsid w:val="0081220D"/>
    <w:rsid w:val="00812758"/>
    <w:rsid w:val="008131BE"/>
    <w:rsid w:val="00813520"/>
    <w:rsid w:val="00813F88"/>
    <w:rsid w:val="008143D6"/>
    <w:rsid w:val="00814B36"/>
    <w:rsid w:val="0081517D"/>
    <w:rsid w:val="008152DB"/>
    <w:rsid w:val="00815792"/>
    <w:rsid w:val="00815C9B"/>
    <w:rsid w:val="00815F59"/>
    <w:rsid w:val="008168D8"/>
    <w:rsid w:val="00816D49"/>
    <w:rsid w:val="00816E45"/>
    <w:rsid w:val="00817D3A"/>
    <w:rsid w:val="008203A8"/>
    <w:rsid w:val="00820FBA"/>
    <w:rsid w:val="008217C2"/>
    <w:rsid w:val="00821833"/>
    <w:rsid w:val="00822C89"/>
    <w:rsid w:val="00823696"/>
    <w:rsid w:val="008241C6"/>
    <w:rsid w:val="008243C9"/>
    <w:rsid w:val="00824831"/>
    <w:rsid w:val="00824FC4"/>
    <w:rsid w:val="008251AB"/>
    <w:rsid w:val="008255A4"/>
    <w:rsid w:val="008257ED"/>
    <w:rsid w:val="00825882"/>
    <w:rsid w:val="00825ABA"/>
    <w:rsid w:val="008265D2"/>
    <w:rsid w:val="00826D11"/>
    <w:rsid w:val="008275D0"/>
    <w:rsid w:val="008278E9"/>
    <w:rsid w:val="00830FF6"/>
    <w:rsid w:val="008311F1"/>
    <w:rsid w:val="00831204"/>
    <w:rsid w:val="00831208"/>
    <w:rsid w:val="00831253"/>
    <w:rsid w:val="008313BC"/>
    <w:rsid w:val="008315A8"/>
    <w:rsid w:val="00831CD0"/>
    <w:rsid w:val="0083224B"/>
    <w:rsid w:val="008322C9"/>
    <w:rsid w:val="0083279B"/>
    <w:rsid w:val="00832B4A"/>
    <w:rsid w:val="00832B94"/>
    <w:rsid w:val="00832FB1"/>
    <w:rsid w:val="008332D5"/>
    <w:rsid w:val="0083385A"/>
    <w:rsid w:val="00833B44"/>
    <w:rsid w:val="00833D61"/>
    <w:rsid w:val="00833D71"/>
    <w:rsid w:val="00833DE3"/>
    <w:rsid w:val="00835378"/>
    <w:rsid w:val="00835A02"/>
    <w:rsid w:val="00836387"/>
    <w:rsid w:val="00836E21"/>
    <w:rsid w:val="0083705E"/>
    <w:rsid w:val="008372F5"/>
    <w:rsid w:val="00837428"/>
    <w:rsid w:val="0083782E"/>
    <w:rsid w:val="00837961"/>
    <w:rsid w:val="0083796E"/>
    <w:rsid w:val="00840481"/>
    <w:rsid w:val="00840B18"/>
    <w:rsid w:val="00840BF1"/>
    <w:rsid w:val="008414B4"/>
    <w:rsid w:val="00841661"/>
    <w:rsid w:val="00841859"/>
    <w:rsid w:val="00842420"/>
    <w:rsid w:val="008429CF"/>
    <w:rsid w:val="00843638"/>
    <w:rsid w:val="00843F98"/>
    <w:rsid w:val="0084405B"/>
    <w:rsid w:val="008443C4"/>
    <w:rsid w:val="008446E2"/>
    <w:rsid w:val="0084493A"/>
    <w:rsid w:val="00844CEC"/>
    <w:rsid w:val="00844E0E"/>
    <w:rsid w:val="00844F32"/>
    <w:rsid w:val="00845630"/>
    <w:rsid w:val="00845896"/>
    <w:rsid w:val="00845B40"/>
    <w:rsid w:val="008461D0"/>
    <w:rsid w:val="008466CC"/>
    <w:rsid w:val="0084708B"/>
    <w:rsid w:val="008474DA"/>
    <w:rsid w:val="008476B9"/>
    <w:rsid w:val="00847E19"/>
    <w:rsid w:val="0085080A"/>
    <w:rsid w:val="00850CD3"/>
    <w:rsid w:val="0085112C"/>
    <w:rsid w:val="00851263"/>
    <w:rsid w:val="0085183E"/>
    <w:rsid w:val="00852FCF"/>
    <w:rsid w:val="008530B6"/>
    <w:rsid w:val="008533FA"/>
    <w:rsid w:val="0085349F"/>
    <w:rsid w:val="008534CC"/>
    <w:rsid w:val="008536D6"/>
    <w:rsid w:val="00853766"/>
    <w:rsid w:val="00853B1F"/>
    <w:rsid w:val="00853C6F"/>
    <w:rsid w:val="00854E60"/>
    <w:rsid w:val="00854F1F"/>
    <w:rsid w:val="008555F3"/>
    <w:rsid w:val="008557D3"/>
    <w:rsid w:val="00855F5F"/>
    <w:rsid w:val="0085639E"/>
    <w:rsid w:val="00856B1B"/>
    <w:rsid w:val="00857085"/>
    <w:rsid w:val="0085724C"/>
    <w:rsid w:val="008574D7"/>
    <w:rsid w:val="00857852"/>
    <w:rsid w:val="00857D38"/>
    <w:rsid w:val="00857D58"/>
    <w:rsid w:val="00857FC4"/>
    <w:rsid w:val="008601A9"/>
    <w:rsid w:val="00860C62"/>
    <w:rsid w:val="00860E1A"/>
    <w:rsid w:val="00861043"/>
    <w:rsid w:val="0086157D"/>
    <w:rsid w:val="00861895"/>
    <w:rsid w:val="00861CF5"/>
    <w:rsid w:val="00861FEA"/>
    <w:rsid w:val="008622AA"/>
    <w:rsid w:val="00862ACD"/>
    <w:rsid w:val="00862BA0"/>
    <w:rsid w:val="00863708"/>
    <w:rsid w:val="008638A1"/>
    <w:rsid w:val="00863971"/>
    <w:rsid w:val="00863DEB"/>
    <w:rsid w:val="008647FE"/>
    <w:rsid w:val="0086494C"/>
    <w:rsid w:val="00864D34"/>
    <w:rsid w:val="00864D69"/>
    <w:rsid w:val="0086517F"/>
    <w:rsid w:val="008651F9"/>
    <w:rsid w:val="00865B0D"/>
    <w:rsid w:val="0086645B"/>
    <w:rsid w:val="0086664D"/>
    <w:rsid w:val="00866B97"/>
    <w:rsid w:val="0086710E"/>
    <w:rsid w:val="00867351"/>
    <w:rsid w:val="00867652"/>
    <w:rsid w:val="00867756"/>
    <w:rsid w:val="00867990"/>
    <w:rsid w:val="00867D30"/>
    <w:rsid w:val="00871349"/>
    <w:rsid w:val="0087179D"/>
    <w:rsid w:val="00871B33"/>
    <w:rsid w:val="00871D88"/>
    <w:rsid w:val="00871DC0"/>
    <w:rsid w:val="00872512"/>
    <w:rsid w:val="00872546"/>
    <w:rsid w:val="00872949"/>
    <w:rsid w:val="00872BBF"/>
    <w:rsid w:val="00872BE4"/>
    <w:rsid w:val="00872DA0"/>
    <w:rsid w:val="00872F40"/>
    <w:rsid w:val="008730BB"/>
    <w:rsid w:val="00873E83"/>
    <w:rsid w:val="00873EE6"/>
    <w:rsid w:val="00874266"/>
    <w:rsid w:val="0087428A"/>
    <w:rsid w:val="008748BC"/>
    <w:rsid w:val="008748E2"/>
    <w:rsid w:val="00874D66"/>
    <w:rsid w:val="008753F7"/>
    <w:rsid w:val="00875484"/>
    <w:rsid w:val="008756B5"/>
    <w:rsid w:val="008758AF"/>
    <w:rsid w:val="00875D39"/>
    <w:rsid w:val="00876E49"/>
    <w:rsid w:val="00877167"/>
    <w:rsid w:val="00877391"/>
    <w:rsid w:val="0087781F"/>
    <w:rsid w:val="00877B4E"/>
    <w:rsid w:val="00877E55"/>
    <w:rsid w:val="00880749"/>
    <w:rsid w:val="00880B88"/>
    <w:rsid w:val="00881678"/>
    <w:rsid w:val="00881D8A"/>
    <w:rsid w:val="00881EC5"/>
    <w:rsid w:val="00882A2E"/>
    <w:rsid w:val="00882F19"/>
    <w:rsid w:val="00882FC6"/>
    <w:rsid w:val="008833F1"/>
    <w:rsid w:val="00883C32"/>
    <w:rsid w:val="00883CD5"/>
    <w:rsid w:val="00883E9B"/>
    <w:rsid w:val="00884360"/>
    <w:rsid w:val="00884ADD"/>
    <w:rsid w:val="0088593B"/>
    <w:rsid w:val="00885CDD"/>
    <w:rsid w:val="00885DED"/>
    <w:rsid w:val="008862EF"/>
    <w:rsid w:val="0088718E"/>
    <w:rsid w:val="008874C6"/>
    <w:rsid w:val="00887874"/>
    <w:rsid w:val="00887E41"/>
    <w:rsid w:val="0089054E"/>
    <w:rsid w:val="008907FD"/>
    <w:rsid w:val="00890F02"/>
    <w:rsid w:val="00891096"/>
    <w:rsid w:val="00891A4E"/>
    <w:rsid w:val="008920B9"/>
    <w:rsid w:val="00892887"/>
    <w:rsid w:val="00892D75"/>
    <w:rsid w:val="00892F7E"/>
    <w:rsid w:val="008938A3"/>
    <w:rsid w:val="00893BB7"/>
    <w:rsid w:val="008941DB"/>
    <w:rsid w:val="008944F8"/>
    <w:rsid w:val="00894546"/>
    <w:rsid w:val="008953F6"/>
    <w:rsid w:val="008954D8"/>
    <w:rsid w:val="00895940"/>
    <w:rsid w:val="00895C7B"/>
    <w:rsid w:val="00895E31"/>
    <w:rsid w:val="00895E8F"/>
    <w:rsid w:val="0089695D"/>
    <w:rsid w:val="0089712D"/>
    <w:rsid w:val="0089733D"/>
    <w:rsid w:val="008979DB"/>
    <w:rsid w:val="008A02BB"/>
    <w:rsid w:val="008A0621"/>
    <w:rsid w:val="008A07A8"/>
    <w:rsid w:val="008A0E9B"/>
    <w:rsid w:val="008A0F8E"/>
    <w:rsid w:val="008A1224"/>
    <w:rsid w:val="008A1485"/>
    <w:rsid w:val="008A16EA"/>
    <w:rsid w:val="008A19CD"/>
    <w:rsid w:val="008A1C81"/>
    <w:rsid w:val="008A2501"/>
    <w:rsid w:val="008A2862"/>
    <w:rsid w:val="008A2C5D"/>
    <w:rsid w:val="008A2E6C"/>
    <w:rsid w:val="008A2F60"/>
    <w:rsid w:val="008A3046"/>
    <w:rsid w:val="008A3DF9"/>
    <w:rsid w:val="008A5209"/>
    <w:rsid w:val="008A547E"/>
    <w:rsid w:val="008A5B1F"/>
    <w:rsid w:val="008A5DDC"/>
    <w:rsid w:val="008A5E8A"/>
    <w:rsid w:val="008A5FC8"/>
    <w:rsid w:val="008A60BB"/>
    <w:rsid w:val="008A66F4"/>
    <w:rsid w:val="008A7254"/>
    <w:rsid w:val="008A725F"/>
    <w:rsid w:val="008A729A"/>
    <w:rsid w:val="008A7474"/>
    <w:rsid w:val="008A7FB7"/>
    <w:rsid w:val="008B060F"/>
    <w:rsid w:val="008B0B42"/>
    <w:rsid w:val="008B0D56"/>
    <w:rsid w:val="008B0D89"/>
    <w:rsid w:val="008B131B"/>
    <w:rsid w:val="008B1A4F"/>
    <w:rsid w:val="008B1A8B"/>
    <w:rsid w:val="008B2152"/>
    <w:rsid w:val="008B24E6"/>
    <w:rsid w:val="008B2929"/>
    <w:rsid w:val="008B2CE0"/>
    <w:rsid w:val="008B2E67"/>
    <w:rsid w:val="008B31F9"/>
    <w:rsid w:val="008B3A74"/>
    <w:rsid w:val="008B3BD2"/>
    <w:rsid w:val="008B3C40"/>
    <w:rsid w:val="008B428B"/>
    <w:rsid w:val="008B47F3"/>
    <w:rsid w:val="008B4A65"/>
    <w:rsid w:val="008B4E9B"/>
    <w:rsid w:val="008B50DF"/>
    <w:rsid w:val="008B5B36"/>
    <w:rsid w:val="008B5D4D"/>
    <w:rsid w:val="008B60D9"/>
    <w:rsid w:val="008B6162"/>
    <w:rsid w:val="008B642A"/>
    <w:rsid w:val="008B658F"/>
    <w:rsid w:val="008B65D2"/>
    <w:rsid w:val="008B706F"/>
    <w:rsid w:val="008B7732"/>
    <w:rsid w:val="008B792E"/>
    <w:rsid w:val="008B7A7E"/>
    <w:rsid w:val="008C04DF"/>
    <w:rsid w:val="008C082D"/>
    <w:rsid w:val="008C1041"/>
    <w:rsid w:val="008C1880"/>
    <w:rsid w:val="008C1897"/>
    <w:rsid w:val="008C1971"/>
    <w:rsid w:val="008C2027"/>
    <w:rsid w:val="008C25D7"/>
    <w:rsid w:val="008C283E"/>
    <w:rsid w:val="008C2AD0"/>
    <w:rsid w:val="008C2FA8"/>
    <w:rsid w:val="008C31AE"/>
    <w:rsid w:val="008C3BC3"/>
    <w:rsid w:val="008C3D59"/>
    <w:rsid w:val="008C3E99"/>
    <w:rsid w:val="008C452F"/>
    <w:rsid w:val="008C4AF5"/>
    <w:rsid w:val="008C4B80"/>
    <w:rsid w:val="008C4CC8"/>
    <w:rsid w:val="008C5036"/>
    <w:rsid w:val="008C5399"/>
    <w:rsid w:val="008C62E2"/>
    <w:rsid w:val="008C644C"/>
    <w:rsid w:val="008C6750"/>
    <w:rsid w:val="008C6827"/>
    <w:rsid w:val="008C6874"/>
    <w:rsid w:val="008C6AC2"/>
    <w:rsid w:val="008C6D35"/>
    <w:rsid w:val="008C7098"/>
    <w:rsid w:val="008C74B6"/>
    <w:rsid w:val="008C798F"/>
    <w:rsid w:val="008C7A3E"/>
    <w:rsid w:val="008D00FE"/>
    <w:rsid w:val="008D0E0C"/>
    <w:rsid w:val="008D2147"/>
    <w:rsid w:val="008D252D"/>
    <w:rsid w:val="008D26B2"/>
    <w:rsid w:val="008D2AC6"/>
    <w:rsid w:val="008D2C44"/>
    <w:rsid w:val="008D2CAF"/>
    <w:rsid w:val="008D2D13"/>
    <w:rsid w:val="008D303A"/>
    <w:rsid w:val="008D3ACE"/>
    <w:rsid w:val="008D3C0D"/>
    <w:rsid w:val="008D3C88"/>
    <w:rsid w:val="008D4244"/>
    <w:rsid w:val="008D4E7E"/>
    <w:rsid w:val="008D51CC"/>
    <w:rsid w:val="008D582B"/>
    <w:rsid w:val="008D648F"/>
    <w:rsid w:val="008D694B"/>
    <w:rsid w:val="008D6B57"/>
    <w:rsid w:val="008D6C14"/>
    <w:rsid w:val="008D76C3"/>
    <w:rsid w:val="008D7A55"/>
    <w:rsid w:val="008E0BE2"/>
    <w:rsid w:val="008E0CD1"/>
    <w:rsid w:val="008E0DE1"/>
    <w:rsid w:val="008E139F"/>
    <w:rsid w:val="008E154E"/>
    <w:rsid w:val="008E1CB2"/>
    <w:rsid w:val="008E2773"/>
    <w:rsid w:val="008E2B6C"/>
    <w:rsid w:val="008E2C37"/>
    <w:rsid w:val="008E31A9"/>
    <w:rsid w:val="008E3870"/>
    <w:rsid w:val="008E3E07"/>
    <w:rsid w:val="008E404F"/>
    <w:rsid w:val="008E4412"/>
    <w:rsid w:val="008E4F95"/>
    <w:rsid w:val="008E530B"/>
    <w:rsid w:val="008E5366"/>
    <w:rsid w:val="008E5533"/>
    <w:rsid w:val="008E5A66"/>
    <w:rsid w:val="008E5ACF"/>
    <w:rsid w:val="008E5E72"/>
    <w:rsid w:val="008E62C0"/>
    <w:rsid w:val="008E63C9"/>
    <w:rsid w:val="008E775F"/>
    <w:rsid w:val="008E7B20"/>
    <w:rsid w:val="008E7DEF"/>
    <w:rsid w:val="008F0833"/>
    <w:rsid w:val="008F12C8"/>
    <w:rsid w:val="008F1A30"/>
    <w:rsid w:val="008F1C6E"/>
    <w:rsid w:val="008F1FC1"/>
    <w:rsid w:val="008F2238"/>
    <w:rsid w:val="008F2325"/>
    <w:rsid w:val="008F2691"/>
    <w:rsid w:val="008F2A35"/>
    <w:rsid w:val="008F2DF6"/>
    <w:rsid w:val="008F2E3D"/>
    <w:rsid w:val="008F2ED2"/>
    <w:rsid w:val="008F35DC"/>
    <w:rsid w:val="008F478E"/>
    <w:rsid w:val="008F4D52"/>
    <w:rsid w:val="008F4E41"/>
    <w:rsid w:val="008F5161"/>
    <w:rsid w:val="008F5276"/>
    <w:rsid w:val="008F56BE"/>
    <w:rsid w:val="008F57F7"/>
    <w:rsid w:val="008F5A11"/>
    <w:rsid w:val="008F6222"/>
    <w:rsid w:val="008F665E"/>
    <w:rsid w:val="008F670B"/>
    <w:rsid w:val="008F7A00"/>
    <w:rsid w:val="008F7D3A"/>
    <w:rsid w:val="00900C1C"/>
    <w:rsid w:val="00900F65"/>
    <w:rsid w:val="009015BF"/>
    <w:rsid w:val="009017CE"/>
    <w:rsid w:val="009029B0"/>
    <w:rsid w:val="00902C09"/>
    <w:rsid w:val="00902C58"/>
    <w:rsid w:val="009039B0"/>
    <w:rsid w:val="0090408D"/>
    <w:rsid w:val="00904118"/>
    <w:rsid w:val="00904168"/>
    <w:rsid w:val="0090430B"/>
    <w:rsid w:val="00904580"/>
    <w:rsid w:val="00904757"/>
    <w:rsid w:val="00904B36"/>
    <w:rsid w:val="00904C80"/>
    <w:rsid w:val="00904E6B"/>
    <w:rsid w:val="00904FCB"/>
    <w:rsid w:val="009055BA"/>
    <w:rsid w:val="009056EC"/>
    <w:rsid w:val="00905E74"/>
    <w:rsid w:val="009060BD"/>
    <w:rsid w:val="00906439"/>
    <w:rsid w:val="009064B9"/>
    <w:rsid w:val="00906EEC"/>
    <w:rsid w:val="0090701B"/>
    <w:rsid w:val="00907862"/>
    <w:rsid w:val="0090788C"/>
    <w:rsid w:val="00910173"/>
    <w:rsid w:val="00910297"/>
    <w:rsid w:val="0091038F"/>
    <w:rsid w:val="00910AE9"/>
    <w:rsid w:val="00910C69"/>
    <w:rsid w:val="00910C9A"/>
    <w:rsid w:val="009113C8"/>
    <w:rsid w:val="009129EF"/>
    <w:rsid w:val="00912A6F"/>
    <w:rsid w:val="00912BFC"/>
    <w:rsid w:val="0091310B"/>
    <w:rsid w:val="00913531"/>
    <w:rsid w:val="0091384B"/>
    <w:rsid w:val="00913DCA"/>
    <w:rsid w:val="00913F33"/>
    <w:rsid w:val="00914204"/>
    <w:rsid w:val="00914306"/>
    <w:rsid w:val="00914392"/>
    <w:rsid w:val="009143B2"/>
    <w:rsid w:val="0091486E"/>
    <w:rsid w:val="009149F6"/>
    <w:rsid w:val="00914D08"/>
    <w:rsid w:val="00914D69"/>
    <w:rsid w:val="00915C7E"/>
    <w:rsid w:val="00915FB0"/>
    <w:rsid w:val="009166AF"/>
    <w:rsid w:val="009168B3"/>
    <w:rsid w:val="009170BF"/>
    <w:rsid w:val="00917344"/>
    <w:rsid w:val="00917862"/>
    <w:rsid w:val="009206C0"/>
    <w:rsid w:val="00922606"/>
    <w:rsid w:val="0092265A"/>
    <w:rsid w:val="00922791"/>
    <w:rsid w:val="00922D31"/>
    <w:rsid w:val="009239F9"/>
    <w:rsid w:val="00923F34"/>
    <w:rsid w:val="00925445"/>
    <w:rsid w:val="0092559F"/>
    <w:rsid w:val="00925B3E"/>
    <w:rsid w:val="00925C6F"/>
    <w:rsid w:val="00925F00"/>
    <w:rsid w:val="0092607C"/>
    <w:rsid w:val="00926081"/>
    <w:rsid w:val="00926160"/>
    <w:rsid w:val="0092675A"/>
    <w:rsid w:val="009269F7"/>
    <w:rsid w:val="00927309"/>
    <w:rsid w:val="009274C2"/>
    <w:rsid w:val="0092751D"/>
    <w:rsid w:val="00927CC9"/>
    <w:rsid w:val="00930389"/>
    <w:rsid w:val="00930B95"/>
    <w:rsid w:val="00930CCD"/>
    <w:rsid w:val="00930F94"/>
    <w:rsid w:val="009310DB"/>
    <w:rsid w:val="00931141"/>
    <w:rsid w:val="009316EE"/>
    <w:rsid w:val="00931C86"/>
    <w:rsid w:val="00932289"/>
    <w:rsid w:val="009324A5"/>
    <w:rsid w:val="00932771"/>
    <w:rsid w:val="00932A03"/>
    <w:rsid w:val="00933781"/>
    <w:rsid w:val="00934D3B"/>
    <w:rsid w:val="00934E1C"/>
    <w:rsid w:val="00935224"/>
    <w:rsid w:val="0093561C"/>
    <w:rsid w:val="00935665"/>
    <w:rsid w:val="00935B30"/>
    <w:rsid w:val="00936608"/>
    <w:rsid w:val="00936A4E"/>
    <w:rsid w:val="00936E77"/>
    <w:rsid w:val="009370ED"/>
    <w:rsid w:val="00937609"/>
    <w:rsid w:val="00937965"/>
    <w:rsid w:val="00937A50"/>
    <w:rsid w:val="0094016F"/>
    <w:rsid w:val="0094038F"/>
    <w:rsid w:val="0094067C"/>
    <w:rsid w:val="00940AE9"/>
    <w:rsid w:val="00940C55"/>
    <w:rsid w:val="0094115F"/>
    <w:rsid w:val="00941580"/>
    <w:rsid w:val="00941A00"/>
    <w:rsid w:val="00941B78"/>
    <w:rsid w:val="00941F1C"/>
    <w:rsid w:val="0094209B"/>
    <w:rsid w:val="00942346"/>
    <w:rsid w:val="00942962"/>
    <w:rsid w:val="00942DFB"/>
    <w:rsid w:val="00943006"/>
    <w:rsid w:val="0094400F"/>
    <w:rsid w:val="00944A06"/>
    <w:rsid w:val="00944E0C"/>
    <w:rsid w:val="009454C4"/>
    <w:rsid w:val="0094571A"/>
    <w:rsid w:val="009457FF"/>
    <w:rsid w:val="00945998"/>
    <w:rsid w:val="00945CE8"/>
    <w:rsid w:val="00946C48"/>
    <w:rsid w:val="00946D8B"/>
    <w:rsid w:val="00946DD8"/>
    <w:rsid w:val="00946EFF"/>
    <w:rsid w:val="00946F6E"/>
    <w:rsid w:val="009474C2"/>
    <w:rsid w:val="00947545"/>
    <w:rsid w:val="0094777A"/>
    <w:rsid w:val="00947A98"/>
    <w:rsid w:val="0095083A"/>
    <w:rsid w:val="00950D81"/>
    <w:rsid w:val="009518A1"/>
    <w:rsid w:val="00951BD9"/>
    <w:rsid w:val="00952081"/>
    <w:rsid w:val="009527AB"/>
    <w:rsid w:val="00952A05"/>
    <w:rsid w:val="00953831"/>
    <w:rsid w:val="00953F58"/>
    <w:rsid w:val="009543EB"/>
    <w:rsid w:val="009544DB"/>
    <w:rsid w:val="00954978"/>
    <w:rsid w:val="00954B1B"/>
    <w:rsid w:val="00954D3B"/>
    <w:rsid w:val="00956832"/>
    <w:rsid w:val="00957098"/>
    <w:rsid w:val="009577F8"/>
    <w:rsid w:val="00957B9C"/>
    <w:rsid w:val="00957C86"/>
    <w:rsid w:val="0096019A"/>
    <w:rsid w:val="00960F15"/>
    <w:rsid w:val="00961A98"/>
    <w:rsid w:val="00961C86"/>
    <w:rsid w:val="00961C96"/>
    <w:rsid w:val="009620E6"/>
    <w:rsid w:val="009621F6"/>
    <w:rsid w:val="009623AB"/>
    <w:rsid w:val="00962859"/>
    <w:rsid w:val="009628F8"/>
    <w:rsid w:val="009629A7"/>
    <w:rsid w:val="00962AFE"/>
    <w:rsid w:val="009631BA"/>
    <w:rsid w:val="009631C3"/>
    <w:rsid w:val="00963456"/>
    <w:rsid w:val="0096378F"/>
    <w:rsid w:val="00963E0B"/>
    <w:rsid w:val="00964131"/>
    <w:rsid w:val="00964206"/>
    <w:rsid w:val="00965380"/>
    <w:rsid w:val="009656EE"/>
    <w:rsid w:val="00965871"/>
    <w:rsid w:val="00965E26"/>
    <w:rsid w:val="009663A0"/>
    <w:rsid w:val="009663C6"/>
    <w:rsid w:val="0096643C"/>
    <w:rsid w:val="00966F17"/>
    <w:rsid w:val="009670AB"/>
    <w:rsid w:val="00967D1F"/>
    <w:rsid w:val="00967ED7"/>
    <w:rsid w:val="00970139"/>
    <w:rsid w:val="009709D5"/>
    <w:rsid w:val="00970A6B"/>
    <w:rsid w:val="00971154"/>
    <w:rsid w:val="00971171"/>
    <w:rsid w:val="00971251"/>
    <w:rsid w:val="009713C6"/>
    <w:rsid w:val="00971D9B"/>
    <w:rsid w:val="00971FC9"/>
    <w:rsid w:val="00972EC5"/>
    <w:rsid w:val="009731EC"/>
    <w:rsid w:val="009732E9"/>
    <w:rsid w:val="00973586"/>
    <w:rsid w:val="009737D9"/>
    <w:rsid w:val="00973C29"/>
    <w:rsid w:val="00973F7E"/>
    <w:rsid w:val="00974F7A"/>
    <w:rsid w:val="009750C5"/>
    <w:rsid w:val="009758E3"/>
    <w:rsid w:val="009763C4"/>
    <w:rsid w:val="00976688"/>
    <w:rsid w:val="00976A6E"/>
    <w:rsid w:val="00976C4F"/>
    <w:rsid w:val="009772F1"/>
    <w:rsid w:val="00977A6B"/>
    <w:rsid w:val="00980169"/>
    <w:rsid w:val="009803F1"/>
    <w:rsid w:val="009807B4"/>
    <w:rsid w:val="00980B24"/>
    <w:rsid w:val="00980D50"/>
    <w:rsid w:val="0098182A"/>
    <w:rsid w:val="009828C6"/>
    <w:rsid w:val="00982964"/>
    <w:rsid w:val="00982CDF"/>
    <w:rsid w:val="00983A84"/>
    <w:rsid w:val="00983B4C"/>
    <w:rsid w:val="00983DFB"/>
    <w:rsid w:val="009844F7"/>
    <w:rsid w:val="00984753"/>
    <w:rsid w:val="00984AA1"/>
    <w:rsid w:val="00984AAC"/>
    <w:rsid w:val="00985462"/>
    <w:rsid w:val="00985463"/>
    <w:rsid w:val="0098582B"/>
    <w:rsid w:val="00985947"/>
    <w:rsid w:val="00985FE7"/>
    <w:rsid w:val="00986029"/>
    <w:rsid w:val="009861AC"/>
    <w:rsid w:val="009868BC"/>
    <w:rsid w:val="009901AE"/>
    <w:rsid w:val="0099079E"/>
    <w:rsid w:val="0099188F"/>
    <w:rsid w:val="0099189A"/>
    <w:rsid w:val="00991F5D"/>
    <w:rsid w:val="00992806"/>
    <w:rsid w:val="0099281E"/>
    <w:rsid w:val="00992870"/>
    <w:rsid w:val="009930B9"/>
    <w:rsid w:val="009934E2"/>
    <w:rsid w:val="00993AB6"/>
    <w:rsid w:val="00993DDC"/>
    <w:rsid w:val="00994079"/>
    <w:rsid w:val="00994F59"/>
    <w:rsid w:val="009956AF"/>
    <w:rsid w:val="00995933"/>
    <w:rsid w:val="00995FFD"/>
    <w:rsid w:val="00996A15"/>
    <w:rsid w:val="00997F4B"/>
    <w:rsid w:val="009A07BD"/>
    <w:rsid w:val="009A0B5D"/>
    <w:rsid w:val="009A0F5A"/>
    <w:rsid w:val="009A12E5"/>
    <w:rsid w:val="009A130A"/>
    <w:rsid w:val="009A1C53"/>
    <w:rsid w:val="009A1D07"/>
    <w:rsid w:val="009A244C"/>
    <w:rsid w:val="009A25B6"/>
    <w:rsid w:val="009A2BBB"/>
    <w:rsid w:val="009A2C08"/>
    <w:rsid w:val="009A2CD1"/>
    <w:rsid w:val="009A35A6"/>
    <w:rsid w:val="009A3612"/>
    <w:rsid w:val="009A366C"/>
    <w:rsid w:val="009A4059"/>
    <w:rsid w:val="009A44C8"/>
    <w:rsid w:val="009A4579"/>
    <w:rsid w:val="009A45B0"/>
    <w:rsid w:val="009A469B"/>
    <w:rsid w:val="009A4755"/>
    <w:rsid w:val="009A4BBD"/>
    <w:rsid w:val="009A4EAB"/>
    <w:rsid w:val="009A5BCC"/>
    <w:rsid w:val="009A5F58"/>
    <w:rsid w:val="009A6A6F"/>
    <w:rsid w:val="009A6F6D"/>
    <w:rsid w:val="009A735F"/>
    <w:rsid w:val="009A798A"/>
    <w:rsid w:val="009A7D52"/>
    <w:rsid w:val="009B07DC"/>
    <w:rsid w:val="009B0B2A"/>
    <w:rsid w:val="009B1226"/>
    <w:rsid w:val="009B13B9"/>
    <w:rsid w:val="009B1AD4"/>
    <w:rsid w:val="009B1B69"/>
    <w:rsid w:val="009B1D67"/>
    <w:rsid w:val="009B2112"/>
    <w:rsid w:val="009B233B"/>
    <w:rsid w:val="009B2F45"/>
    <w:rsid w:val="009B3317"/>
    <w:rsid w:val="009B3881"/>
    <w:rsid w:val="009B46B5"/>
    <w:rsid w:val="009B47EE"/>
    <w:rsid w:val="009B533B"/>
    <w:rsid w:val="009B56A6"/>
    <w:rsid w:val="009B5A67"/>
    <w:rsid w:val="009B6EC2"/>
    <w:rsid w:val="009B7570"/>
    <w:rsid w:val="009C0336"/>
    <w:rsid w:val="009C0DCE"/>
    <w:rsid w:val="009C1051"/>
    <w:rsid w:val="009C137B"/>
    <w:rsid w:val="009C1397"/>
    <w:rsid w:val="009C141A"/>
    <w:rsid w:val="009C14FD"/>
    <w:rsid w:val="009C16FB"/>
    <w:rsid w:val="009C171C"/>
    <w:rsid w:val="009C1772"/>
    <w:rsid w:val="009C17DA"/>
    <w:rsid w:val="009C18CC"/>
    <w:rsid w:val="009C1A55"/>
    <w:rsid w:val="009C1C22"/>
    <w:rsid w:val="009C1F5C"/>
    <w:rsid w:val="009C1F80"/>
    <w:rsid w:val="009C21C5"/>
    <w:rsid w:val="009C2C62"/>
    <w:rsid w:val="009C2D2A"/>
    <w:rsid w:val="009C2FC1"/>
    <w:rsid w:val="009C37B1"/>
    <w:rsid w:val="009C3AFB"/>
    <w:rsid w:val="009C3B95"/>
    <w:rsid w:val="009C3C80"/>
    <w:rsid w:val="009C3D26"/>
    <w:rsid w:val="009C470D"/>
    <w:rsid w:val="009C4CD0"/>
    <w:rsid w:val="009C5A44"/>
    <w:rsid w:val="009C5CA0"/>
    <w:rsid w:val="009C638B"/>
    <w:rsid w:val="009C65E6"/>
    <w:rsid w:val="009C7103"/>
    <w:rsid w:val="009C7256"/>
    <w:rsid w:val="009C7998"/>
    <w:rsid w:val="009C79D9"/>
    <w:rsid w:val="009C7AEF"/>
    <w:rsid w:val="009D05E0"/>
    <w:rsid w:val="009D199C"/>
    <w:rsid w:val="009D1F22"/>
    <w:rsid w:val="009D217F"/>
    <w:rsid w:val="009D2594"/>
    <w:rsid w:val="009D29E9"/>
    <w:rsid w:val="009D2F50"/>
    <w:rsid w:val="009D3626"/>
    <w:rsid w:val="009D3B66"/>
    <w:rsid w:val="009D443F"/>
    <w:rsid w:val="009D5EEE"/>
    <w:rsid w:val="009D655A"/>
    <w:rsid w:val="009D68FB"/>
    <w:rsid w:val="009D6EE3"/>
    <w:rsid w:val="009D72FC"/>
    <w:rsid w:val="009D76FA"/>
    <w:rsid w:val="009D771F"/>
    <w:rsid w:val="009D777F"/>
    <w:rsid w:val="009D7BA9"/>
    <w:rsid w:val="009D7CD5"/>
    <w:rsid w:val="009E005B"/>
    <w:rsid w:val="009E04B3"/>
    <w:rsid w:val="009E0780"/>
    <w:rsid w:val="009E0DFC"/>
    <w:rsid w:val="009E0F7A"/>
    <w:rsid w:val="009E12EA"/>
    <w:rsid w:val="009E1880"/>
    <w:rsid w:val="009E1A06"/>
    <w:rsid w:val="009E1A85"/>
    <w:rsid w:val="009E247B"/>
    <w:rsid w:val="009E36A5"/>
    <w:rsid w:val="009E41A0"/>
    <w:rsid w:val="009E442B"/>
    <w:rsid w:val="009E46AE"/>
    <w:rsid w:val="009E5252"/>
    <w:rsid w:val="009E5B74"/>
    <w:rsid w:val="009E5FF1"/>
    <w:rsid w:val="009E644A"/>
    <w:rsid w:val="009E6683"/>
    <w:rsid w:val="009E66F3"/>
    <w:rsid w:val="009E6E9A"/>
    <w:rsid w:val="009E7C14"/>
    <w:rsid w:val="009F0100"/>
    <w:rsid w:val="009F0803"/>
    <w:rsid w:val="009F094B"/>
    <w:rsid w:val="009F0A01"/>
    <w:rsid w:val="009F14F9"/>
    <w:rsid w:val="009F1B50"/>
    <w:rsid w:val="009F1EFE"/>
    <w:rsid w:val="009F1F1A"/>
    <w:rsid w:val="009F2CB9"/>
    <w:rsid w:val="009F2D3D"/>
    <w:rsid w:val="009F390C"/>
    <w:rsid w:val="009F3951"/>
    <w:rsid w:val="009F3B2B"/>
    <w:rsid w:val="009F3CA2"/>
    <w:rsid w:val="009F3D3B"/>
    <w:rsid w:val="009F3EA2"/>
    <w:rsid w:val="009F419C"/>
    <w:rsid w:val="009F43E0"/>
    <w:rsid w:val="009F49B2"/>
    <w:rsid w:val="009F4C2B"/>
    <w:rsid w:val="009F52C1"/>
    <w:rsid w:val="009F52CE"/>
    <w:rsid w:val="009F5715"/>
    <w:rsid w:val="009F5DEC"/>
    <w:rsid w:val="009F5EB6"/>
    <w:rsid w:val="009F5ED1"/>
    <w:rsid w:val="009F62D9"/>
    <w:rsid w:val="009F6624"/>
    <w:rsid w:val="009F6688"/>
    <w:rsid w:val="009F6E54"/>
    <w:rsid w:val="00A00C12"/>
    <w:rsid w:val="00A016F4"/>
    <w:rsid w:val="00A01D7B"/>
    <w:rsid w:val="00A0211B"/>
    <w:rsid w:val="00A021BC"/>
    <w:rsid w:val="00A02820"/>
    <w:rsid w:val="00A02A72"/>
    <w:rsid w:val="00A03AB2"/>
    <w:rsid w:val="00A03AC2"/>
    <w:rsid w:val="00A03C7D"/>
    <w:rsid w:val="00A04583"/>
    <w:rsid w:val="00A04639"/>
    <w:rsid w:val="00A04B94"/>
    <w:rsid w:val="00A04CCE"/>
    <w:rsid w:val="00A04D6C"/>
    <w:rsid w:val="00A053A2"/>
    <w:rsid w:val="00A053BD"/>
    <w:rsid w:val="00A055A5"/>
    <w:rsid w:val="00A059F8"/>
    <w:rsid w:val="00A05DD6"/>
    <w:rsid w:val="00A06074"/>
    <w:rsid w:val="00A0626C"/>
    <w:rsid w:val="00A064A6"/>
    <w:rsid w:val="00A06502"/>
    <w:rsid w:val="00A0730A"/>
    <w:rsid w:val="00A074D3"/>
    <w:rsid w:val="00A07A85"/>
    <w:rsid w:val="00A07E04"/>
    <w:rsid w:val="00A07FAF"/>
    <w:rsid w:val="00A1067D"/>
    <w:rsid w:val="00A10938"/>
    <w:rsid w:val="00A113C1"/>
    <w:rsid w:val="00A116EB"/>
    <w:rsid w:val="00A11EA4"/>
    <w:rsid w:val="00A11EA9"/>
    <w:rsid w:val="00A12068"/>
    <w:rsid w:val="00A120B9"/>
    <w:rsid w:val="00A1260A"/>
    <w:rsid w:val="00A1264F"/>
    <w:rsid w:val="00A128FD"/>
    <w:rsid w:val="00A12A7C"/>
    <w:rsid w:val="00A131DA"/>
    <w:rsid w:val="00A1330E"/>
    <w:rsid w:val="00A138DE"/>
    <w:rsid w:val="00A13C2E"/>
    <w:rsid w:val="00A140F7"/>
    <w:rsid w:val="00A1448C"/>
    <w:rsid w:val="00A144F9"/>
    <w:rsid w:val="00A14C15"/>
    <w:rsid w:val="00A14F1F"/>
    <w:rsid w:val="00A15328"/>
    <w:rsid w:val="00A15419"/>
    <w:rsid w:val="00A15460"/>
    <w:rsid w:val="00A156C6"/>
    <w:rsid w:val="00A15D7C"/>
    <w:rsid w:val="00A16238"/>
    <w:rsid w:val="00A16688"/>
    <w:rsid w:val="00A1791D"/>
    <w:rsid w:val="00A17CF5"/>
    <w:rsid w:val="00A19409"/>
    <w:rsid w:val="00A203CB"/>
    <w:rsid w:val="00A204BC"/>
    <w:rsid w:val="00A210D2"/>
    <w:rsid w:val="00A215A8"/>
    <w:rsid w:val="00A21BC9"/>
    <w:rsid w:val="00A225CD"/>
    <w:rsid w:val="00A22790"/>
    <w:rsid w:val="00A22822"/>
    <w:rsid w:val="00A22CC2"/>
    <w:rsid w:val="00A2334F"/>
    <w:rsid w:val="00A23455"/>
    <w:rsid w:val="00A2351C"/>
    <w:rsid w:val="00A23838"/>
    <w:rsid w:val="00A23944"/>
    <w:rsid w:val="00A2400F"/>
    <w:rsid w:val="00A25337"/>
    <w:rsid w:val="00A25E59"/>
    <w:rsid w:val="00A25FA0"/>
    <w:rsid w:val="00A2678B"/>
    <w:rsid w:val="00A26FDE"/>
    <w:rsid w:val="00A303A9"/>
    <w:rsid w:val="00A30B98"/>
    <w:rsid w:val="00A30F4A"/>
    <w:rsid w:val="00A31884"/>
    <w:rsid w:val="00A31A3C"/>
    <w:rsid w:val="00A31A62"/>
    <w:rsid w:val="00A320C1"/>
    <w:rsid w:val="00A32157"/>
    <w:rsid w:val="00A321B6"/>
    <w:rsid w:val="00A32D8B"/>
    <w:rsid w:val="00A32E8A"/>
    <w:rsid w:val="00A32F17"/>
    <w:rsid w:val="00A3378C"/>
    <w:rsid w:val="00A33D55"/>
    <w:rsid w:val="00A33F37"/>
    <w:rsid w:val="00A342AB"/>
    <w:rsid w:val="00A34481"/>
    <w:rsid w:val="00A34A91"/>
    <w:rsid w:val="00A34AE0"/>
    <w:rsid w:val="00A34DE6"/>
    <w:rsid w:val="00A34F8A"/>
    <w:rsid w:val="00A35115"/>
    <w:rsid w:val="00A356F4"/>
    <w:rsid w:val="00A359EF"/>
    <w:rsid w:val="00A35A96"/>
    <w:rsid w:val="00A35C5C"/>
    <w:rsid w:val="00A35E95"/>
    <w:rsid w:val="00A361CA"/>
    <w:rsid w:val="00A36AB7"/>
    <w:rsid w:val="00A374EB"/>
    <w:rsid w:val="00A37665"/>
    <w:rsid w:val="00A3768F"/>
    <w:rsid w:val="00A37C30"/>
    <w:rsid w:val="00A40131"/>
    <w:rsid w:val="00A402A1"/>
    <w:rsid w:val="00A4048F"/>
    <w:rsid w:val="00A4111B"/>
    <w:rsid w:val="00A41335"/>
    <w:rsid w:val="00A419D0"/>
    <w:rsid w:val="00A41D8A"/>
    <w:rsid w:val="00A42056"/>
    <w:rsid w:val="00A4259F"/>
    <w:rsid w:val="00A4274E"/>
    <w:rsid w:val="00A42B0B"/>
    <w:rsid w:val="00A43772"/>
    <w:rsid w:val="00A44175"/>
    <w:rsid w:val="00A44D8F"/>
    <w:rsid w:val="00A45234"/>
    <w:rsid w:val="00A45A85"/>
    <w:rsid w:val="00A46260"/>
    <w:rsid w:val="00A464DE"/>
    <w:rsid w:val="00A46777"/>
    <w:rsid w:val="00A46B45"/>
    <w:rsid w:val="00A46CF2"/>
    <w:rsid w:val="00A46E8E"/>
    <w:rsid w:val="00A46F3F"/>
    <w:rsid w:val="00A46F7D"/>
    <w:rsid w:val="00A475B0"/>
    <w:rsid w:val="00A47C1A"/>
    <w:rsid w:val="00A501D5"/>
    <w:rsid w:val="00A502C3"/>
    <w:rsid w:val="00A50455"/>
    <w:rsid w:val="00A50AD8"/>
    <w:rsid w:val="00A50D22"/>
    <w:rsid w:val="00A50E14"/>
    <w:rsid w:val="00A51233"/>
    <w:rsid w:val="00A512C3"/>
    <w:rsid w:val="00A51CDD"/>
    <w:rsid w:val="00A5223C"/>
    <w:rsid w:val="00A522C3"/>
    <w:rsid w:val="00A528B0"/>
    <w:rsid w:val="00A52DCE"/>
    <w:rsid w:val="00A52DFA"/>
    <w:rsid w:val="00A53477"/>
    <w:rsid w:val="00A5386F"/>
    <w:rsid w:val="00A53FEF"/>
    <w:rsid w:val="00A54390"/>
    <w:rsid w:val="00A54A7B"/>
    <w:rsid w:val="00A54E22"/>
    <w:rsid w:val="00A55140"/>
    <w:rsid w:val="00A5579D"/>
    <w:rsid w:val="00A562CA"/>
    <w:rsid w:val="00A56401"/>
    <w:rsid w:val="00A56787"/>
    <w:rsid w:val="00A5694E"/>
    <w:rsid w:val="00A571AE"/>
    <w:rsid w:val="00A571FE"/>
    <w:rsid w:val="00A5759A"/>
    <w:rsid w:val="00A575B4"/>
    <w:rsid w:val="00A5796A"/>
    <w:rsid w:val="00A57DDC"/>
    <w:rsid w:val="00A60300"/>
    <w:rsid w:val="00A6030E"/>
    <w:rsid w:val="00A60395"/>
    <w:rsid w:val="00A603D6"/>
    <w:rsid w:val="00A60929"/>
    <w:rsid w:val="00A61063"/>
    <w:rsid w:val="00A61492"/>
    <w:rsid w:val="00A61836"/>
    <w:rsid w:val="00A61B26"/>
    <w:rsid w:val="00A61D1D"/>
    <w:rsid w:val="00A61D8E"/>
    <w:rsid w:val="00A61EE9"/>
    <w:rsid w:val="00A622F0"/>
    <w:rsid w:val="00A6287E"/>
    <w:rsid w:val="00A62CF5"/>
    <w:rsid w:val="00A62FA6"/>
    <w:rsid w:val="00A63507"/>
    <w:rsid w:val="00A64A3F"/>
    <w:rsid w:val="00A64B9B"/>
    <w:rsid w:val="00A64DC9"/>
    <w:rsid w:val="00A65280"/>
    <w:rsid w:val="00A65360"/>
    <w:rsid w:val="00A65624"/>
    <w:rsid w:val="00A658A4"/>
    <w:rsid w:val="00A65E3C"/>
    <w:rsid w:val="00A6710A"/>
    <w:rsid w:val="00A67354"/>
    <w:rsid w:val="00A675BB"/>
    <w:rsid w:val="00A7065E"/>
    <w:rsid w:val="00A70718"/>
    <w:rsid w:val="00A70DF7"/>
    <w:rsid w:val="00A711F0"/>
    <w:rsid w:val="00A71593"/>
    <w:rsid w:val="00A71EFB"/>
    <w:rsid w:val="00A72644"/>
    <w:rsid w:val="00A7287F"/>
    <w:rsid w:val="00A72B79"/>
    <w:rsid w:val="00A73268"/>
    <w:rsid w:val="00A73671"/>
    <w:rsid w:val="00A73746"/>
    <w:rsid w:val="00A737FD"/>
    <w:rsid w:val="00A73BD7"/>
    <w:rsid w:val="00A742C7"/>
    <w:rsid w:val="00A743AB"/>
    <w:rsid w:val="00A7453E"/>
    <w:rsid w:val="00A753C0"/>
    <w:rsid w:val="00A75510"/>
    <w:rsid w:val="00A75A34"/>
    <w:rsid w:val="00A75F9E"/>
    <w:rsid w:val="00A761E5"/>
    <w:rsid w:val="00A77212"/>
    <w:rsid w:val="00A77C2C"/>
    <w:rsid w:val="00A80062"/>
    <w:rsid w:val="00A80110"/>
    <w:rsid w:val="00A80384"/>
    <w:rsid w:val="00A8095B"/>
    <w:rsid w:val="00A80F27"/>
    <w:rsid w:val="00A8182F"/>
    <w:rsid w:val="00A81ACB"/>
    <w:rsid w:val="00A81C19"/>
    <w:rsid w:val="00A82146"/>
    <w:rsid w:val="00A82545"/>
    <w:rsid w:val="00A82683"/>
    <w:rsid w:val="00A82B55"/>
    <w:rsid w:val="00A82C68"/>
    <w:rsid w:val="00A831D9"/>
    <w:rsid w:val="00A83208"/>
    <w:rsid w:val="00A83508"/>
    <w:rsid w:val="00A84938"/>
    <w:rsid w:val="00A856EB"/>
    <w:rsid w:val="00A86236"/>
    <w:rsid w:val="00A875C6"/>
    <w:rsid w:val="00A875E3"/>
    <w:rsid w:val="00A87694"/>
    <w:rsid w:val="00A9022E"/>
    <w:rsid w:val="00A902D4"/>
    <w:rsid w:val="00A9079C"/>
    <w:rsid w:val="00A90999"/>
    <w:rsid w:val="00A90C0D"/>
    <w:rsid w:val="00A90DD7"/>
    <w:rsid w:val="00A90FFB"/>
    <w:rsid w:val="00A91257"/>
    <w:rsid w:val="00A91E4C"/>
    <w:rsid w:val="00A91F12"/>
    <w:rsid w:val="00A9209F"/>
    <w:rsid w:val="00A9235A"/>
    <w:rsid w:val="00A92C0D"/>
    <w:rsid w:val="00A92EB1"/>
    <w:rsid w:val="00A93011"/>
    <w:rsid w:val="00A93BE0"/>
    <w:rsid w:val="00A93C25"/>
    <w:rsid w:val="00A93E1B"/>
    <w:rsid w:val="00A9408B"/>
    <w:rsid w:val="00A94268"/>
    <w:rsid w:val="00A942E6"/>
    <w:rsid w:val="00A943A7"/>
    <w:rsid w:val="00A9464D"/>
    <w:rsid w:val="00A94974"/>
    <w:rsid w:val="00A94DD9"/>
    <w:rsid w:val="00A952B0"/>
    <w:rsid w:val="00A9539C"/>
    <w:rsid w:val="00A95683"/>
    <w:rsid w:val="00A9581A"/>
    <w:rsid w:val="00A95955"/>
    <w:rsid w:val="00A9632E"/>
    <w:rsid w:val="00A9641B"/>
    <w:rsid w:val="00A9643B"/>
    <w:rsid w:val="00A967CF"/>
    <w:rsid w:val="00A96CE4"/>
    <w:rsid w:val="00A96E21"/>
    <w:rsid w:val="00A96E34"/>
    <w:rsid w:val="00A979B1"/>
    <w:rsid w:val="00A97EE0"/>
    <w:rsid w:val="00AA0AD4"/>
    <w:rsid w:val="00AA1165"/>
    <w:rsid w:val="00AA1480"/>
    <w:rsid w:val="00AA1E32"/>
    <w:rsid w:val="00AA2161"/>
    <w:rsid w:val="00AA2601"/>
    <w:rsid w:val="00AA295F"/>
    <w:rsid w:val="00AA2A10"/>
    <w:rsid w:val="00AA2CB2"/>
    <w:rsid w:val="00AA3467"/>
    <w:rsid w:val="00AA3682"/>
    <w:rsid w:val="00AA397F"/>
    <w:rsid w:val="00AA3F31"/>
    <w:rsid w:val="00AA437A"/>
    <w:rsid w:val="00AA43D6"/>
    <w:rsid w:val="00AA4625"/>
    <w:rsid w:val="00AA5483"/>
    <w:rsid w:val="00AA5517"/>
    <w:rsid w:val="00AA6312"/>
    <w:rsid w:val="00AA6A40"/>
    <w:rsid w:val="00AA6BB6"/>
    <w:rsid w:val="00AA6C30"/>
    <w:rsid w:val="00AA7BCE"/>
    <w:rsid w:val="00AA7D57"/>
    <w:rsid w:val="00AB0036"/>
    <w:rsid w:val="00AB02E9"/>
    <w:rsid w:val="00AB0C62"/>
    <w:rsid w:val="00AB10EA"/>
    <w:rsid w:val="00AB16B3"/>
    <w:rsid w:val="00AB1EFA"/>
    <w:rsid w:val="00AB1F1A"/>
    <w:rsid w:val="00AB2EE7"/>
    <w:rsid w:val="00AB31D7"/>
    <w:rsid w:val="00AB33AA"/>
    <w:rsid w:val="00AB3A36"/>
    <w:rsid w:val="00AB3F0D"/>
    <w:rsid w:val="00AB4639"/>
    <w:rsid w:val="00AB53E4"/>
    <w:rsid w:val="00AB5467"/>
    <w:rsid w:val="00AB5488"/>
    <w:rsid w:val="00AB57B2"/>
    <w:rsid w:val="00AB6007"/>
    <w:rsid w:val="00AB6588"/>
    <w:rsid w:val="00AB6C7B"/>
    <w:rsid w:val="00AB6EAC"/>
    <w:rsid w:val="00AC00D2"/>
    <w:rsid w:val="00AC0699"/>
    <w:rsid w:val="00AC191A"/>
    <w:rsid w:val="00AC252B"/>
    <w:rsid w:val="00AC2BEF"/>
    <w:rsid w:val="00AC2F08"/>
    <w:rsid w:val="00AC35B2"/>
    <w:rsid w:val="00AC361A"/>
    <w:rsid w:val="00AC3942"/>
    <w:rsid w:val="00AC3CBD"/>
    <w:rsid w:val="00AC4B39"/>
    <w:rsid w:val="00AC4F34"/>
    <w:rsid w:val="00AC50BC"/>
    <w:rsid w:val="00AC52AC"/>
    <w:rsid w:val="00AC5517"/>
    <w:rsid w:val="00AC5AF1"/>
    <w:rsid w:val="00AC6104"/>
    <w:rsid w:val="00AC63AC"/>
    <w:rsid w:val="00AC692C"/>
    <w:rsid w:val="00AC6EC2"/>
    <w:rsid w:val="00AC6FBC"/>
    <w:rsid w:val="00AC6FC6"/>
    <w:rsid w:val="00AD0265"/>
    <w:rsid w:val="00AD047A"/>
    <w:rsid w:val="00AD06EB"/>
    <w:rsid w:val="00AD0DE9"/>
    <w:rsid w:val="00AD13C0"/>
    <w:rsid w:val="00AD1F3E"/>
    <w:rsid w:val="00AD2036"/>
    <w:rsid w:val="00AD22E3"/>
    <w:rsid w:val="00AD2971"/>
    <w:rsid w:val="00AD2DCD"/>
    <w:rsid w:val="00AD2F97"/>
    <w:rsid w:val="00AD4439"/>
    <w:rsid w:val="00AD5FE2"/>
    <w:rsid w:val="00AD63E5"/>
    <w:rsid w:val="00AD69A7"/>
    <w:rsid w:val="00AD76F2"/>
    <w:rsid w:val="00AD7D03"/>
    <w:rsid w:val="00AE1224"/>
    <w:rsid w:val="00AE12C5"/>
    <w:rsid w:val="00AE18A3"/>
    <w:rsid w:val="00AE1DBB"/>
    <w:rsid w:val="00AE291B"/>
    <w:rsid w:val="00AE2B8A"/>
    <w:rsid w:val="00AE2E2A"/>
    <w:rsid w:val="00AE3505"/>
    <w:rsid w:val="00AE3756"/>
    <w:rsid w:val="00AE3A4B"/>
    <w:rsid w:val="00AE3A63"/>
    <w:rsid w:val="00AE3B16"/>
    <w:rsid w:val="00AE4572"/>
    <w:rsid w:val="00AE4755"/>
    <w:rsid w:val="00AE53FF"/>
    <w:rsid w:val="00AE5416"/>
    <w:rsid w:val="00AE5435"/>
    <w:rsid w:val="00AE546F"/>
    <w:rsid w:val="00AE568F"/>
    <w:rsid w:val="00AE5C7D"/>
    <w:rsid w:val="00AE6260"/>
    <w:rsid w:val="00AE645C"/>
    <w:rsid w:val="00AE749F"/>
    <w:rsid w:val="00AE77B8"/>
    <w:rsid w:val="00AE7DED"/>
    <w:rsid w:val="00AE7E18"/>
    <w:rsid w:val="00AE7E75"/>
    <w:rsid w:val="00AE7F35"/>
    <w:rsid w:val="00AF10FA"/>
    <w:rsid w:val="00AF11D6"/>
    <w:rsid w:val="00AF16D1"/>
    <w:rsid w:val="00AF18FF"/>
    <w:rsid w:val="00AF19A1"/>
    <w:rsid w:val="00AF2255"/>
    <w:rsid w:val="00AF2918"/>
    <w:rsid w:val="00AF3308"/>
    <w:rsid w:val="00AF3ABE"/>
    <w:rsid w:val="00AF4840"/>
    <w:rsid w:val="00AF49C5"/>
    <w:rsid w:val="00AF52E0"/>
    <w:rsid w:val="00AF5615"/>
    <w:rsid w:val="00AF57C6"/>
    <w:rsid w:val="00AF5DE1"/>
    <w:rsid w:val="00AF6079"/>
    <w:rsid w:val="00AF6286"/>
    <w:rsid w:val="00AF6959"/>
    <w:rsid w:val="00AF7408"/>
    <w:rsid w:val="00AF7AC8"/>
    <w:rsid w:val="00AF7B24"/>
    <w:rsid w:val="00AF7F9A"/>
    <w:rsid w:val="00B0015A"/>
    <w:rsid w:val="00B00520"/>
    <w:rsid w:val="00B00B25"/>
    <w:rsid w:val="00B00F8E"/>
    <w:rsid w:val="00B014D0"/>
    <w:rsid w:val="00B01880"/>
    <w:rsid w:val="00B0199F"/>
    <w:rsid w:val="00B020E0"/>
    <w:rsid w:val="00B0226D"/>
    <w:rsid w:val="00B02CD1"/>
    <w:rsid w:val="00B02D9F"/>
    <w:rsid w:val="00B033A0"/>
    <w:rsid w:val="00B03B39"/>
    <w:rsid w:val="00B03CB0"/>
    <w:rsid w:val="00B041A9"/>
    <w:rsid w:val="00B04350"/>
    <w:rsid w:val="00B0465E"/>
    <w:rsid w:val="00B04F0C"/>
    <w:rsid w:val="00B0515F"/>
    <w:rsid w:val="00B05CBC"/>
    <w:rsid w:val="00B06363"/>
    <w:rsid w:val="00B06A70"/>
    <w:rsid w:val="00B06B41"/>
    <w:rsid w:val="00B06BA8"/>
    <w:rsid w:val="00B06D0F"/>
    <w:rsid w:val="00B070B0"/>
    <w:rsid w:val="00B076BD"/>
    <w:rsid w:val="00B07A6A"/>
    <w:rsid w:val="00B07B44"/>
    <w:rsid w:val="00B07BE6"/>
    <w:rsid w:val="00B07CC6"/>
    <w:rsid w:val="00B10A7B"/>
    <w:rsid w:val="00B10BBD"/>
    <w:rsid w:val="00B10C9A"/>
    <w:rsid w:val="00B10F14"/>
    <w:rsid w:val="00B1122A"/>
    <w:rsid w:val="00B11638"/>
    <w:rsid w:val="00B1199E"/>
    <w:rsid w:val="00B1218F"/>
    <w:rsid w:val="00B122CE"/>
    <w:rsid w:val="00B12341"/>
    <w:rsid w:val="00B12829"/>
    <w:rsid w:val="00B129B3"/>
    <w:rsid w:val="00B13262"/>
    <w:rsid w:val="00B1340D"/>
    <w:rsid w:val="00B135A4"/>
    <w:rsid w:val="00B13E3E"/>
    <w:rsid w:val="00B14140"/>
    <w:rsid w:val="00B145CD"/>
    <w:rsid w:val="00B14791"/>
    <w:rsid w:val="00B14AC6"/>
    <w:rsid w:val="00B14C20"/>
    <w:rsid w:val="00B14E56"/>
    <w:rsid w:val="00B15015"/>
    <w:rsid w:val="00B16238"/>
    <w:rsid w:val="00B168B5"/>
    <w:rsid w:val="00B16F42"/>
    <w:rsid w:val="00B173B2"/>
    <w:rsid w:val="00B1782E"/>
    <w:rsid w:val="00B20164"/>
    <w:rsid w:val="00B202C7"/>
    <w:rsid w:val="00B203F3"/>
    <w:rsid w:val="00B2101D"/>
    <w:rsid w:val="00B210D6"/>
    <w:rsid w:val="00B21628"/>
    <w:rsid w:val="00B22334"/>
    <w:rsid w:val="00B23939"/>
    <w:rsid w:val="00B23F81"/>
    <w:rsid w:val="00B23F8B"/>
    <w:rsid w:val="00B24204"/>
    <w:rsid w:val="00B2431D"/>
    <w:rsid w:val="00B24EB1"/>
    <w:rsid w:val="00B259B3"/>
    <w:rsid w:val="00B25B73"/>
    <w:rsid w:val="00B2680C"/>
    <w:rsid w:val="00B26930"/>
    <w:rsid w:val="00B275A8"/>
    <w:rsid w:val="00B276A4"/>
    <w:rsid w:val="00B27724"/>
    <w:rsid w:val="00B27905"/>
    <w:rsid w:val="00B3027F"/>
    <w:rsid w:val="00B306F3"/>
    <w:rsid w:val="00B30BC2"/>
    <w:rsid w:val="00B30C63"/>
    <w:rsid w:val="00B30F3D"/>
    <w:rsid w:val="00B315B3"/>
    <w:rsid w:val="00B31645"/>
    <w:rsid w:val="00B322F2"/>
    <w:rsid w:val="00B32AAE"/>
    <w:rsid w:val="00B32D80"/>
    <w:rsid w:val="00B32E8B"/>
    <w:rsid w:val="00B339BC"/>
    <w:rsid w:val="00B33B27"/>
    <w:rsid w:val="00B33CE9"/>
    <w:rsid w:val="00B33D65"/>
    <w:rsid w:val="00B33EA5"/>
    <w:rsid w:val="00B33F5C"/>
    <w:rsid w:val="00B340AB"/>
    <w:rsid w:val="00B34514"/>
    <w:rsid w:val="00B34550"/>
    <w:rsid w:val="00B34ED7"/>
    <w:rsid w:val="00B34F46"/>
    <w:rsid w:val="00B3513E"/>
    <w:rsid w:val="00B35482"/>
    <w:rsid w:val="00B35F95"/>
    <w:rsid w:val="00B36B18"/>
    <w:rsid w:val="00B36C69"/>
    <w:rsid w:val="00B36D81"/>
    <w:rsid w:val="00B3755C"/>
    <w:rsid w:val="00B37837"/>
    <w:rsid w:val="00B37938"/>
    <w:rsid w:val="00B379BC"/>
    <w:rsid w:val="00B37D32"/>
    <w:rsid w:val="00B37D7D"/>
    <w:rsid w:val="00B37F7E"/>
    <w:rsid w:val="00B40375"/>
    <w:rsid w:val="00B40ABD"/>
    <w:rsid w:val="00B412BD"/>
    <w:rsid w:val="00B419E4"/>
    <w:rsid w:val="00B41C6A"/>
    <w:rsid w:val="00B41F9C"/>
    <w:rsid w:val="00B42043"/>
    <w:rsid w:val="00B431D7"/>
    <w:rsid w:val="00B432A0"/>
    <w:rsid w:val="00B44753"/>
    <w:rsid w:val="00B45016"/>
    <w:rsid w:val="00B45088"/>
    <w:rsid w:val="00B45473"/>
    <w:rsid w:val="00B4579D"/>
    <w:rsid w:val="00B457B8"/>
    <w:rsid w:val="00B45F25"/>
    <w:rsid w:val="00B46005"/>
    <w:rsid w:val="00B462A7"/>
    <w:rsid w:val="00B463C7"/>
    <w:rsid w:val="00B4738B"/>
    <w:rsid w:val="00B476AF"/>
    <w:rsid w:val="00B4772D"/>
    <w:rsid w:val="00B47CC4"/>
    <w:rsid w:val="00B508BD"/>
    <w:rsid w:val="00B5124B"/>
    <w:rsid w:val="00B517F7"/>
    <w:rsid w:val="00B518E5"/>
    <w:rsid w:val="00B51AE9"/>
    <w:rsid w:val="00B51EBF"/>
    <w:rsid w:val="00B52AFC"/>
    <w:rsid w:val="00B52B41"/>
    <w:rsid w:val="00B52C97"/>
    <w:rsid w:val="00B52EFE"/>
    <w:rsid w:val="00B5316E"/>
    <w:rsid w:val="00B535A3"/>
    <w:rsid w:val="00B5400A"/>
    <w:rsid w:val="00B54E35"/>
    <w:rsid w:val="00B55FC7"/>
    <w:rsid w:val="00B56016"/>
    <w:rsid w:val="00B562D1"/>
    <w:rsid w:val="00B562D8"/>
    <w:rsid w:val="00B568B8"/>
    <w:rsid w:val="00B56CDC"/>
    <w:rsid w:val="00B56E01"/>
    <w:rsid w:val="00B570B9"/>
    <w:rsid w:val="00B5715D"/>
    <w:rsid w:val="00B57479"/>
    <w:rsid w:val="00B60331"/>
    <w:rsid w:val="00B607A0"/>
    <w:rsid w:val="00B608AE"/>
    <w:rsid w:val="00B60A8A"/>
    <w:rsid w:val="00B60DCA"/>
    <w:rsid w:val="00B60FEC"/>
    <w:rsid w:val="00B61824"/>
    <w:rsid w:val="00B61DAA"/>
    <w:rsid w:val="00B62BAE"/>
    <w:rsid w:val="00B62C84"/>
    <w:rsid w:val="00B6305A"/>
    <w:rsid w:val="00B63483"/>
    <w:rsid w:val="00B6369D"/>
    <w:rsid w:val="00B63C73"/>
    <w:rsid w:val="00B63EB0"/>
    <w:rsid w:val="00B642C5"/>
    <w:rsid w:val="00B65878"/>
    <w:rsid w:val="00B65B99"/>
    <w:rsid w:val="00B660B9"/>
    <w:rsid w:val="00B66329"/>
    <w:rsid w:val="00B66F3E"/>
    <w:rsid w:val="00B66FC2"/>
    <w:rsid w:val="00B672B3"/>
    <w:rsid w:val="00B677C8"/>
    <w:rsid w:val="00B678CC"/>
    <w:rsid w:val="00B678DB"/>
    <w:rsid w:val="00B67C5C"/>
    <w:rsid w:val="00B70404"/>
    <w:rsid w:val="00B712C3"/>
    <w:rsid w:val="00B713FD"/>
    <w:rsid w:val="00B72A25"/>
    <w:rsid w:val="00B72F55"/>
    <w:rsid w:val="00B730E0"/>
    <w:rsid w:val="00B7367C"/>
    <w:rsid w:val="00B74C43"/>
    <w:rsid w:val="00B75204"/>
    <w:rsid w:val="00B75812"/>
    <w:rsid w:val="00B75AAA"/>
    <w:rsid w:val="00B7615E"/>
    <w:rsid w:val="00B7645C"/>
    <w:rsid w:val="00B764B6"/>
    <w:rsid w:val="00B766D3"/>
    <w:rsid w:val="00B76B5C"/>
    <w:rsid w:val="00B76DB6"/>
    <w:rsid w:val="00B76EA0"/>
    <w:rsid w:val="00B77050"/>
    <w:rsid w:val="00B770CE"/>
    <w:rsid w:val="00B775B0"/>
    <w:rsid w:val="00B77761"/>
    <w:rsid w:val="00B77D22"/>
    <w:rsid w:val="00B77DBF"/>
    <w:rsid w:val="00B801A6"/>
    <w:rsid w:val="00B80269"/>
    <w:rsid w:val="00B8044D"/>
    <w:rsid w:val="00B80F1B"/>
    <w:rsid w:val="00B810DF"/>
    <w:rsid w:val="00B81198"/>
    <w:rsid w:val="00B8137E"/>
    <w:rsid w:val="00B81983"/>
    <w:rsid w:val="00B81FBB"/>
    <w:rsid w:val="00B823AE"/>
    <w:rsid w:val="00B827FD"/>
    <w:rsid w:val="00B82807"/>
    <w:rsid w:val="00B828CE"/>
    <w:rsid w:val="00B837C2"/>
    <w:rsid w:val="00B83F1D"/>
    <w:rsid w:val="00B84851"/>
    <w:rsid w:val="00B8533F"/>
    <w:rsid w:val="00B85414"/>
    <w:rsid w:val="00B85991"/>
    <w:rsid w:val="00B85F26"/>
    <w:rsid w:val="00B863A8"/>
    <w:rsid w:val="00B8706B"/>
    <w:rsid w:val="00B8772A"/>
    <w:rsid w:val="00B877BD"/>
    <w:rsid w:val="00B879FA"/>
    <w:rsid w:val="00B902B9"/>
    <w:rsid w:val="00B9049B"/>
    <w:rsid w:val="00B90708"/>
    <w:rsid w:val="00B90A68"/>
    <w:rsid w:val="00B910E0"/>
    <w:rsid w:val="00B91319"/>
    <w:rsid w:val="00B91A64"/>
    <w:rsid w:val="00B91E6E"/>
    <w:rsid w:val="00B925A9"/>
    <w:rsid w:val="00B9266C"/>
    <w:rsid w:val="00B929CF"/>
    <w:rsid w:val="00B92C59"/>
    <w:rsid w:val="00B92D3D"/>
    <w:rsid w:val="00B93112"/>
    <w:rsid w:val="00B931AD"/>
    <w:rsid w:val="00B939A3"/>
    <w:rsid w:val="00B93B22"/>
    <w:rsid w:val="00B93BA2"/>
    <w:rsid w:val="00B93D60"/>
    <w:rsid w:val="00B943EA"/>
    <w:rsid w:val="00B946B5"/>
    <w:rsid w:val="00B950B1"/>
    <w:rsid w:val="00B950F0"/>
    <w:rsid w:val="00B95B21"/>
    <w:rsid w:val="00B95BFE"/>
    <w:rsid w:val="00B961CB"/>
    <w:rsid w:val="00B96C22"/>
    <w:rsid w:val="00B96E32"/>
    <w:rsid w:val="00B96E62"/>
    <w:rsid w:val="00B972D3"/>
    <w:rsid w:val="00B9781E"/>
    <w:rsid w:val="00B97C29"/>
    <w:rsid w:val="00BA0098"/>
    <w:rsid w:val="00BA036D"/>
    <w:rsid w:val="00BA06D8"/>
    <w:rsid w:val="00BA0965"/>
    <w:rsid w:val="00BA1705"/>
    <w:rsid w:val="00BA2132"/>
    <w:rsid w:val="00BA22D3"/>
    <w:rsid w:val="00BA2524"/>
    <w:rsid w:val="00BA28BB"/>
    <w:rsid w:val="00BA3049"/>
    <w:rsid w:val="00BA3224"/>
    <w:rsid w:val="00BA3A76"/>
    <w:rsid w:val="00BA3C37"/>
    <w:rsid w:val="00BA414E"/>
    <w:rsid w:val="00BA423A"/>
    <w:rsid w:val="00BA4295"/>
    <w:rsid w:val="00BA456F"/>
    <w:rsid w:val="00BA493D"/>
    <w:rsid w:val="00BA4FD6"/>
    <w:rsid w:val="00BA5352"/>
    <w:rsid w:val="00BA5B58"/>
    <w:rsid w:val="00BA5DEB"/>
    <w:rsid w:val="00BA64B9"/>
    <w:rsid w:val="00BA659C"/>
    <w:rsid w:val="00BA728C"/>
    <w:rsid w:val="00BA73D4"/>
    <w:rsid w:val="00BA74F1"/>
    <w:rsid w:val="00BA78DC"/>
    <w:rsid w:val="00BA7C4B"/>
    <w:rsid w:val="00BA7CE4"/>
    <w:rsid w:val="00BB0200"/>
    <w:rsid w:val="00BB0275"/>
    <w:rsid w:val="00BB0338"/>
    <w:rsid w:val="00BB0479"/>
    <w:rsid w:val="00BB0AB1"/>
    <w:rsid w:val="00BB0AD4"/>
    <w:rsid w:val="00BB1260"/>
    <w:rsid w:val="00BB168A"/>
    <w:rsid w:val="00BB186A"/>
    <w:rsid w:val="00BB19E4"/>
    <w:rsid w:val="00BB230F"/>
    <w:rsid w:val="00BB2496"/>
    <w:rsid w:val="00BB2765"/>
    <w:rsid w:val="00BB30B4"/>
    <w:rsid w:val="00BB3136"/>
    <w:rsid w:val="00BB3242"/>
    <w:rsid w:val="00BB3497"/>
    <w:rsid w:val="00BB3940"/>
    <w:rsid w:val="00BB4188"/>
    <w:rsid w:val="00BB4389"/>
    <w:rsid w:val="00BB5587"/>
    <w:rsid w:val="00BB55B4"/>
    <w:rsid w:val="00BB55E0"/>
    <w:rsid w:val="00BB5F6F"/>
    <w:rsid w:val="00BB60BF"/>
    <w:rsid w:val="00BB611F"/>
    <w:rsid w:val="00BB61BE"/>
    <w:rsid w:val="00BB64A9"/>
    <w:rsid w:val="00BB6830"/>
    <w:rsid w:val="00BB6B61"/>
    <w:rsid w:val="00BB6DCD"/>
    <w:rsid w:val="00BB7191"/>
    <w:rsid w:val="00BB7659"/>
    <w:rsid w:val="00BB76D3"/>
    <w:rsid w:val="00BB7E3C"/>
    <w:rsid w:val="00BB7FBE"/>
    <w:rsid w:val="00BC034A"/>
    <w:rsid w:val="00BC0922"/>
    <w:rsid w:val="00BC0A7B"/>
    <w:rsid w:val="00BC1712"/>
    <w:rsid w:val="00BC1745"/>
    <w:rsid w:val="00BC19AD"/>
    <w:rsid w:val="00BC1B26"/>
    <w:rsid w:val="00BC1F08"/>
    <w:rsid w:val="00BC2060"/>
    <w:rsid w:val="00BC22AB"/>
    <w:rsid w:val="00BC278B"/>
    <w:rsid w:val="00BC2797"/>
    <w:rsid w:val="00BC2DF0"/>
    <w:rsid w:val="00BC2F58"/>
    <w:rsid w:val="00BC4189"/>
    <w:rsid w:val="00BC4227"/>
    <w:rsid w:val="00BC4340"/>
    <w:rsid w:val="00BC4827"/>
    <w:rsid w:val="00BC4952"/>
    <w:rsid w:val="00BC4EF6"/>
    <w:rsid w:val="00BC5324"/>
    <w:rsid w:val="00BC54CD"/>
    <w:rsid w:val="00BC56F5"/>
    <w:rsid w:val="00BC615D"/>
    <w:rsid w:val="00BC6829"/>
    <w:rsid w:val="00BC6BE0"/>
    <w:rsid w:val="00BC6CD8"/>
    <w:rsid w:val="00BC6EAE"/>
    <w:rsid w:val="00BC73E9"/>
    <w:rsid w:val="00BC76B1"/>
    <w:rsid w:val="00BD0F73"/>
    <w:rsid w:val="00BD1366"/>
    <w:rsid w:val="00BD1656"/>
    <w:rsid w:val="00BD16AD"/>
    <w:rsid w:val="00BD1827"/>
    <w:rsid w:val="00BD18CC"/>
    <w:rsid w:val="00BD1AC1"/>
    <w:rsid w:val="00BD1D46"/>
    <w:rsid w:val="00BD2969"/>
    <w:rsid w:val="00BD29F5"/>
    <w:rsid w:val="00BD3242"/>
    <w:rsid w:val="00BD3419"/>
    <w:rsid w:val="00BD39EC"/>
    <w:rsid w:val="00BD3F17"/>
    <w:rsid w:val="00BD42CA"/>
    <w:rsid w:val="00BD4326"/>
    <w:rsid w:val="00BD43E5"/>
    <w:rsid w:val="00BD4B70"/>
    <w:rsid w:val="00BD50DB"/>
    <w:rsid w:val="00BD512A"/>
    <w:rsid w:val="00BD51A7"/>
    <w:rsid w:val="00BD5479"/>
    <w:rsid w:val="00BD5658"/>
    <w:rsid w:val="00BD57EF"/>
    <w:rsid w:val="00BD59CF"/>
    <w:rsid w:val="00BD59E3"/>
    <w:rsid w:val="00BD648A"/>
    <w:rsid w:val="00BD672B"/>
    <w:rsid w:val="00BD771F"/>
    <w:rsid w:val="00BD7C76"/>
    <w:rsid w:val="00BD7FD7"/>
    <w:rsid w:val="00BE0026"/>
    <w:rsid w:val="00BE0315"/>
    <w:rsid w:val="00BE05F0"/>
    <w:rsid w:val="00BE08D5"/>
    <w:rsid w:val="00BE091A"/>
    <w:rsid w:val="00BE09C0"/>
    <w:rsid w:val="00BE0D73"/>
    <w:rsid w:val="00BE0FDB"/>
    <w:rsid w:val="00BE137E"/>
    <w:rsid w:val="00BE15A2"/>
    <w:rsid w:val="00BE1772"/>
    <w:rsid w:val="00BE1DEB"/>
    <w:rsid w:val="00BE2039"/>
    <w:rsid w:val="00BE2903"/>
    <w:rsid w:val="00BE2E8B"/>
    <w:rsid w:val="00BE30FA"/>
    <w:rsid w:val="00BE318A"/>
    <w:rsid w:val="00BE35DA"/>
    <w:rsid w:val="00BE3D47"/>
    <w:rsid w:val="00BE44F2"/>
    <w:rsid w:val="00BE455E"/>
    <w:rsid w:val="00BE67C4"/>
    <w:rsid w:val="00BE76E6"/>
    <w:rsid w:val="00BF0A46"/>
    <w:rsid w:val="00BF0E8E"/>
    <w:rsid w:val="00BF17C6"/>
    <w:rsid w:val="00BF1A7F"/>
    <w:rsid w:val="00BF2085"/>
    <w:rsid w:val="00BF21E0"/>
    <w:rsid w:val="00BF2E36"/>
    <w:rsid w:val="00BF2E9A"/>
    <w:rsid w:val="00BF3997"/>
    <w:rsid w:val="00BF3E91"/>
    <w:rsid w:val="00BF5324"/>
    <w:rsid w:val="00BF561D"/>
    <w:rsid w:val="00BF5652"/>
    <w:rsid w:val="00BF577F"/>
    <w:rsid w:val="00BF5A3F"/>
    <w:rsid w:val="00BF5B28"/>
    <w:rsid w:val="00BF6675"/>
    <w:rsid w:val="00BF69A5"/>
    <w:rsid w:val="00BF70EF"/>
    <w:rsid w:val="00BF7266"/>
    <w:rsid w:val="00BF7734"/>
    <w:rsid w:val="00BF7F1E"/>
    <w:rsid w:val="00C00474"/>
    <w:rsid w:val="00C0072C"/>
    <w:rsid w:val="00C00F37"/>
    <w:rsid w:val="00C011F3"/>
    <w:rsid w:val="00C018AD"/>
    <w:rsid w:val="00C020EE"/>
    <w:rsid w:val="00C0247E"/>
    <w:rsid w:val="00C028D0"/>
    <w:rsid w:val="00C02A99"/>
    <w:rsid w:val="00C02ED8"/>
    <w:rsid w:val="00C03F48"/>
    <w:rsid w:val="00C03F51"/>
    <w:rsid w:val="00C0422A"/>
    <w:rsid w:val="00C05C5B"/>
    <w:rsid w:val="00C05DDE"/>
    <w:rsid w:val="00C0647F"/>
    <w:rsid w:val="00C0648F"/>
    <w:rsid w:val="00C06812"/>
    <w:rsid w:val="00C07B51"/>
    <w:rsid w:val="00C103D1"/>
    <w:rsid w:val="00C108DF"/>
    <w:rsid w:val="00C10CC7"/>
    <w:rsid w:val="00C1112B"/>
    <w:rsid w:val="00C111ED"/>
    <w:rsid w:val="00C1124E"/>
    <w:rsid w:val="00C11CD0"/>
    <w:rsid w:val="00C11DF8"/>
    <w:rsid w:val="00C11F38"/>
    <w:rsid w:val="00C12DC3"/>
    <w:rsid w:val="00C131FB"/>
    <w:rsid w:val="00C13225"/>
    <w:rsid w:val="00C136A2"/>
    <w:rsid w:val="00C139BD"/>
    <w:rsid w:val="00C13D88"/>
    <w:rsid w:val="00C14257"/>
    <w:rsid w:val="00C14701"/>
    <w:rsid w:val="00C149DC"/>
    <w:rsid w:val="00C14C86"/>
    <w:rsid w:val="00C150EB"/>
    <w:rsid w:val="00C15313"/>
    <w:rsid w:val="00C15A5F"/>
    <w:rsid w:val="00C15C93"/>
    <w:rsid w:val="00C15E5C"/>
    <w:rsid w:val="00C15F63"/>
    <w:rsid w:val="00C16772"/>
    <w:rsid w:val="00C17715"/>
    <w:rsid w:val="00C17B48"/>
    <w:rsid w:val="00C17CE2"/>
    <w:rsid w:val="00C17E55"/>
    <w:rsid w:val="00C20227"/>
    <w:rsid w:val="00C2039E"/>
    <w:rsid w:val="00C20514"/>
    <w:rsid w:val="00C20C10"/>
    <w:rsid w:val="00C213FD"/>
    <w:rsid w:val="00C21875"/>
    <w:rsid w:val="00C21B5C"/>
    <w:rsid w:val="00C21C95"/>
    <w:rsid w:val="00C21CFB"/>
    <w:rsid w:val="00C21F45"/>
    <w:rsid w:val="00C2265F"/>
    <w:rsid w:val="00C2278F"/>
    <w:rsid w:val="00C22916"/>
    <w:rsid w:val="00C229F8"/>
    <w:rsid w:val="00C22C42"/>
    <w:rsid w:val="00C22DD5"/>
    <w:rsid w:val="00C22F75"/>
    <w:rsid w:val="00C232DB"/>
    <w:rsid w:val="00C2356F"/>
    <w:rsid w:val="00C2369A"/>
    <w:rsid w:val="00C2451F"/>
    <w:rsid w:val="00C25365"/>
    <w:rsid w:val="00C2551B"/>
    <w:rsid w:val="00C25B02"/>
    <w:rsid w:val="00C25BA5"/>
    <w:rsid w:val="00C25F3C"/>
    <w:rsid w:val="00C270A4"/>
    <w:rsid w:val="00C27214"/>
    <w:rsid w:val="00C2760F"/>
    <w:rsid w:val="00C27BB6"/>
    <w:rsid w:val="00C30796"/>
    <w:rsid w:val="00C312AB"/>
    <w:rsid w:val="00C31990"/>
    <w:rsid w:val="00C31E48"/>
    <w:rsid w:val="00C322F1"/>
    <w:rsid w:val="00C327B7"/>
    <w:rsid w:val="00C32C79"/>
    <w:rsid w:val="00C32CFA"/>
    <w:rsid w:val="00C33196"/>
    <w:rsid w:val="00C33284"/>
    <w:rsid w:val="00C334C4"/>
    <w:rsid w:val="00C33F76"/>
    <w:rsid w:val="00C34320"/>
    <w:rsid w:val="00C34398"/>
    <w:rsid w:val="00C343E5"/>
    <w:rsid w:val="00C346E8"/>
    <w:rsid w:val="00C34E20"/>
    <w:rsid w:val="00C34FE4"/>
    <w:rsid w:val="00C350F9"/>
    <w:rsid w:val="00C351A6"/>
    <w:rsid w:val="00C35A4C"/>
    <w:rsid w:val="00C35E0D"/>
    <w:rsid w:val="00C36FEF"/>
    <w:rsid w:val="00C37066"/>
    <w:rsid w:val="00C371C8"/>
    <w:rsid w:val="00C371FA"/>
    <w:rsid w:val="00C377A2"/>
    <w:rsid w:val="00C40492"/>
    <w:rsid w:val="00C40FFC"/>
    <w:rsid w:val="00C41480"/>
    <w:rsid w:val="00C41622"/>
    <w:rsid w:val="00C41F47"/>
    <w:rsid w:val="00C423A5"/>
    <w:rsid w:val="00C431D6"/>
    <w:rsid w:val="00C434C7"/>
    <w:rsid w:val="00C439B8"/>
    <w:rsid w:val="00C439BE"/>
    <w:rsid w:val="00C44567"/>
    <w:rsid w:val="00C445C2"/>
    <w:rsid w:val="00C446A2"/>
    <w:rsid w:val="00C446B0"/>
    <w:rsid w:val="00C44B17"/>
    <w:rsid w:val="00C44CE1"/>
    <w:rsid w:val="00C45B88"/>
    <w:rsid w:val="00C461E9"/>
    <w:rsid w:val="00C461F2"/>
    <w:rsid w:val="00C46492"/>
    <w:rsid w:val="00C46908"/>
    <w:rsid w:val="00C46F61"/>
    <w:rsid w:val="00C47598"/>
    <w:rsid w:val="00C47BB2"/>
    <w:rsid w:val="00C47CC5"/>
    <w:rsid w:val="00C47F49"/>
    <w:rsid w:val="00C5014C"/>
    <w:rsid w:val="00C50A0D"/>
    <w:rsid w:val="00C50AA1"/>
    <w:rsid w:val="00C50BF4"/>
    <w:rsid w:val="00C50F0D"/>
    <w:rsid w:val="00C51A32"/>
    <w:rsid w:val="00C51C28"/>
    <w:rsid w:val="00C51E34"/>
    <w:rsid w:val="00C521C6"/>
    <w:rsid w:val="00C528C5"/>
    <w:rsid w:val="00C52DB8"/>
    <w:rsid w:val="00C53379"/>
    <w:rsid w:val="00C53456"/>
    <w:rsid w:val="00C5397B"/>
    <w:rsid w:val="00C53E6D"/>
    <w:rsid w:val="00C53E95"/>
    <w:rsid w:val="00C54A67"/>
    <w:rsid w:val="00C54CD6"/>
    <w:rsid w:val="00C54D3E"/>
    <w:rsid w:val="00C55CCA"/>
    <w:rsid w:val="00C55E36"/>
    <w:rsid w:val="00C55EA7"/>
    <w:rsid w:val="00C56E59"/>
    <w:rsid w:val="00C5779A"/>
    <w:rsid w:val="00C60425"/>
    <w:rsid w:val="00C60C2D"/>
    <w:rsid w:val="00C6162E"/>
    <w:rsid w:val="00C61E0E"/>
    <w:rsid w:val="00C62E53"/>
    <w:rsid w:val="00C62E87"/>
    <w:rsid w:val="00C62FB0"/>
    <w:rsid w:val="00C63E23"/>
    <w:rsid w:val="00C63ED2"/>
    <w:rsid w:val="00C65399"/>
    <w:rsid w:val="00C65917"/>
    <w:rsid w:val="00C671D2"/>
    <w:rsid w:val="00C67F26"/>
    <w:rsid w:val="00C70043"/>
    <w:rsid w:val="00C71330"/>
    <w:rsid w:val="00C713F2"/>
    <w:rsid w:val="00C71B29"/>
    <w:rsid w:val="00C71B5B"/>
    <w:rsid w:val="00C71EE7"/>
    <w:rsid w:val="00C7208D"/>
    <w:rsid w:val="00C721DE"/>
    <w:rsid w:val="00C7258A"/>
    <w:rsid w:val="00C72ABC"/>
    <w:rsid w:val="00C72B5A"/>
    <w:rsid w:val="00C72B85"/>
    <w:rsid w:val="00C73861"/>
    <w:rsid w:val="00C741AB"/>
    <w:rsid w:val="00C7432C"/>
    <w:rsid w:val="00C75173"/>
    <w:rsid w:val="00C7541C"/>
    <w:rsid w:val="00C754E8"/>
    <w:rsid w:val="00C75791"/>
    <w:rsid w:val="00C75B78"/>
    <w:rsid w:val="00C75F30"/>
    <w:rsid w:val="00C76304"/>
    <w:rsid w:val="00C76427"/>
    <w:rsid w:val="00C769B0"/>
    <w:rsid w:val="00C771CD"/>
    <w:rsid w:val="00C7762E"/>
    <w:rsid w:val="00C77990"/>
    <w:rsid w:val="00C77AEC"/>
    <w:rsid w:val="00C77F90"/>
    <w:rsid w:val="00C80554"/>
    <w:rsid w:val="00C807A2"/>
    <w:rsid w:val="00C808AC"/>
    <w:rsid w:val="00C8197A"/>
    <w:rsid w:val="00C83CE3"/>
    <w:rsid w:val="00C84084"/>
    <w:rsid w:val="00C8462C"/>
    <w:rsid w:val="00C8471E"/>
    <w:rsid w:val="00C84955"/>
    <w:rsid w:val="00C84A39"/>
    <w:rsid w:val="00C84C92"/>
    <w:rsid w:val="00C84D12"/>
    <w:rsid w:val="00C851AD"/>
    <w:rsid w:val="00C85433"/>
    <w:rsid w:val="00C85FED"/>
    <w:rsid w:val="00C86467"/>
    <w:rsid w:val="00C86840"/>
    <w:rsid w:val="00C87199"/>
    <w:rsid w:val="00C9035B"/>
    <w:rsid w:val="00C90A32"/>
    <w:rsid w:val="00C912FD"/>
    <w:rsid w:val="00C91829"/>
    <w:rsid w:val="00C91A3F"/>
    <w:rsid w:val="00C92316"/>
    <w:rsid w:val="00C92547"/>
    <w:rsid w:val="00C926FD"/>
    <w:rsid w:val="00C92EAA"/>
    <w:rsid w:val="00C9393E"/>
    <w:rsid w:val="00C941A8"/>
    <w:rsid w:val="00C94588"/>
    <w:rsid w:val="00C95364"/>
    <w:rsid w:val="00C95C72"/>
    <w:rsid w:val="00C95FE9"/>
    <w:rsid w:val="00C96100"/>
    <w:rsid w:val="00C962B5"/>
    <w:rsid w:val="00C96B86"/>
    <w:rsid w:val="00C971F9"/>
    <w:rsid w:val="00C97254"/>
    <w:rsid w:val="00C9782B"/>
    <w:rsid w:val="00C97978"/>
    <w:rsid w:val="00C97A78"/>
    <w:rsid w:val="00C97DF7"/>
    <w:rsid w:val="00C97F1C"/>
    <w:rsid w:val="00CA0AEE"/>
    <w:rsid w:val="00CA0DA6"/>
    <w:rsid w:val="00CA0F32"/>
    <w:rsid w:val="00CA14C9"/>
    <w:rsid w:val="00CA1718"/>
    <w:rsid w:val="00CA1A6A"/>
    <w:rsid w:val="00CA20A3"/>
    <w:rsid w:val="00CA236E"/>
    <w:rsid w:val="00CA23F4"/>
    <w:rsid w:val="00CA24FB"/>
    <w:rsid w:val="00CA27D6"/>
    <w:rsid w:val="00CA2D5B"/>
    <w:rsid w:val="00CA3B64"/>
    <w:rsid w:val="00CA3BEA"/>
    <w:rsid w:val="00CA4AA2"/>
    <w:rsid w:val="00CA4CCE"/>
    <w:rsid w:val="00CA5CD6"/>
    <w:rsid w:val="00CA6108"/>
    <w:rsid w:val="00CA64D5"/>
    <w:rsid w:val="00CA66DA"/>
    <w:rsid w:val="00CA6AAF"/>
    <w:rsid w:val="00CA6C6E"/>
    <w:rsid w:val="00CA7A20"/>
    <w:rsid w:val="00CB0B66"/>
    <w:rsid w:val="00CB0EBA"/>
    <w:rsid w:val="00CB0FDF"/>
    <w:rsid w:val="00CB1877"/>
    <w:rsid w:val="00CB1AAC"/>
    <w:rsid w:val="00CB1D8A"/>
    <w:rsid w:val="00CB21E2"/>
    <w:rsid w:val="00CB2EBB"/>
    <w:rsid w:val="00CB3071"/>
    <w:rsid w:val="00CB3192"/>
    <w:rsid w:val="00CB3201"/>
    <w:rsid w:val="00CB3415"/>
    <w:rsid w:val="00CB3540"/>
    <w:rsid w:val="00CB3785"/>
    <w:rsid w:val="00CB3A41"/>
    <w:rsid w:val="00CB4329"/>
    <w:rsid w:val="00CB4677"/>
    <w:rsid w:val="00CB4D38"/>
    <w:rsid w:val="00CB4E57"/>
    <w:rsid w:val="00CB5BB6"/>
    <w:rsid w:val="00CB6290"/>
    <w:rsid w:val="00CB6785"/>
    <w:rsid w:val="00CB6E40"/>
    <w:rsid w:val="00CB6EAE"/>
    <w:rsid w:val="00CB7127"/>
    <w:rsid w:val="00CB766B"/>
    <w:rsid w:val="00CB7C04"/>
    <w:rsid w:val="00CB7E10"/>
    <w:rsid w:val="00CC02C5"/>
    <w:rsid w:val="00CC0DEB"/>
    <w:rsid w:val="00CC10B9"/>
    <w:rsid w:val="00CC1720"/>
    <w:rsid w:val="00CC191C"/>
    <w:rsid w:val="00CC1E0A"/>
    <w:rsid w:val="00CC1F0F"/>
    <w:rsid w:val="00CC247A"/>
    <w:rsid w:val="00CC2759"/>
    <w:rsid w:val="00CC2F44"/>
    <w:rsid w:val="00CC305A"/>
    <w:rsid w:val="00CC356D"/>
    <w:rsid w:val="00CC3CDA"/>
    <w:rsid w:val="00CC3FEB"/>
    <w:rsid w:val="00CC469A"/>
    <w:rsid w:val="00CC52D2"/>
    <w:rsid w:val="00CC5719"/>
    <w:rsid w:val="00CC6F87"/>
    <w:rsid w:val="00CC7262"/>
    <w:rsid w:val="00CC7A24"/>
    <w:rsid w:val="00CC7D21"/>
    <w:rsid w:val="00CC7DFE"/>
    <w:rsid w:val="00CC7FCA"/>
    <w:rsid w:val="00CD0040"/>
    <w:rsid w:val="00CD0B30"/>
    <w:rsid w:val="00CD0EF3"/>
    <w:rsid w:val="00CD109D"/>
    <w:rsid w:val="00CD19A8"/>
    <w:rsid w:val="00CD1E9D"/>
    <w:rsid w:val="00CD23B9"/>
    <w:rsid w:val="00CD243C"/>
    <w:rsid w:val="00CD2A30"/>
    <w:rsid w:val="00CD2D54"/>
    <w:rsid w:val="00CD2E30"/>
    <w:rsid w:val="00CD2E5D"/>
    <w:rsid w:val="00CD3E01"/>
    <w:rsid w:val="00CD4041"/>
    <w:rsid w:val="00CD420F"/>
    <w:rsid w:val="00CD4565"/>
    <w:rsid w:val="00CD461B"/>
    <w:rsid w:val="00CD4B0C"/>
    <w:rsid w:val="00CD5288"/>
    <w:rsid w:val="00CD57BE"/>
    <w:rsid w:val="00CD6672"/>
    <w:rsid w:val="00CD66E6"/>
    <w:rsid w:val="00CD67E3"/>
    <w:rsid w:val="00CD6ABB"/>
    <w:rsid w:val="00CD6B72"/>
    <w:rsid w:val="00CD72FB"/>
    <w:rsid w:val="00CD77CD"/>
    <w:rsid w:val="00CD79E5"/>
    <w:rsid w:val="00CE0C33"/>
    <w:rsid w:val="00CE1015"/>
    <w:rsid w:val="00CE105F"/>
    <w:rsid w:val="00CE13EA"/>
    <w:rsid w:val="00CE158F"/>
    <w:rsid w:val="00CE17A6"/>
    <w:rsid w:val="00CE1872"/>
    <w:rsid w:val="00CE1983"/>
    <w:rsid w:val="00CE2661"/>
    <w:rsid w:val="00CE2909"/>
    <w:rsid w:val="00CE2C36"/>
    <w:rsid w:val="00CE2CDC"/>
    <w:rsid w:val="00CE350A"/>
    <w:rsid w:val="00CE3762"/>
    <w:rsid w:val="00CE3E59"/>
    <w:rsid w:val="00CE417B"/>
    <w:rsid w:val="00CE4B01"/>
    <w:rsid w:val="00CE5352"/>
    <w:rsid w:val="00CE53E5"/>
    <w:rsid w:val="00CE5813"/>
    <w:rsid w:val="00CE5A1B"/>
    <w:rsid w:val="00CE5CF2"/>
    <w:rsid w:val="00CE5D94"/>
    <w:rsid w:val="00CE6713"/>
    <w:rsid w:val="00CE71E9"/>
    <w:rsid w:val="00CE7B1F"/>
    <w:rsid w:val="00CE7F9D"/>
    <w:rsid w:val="00CF01A0"/>
    <w:rsid w:val="00CF0DEC"/>
    <w:rsid w:val="00CF126F"/>
    <w:rsid w:val="00CF2572"/>
    <w:rsid w:val="00CF25A1"/>
    <w:rsid w:val="00CF2BA1"/>
    <w:rsid w:val="00CF2EA9"/>
    <w:rsid w:val="00CF2FFE"/>
    <w:rsid w:val="00CF3124"/>
    <w:rsid w:val="00CF32CE"/>
    <w:rsid w:val="00CF35E8"/>
    <w:rsid w:val="00CF3ECF"/>
    <w:rsid w:val="00CF40BE"/>
    <w:rsid w:val="00CF461F"/>
    <w:rsid w:val="00CF467E"/>
    <w:rsid w:val="00CF476A"/>
    <w:rsid w:val="00CF4B9C"/>
    <w:rsid w:val="00CF509A"/>
    <w:rsid w:val="00CF54F1"/>
    <w:rsid w:val="00CF5996"/>
    <w:rsid w:val="00CF60FA"/>
    <w:rsid w:val="00CF6120"/>
    <w:rsid w:val="00CF643D"/>
    <w:rsid w:val="00CF69C0"/>
    <w:rsid w:val="00CF6B77"/>
    <w:rsid w:val="00CF71E3"/>
    <w:rsid w:val="00CF7724"/>
    <w:rsid w:val="00CF79D4"/>
    <w:rsid w:val="00CF7FDD"/>
    <w:rsid w:val="00D000EB"/>
    <w:rsid w:val="00D00490"/>
    <w:rsid w:val="00D00862"/>
    <w:rsid w:val="00D00A5D"/>
    <w:rsid w:val="00D00A87"/>
    <w:rsid w:val="00D00C06"/>
    <w:rsid w:val="00D01045"/>
    <w:rsid w:val="00D01228"/>
    <w:rsid w:val="00D01354"/>
    <w:rsid w:val="00D01910"/>
    <w:rsid w:val="00D01ED2"/>
    <w:rsid w:val="00D02ACA"/>
    <w:rsid w:val="00D02E06"/>
    <w:rsid w:val="00D02F2F"/>
    <w:rsid w:val="00D031E5"/>
    <w:rsid w:val="00D03237"/>
    <w:rsid w:val="00D03329"/>
    <w:rsid w:val="00D03BC2"/>
    <w:rsid w:val="00D03CB9"/>
    <w:rsid w:val="00D04533"/>
    <w:rsid w:val="00D04573"/>
    <w:rsid w:val="00D04940"/>
    <w:rsid w:val="00D05411"/>
    <w:rsid w:val="00D054F2"/>
    <w:rsid w:val="00D055D2"/>
    <w:rsid w:val="00D055F6"/>
    <w:rsid w:val="00D05E5A"/>
    <w:rsid w:val="00D05F07"/>
    <w:rsid w:val="00D06476"/>
    <w:rsid w:val="00D06535"/>
    <w:rsid w:val="00D065C2"/>
    <w:rsid w:val="00D06995"/>
    <w:rsid w:val="00D070BF"/>
    <w:rsid w:val="00D07B0D"/>
    <w:rsid w:val="00D07DDA"/>
    <w:rsid w:val="00D10195"/>
    <w:rsid w:val="00D10E20"/>
    <w:rsid w:val="00D1160E"/>
    <w:rsid w:val="00D12097"/>
    <w:rsid w:val="00D12C10"/>
    <w:rsid w:val="00D1305C"/>
    <w:rsid w:val="00D13087"/>
    <w:rsid w:val="00D13856"/>
    <w:rsid w:val="00D139B8"/>
    <w:rsid w:val="00D13A97"/>
    <w:rsid w:val="00D14643"/>
    <w:rsid w:val="00D16569"/>
    <w:rsid w:val="00D16FA0"/>
    <w:rsid w:val="00D17378"/>
    <w:rsid w:val="00D2017F"/>
    <w:rsid w:val="00D206F5"/>
    <w:rsid w:val="00D212D2"/>
    <w:rsid w:val="00D21449"/>
    <w:rsid w:val="00D216B2"/>
    <w:rsid w:val="00D21825"/>
    <w:rsid w:val="00D21B49"/>
    <w:rsid w:val="00D21FFD"/>
    <w:rsid w:val="00D222F1"/>
    <w:rsid w:val="00D22940"/>
    <w:rsid w:val="00D23974"/>
    <w:rsid w:val="00D23AF4"/>
    <w:rsid w:val="00D24E2E"/>
    <w:rsid w:val="00D2519A"/>
    <w:rsid w:val="00D25462"/>
    <w:rsid w:val="00D25507"/>
    <w:rsid w:val="00D258B5"/>
    <w:rsid w:val="00D2632E"/>
    <w:rsid w:val="00D26479"/>
    <w:rsid w:val="00D26DCE"/>
    <w:rsid w:val="00D27035"/>
    <w:rsid w:val="00D2717D"/>
    <w:rsid w:val="00D27661"/>
    <w:rsid w:val="00D27859"/>
    <w:rsid w:val="00D2794D"/>
    <w:rsid w:val="00D27A0C"/>
    <w:rsid w:val="00D27CE3"/>
    <w:rsid w:val="00D27D7D"/>
    <w:rsid w:val="00D27DF5"/>
    <w:rsid w:val="00D306D0"/>
    <w:rsid w:val="00D306D5"/>
    <w:rsid w:val="00D30A43"/>
    <w:rsid w:val="00D30F44"/>
    <w:rsid w:val="00D311E0"/>
    <w:rsid w:val="00D3163F"/>
    <w:rsid w:val="00D319AD"/>
    <w:rsid w:val="00D3275F"/>
    <w:rsid w:val="00D32D5F"/>
    <w:rsid w:val="00D3316C"/>
    <w:rsid w:val="00D3368E"/>
    <w:rsid w:val="00D337CC"/>
    <w:rsid w:val="00D33B88"/>
    <w:rsid w:val="00D34138"/>
    <w:rsid w:val="00D341F3"/>
    <w:rsid w:val="00D3449A"/>
    <w:rsid w:val="00D34548"/>
    <w:rsid w:val="00D34914"/>
    <w:rsid w:val="00D35E10"/>
    <w:rsid w:val="00D36606"/>
    <w:rsid w:val="00D36816"/>
    <w:rsid w:val="00D36CD7"/>
    <w:rsid w:val="00D36ED9"/>
    <w:rsid w:val="00D37A37"/>
    <w:rsid w:val="00D40D69"/>
    <w:rsid w:val="00D4101D"/>
    <w:rsid w:val="00D4128C"/>
    <w:rsid w:val="00D41907"/>
    <w:rsid w:val="00D42AFB"/>
    <w:rsid w:val="00D42C5A"/>
    <w:rsid w:val="00D42F07"/>
    <w:rsid w:val="00D43511"/>
    <w:rsid w:val="00D4404B"/>
    <w:rsid w:val="00D4411B"/>
    <w:rsid w:val="00D44ABA"/>
    <w:rsid w:val="00D44EC6"/>
    <w:rsid w:val="00D45567"/>
    <w:rsid w:val="00D45E82"/>
    <w:rsid w:val="00D45EB6"/>
    <w:rsid w:val="00D4638E"/>
    <w:rsid w:val="00D46D18"/>
    <w:rsid w:val="00D4724C"/>
    <w:rsid w:val="00D477D6"/>
    <w:rsid w:val="00D47E56"/>
    <w:rsid w:val="00D50161"/>
    <w:rsid w:val="00D501D3"/>
    <w:rsid w:val="00D50378"/>
    <w:rsid w:val="00D50474"/>
    <w:rsid w:val="00D507DF"/>
    <w:rsid w:val="00D5130A"/>
    <w:rsid w:val="00D51533"/>
    <w:rsid w:val="00D51769"/>
    <w:rsid w:val="00D51E8C"/>
    <w:rsid w:val="00D51F85"/>
    <w:rsid w:val="00D52123"/>
    <w:rsid w:val="00D522D8"/>
    <w:rsid w:val="00D52539"/>
    <w:rsid w:val="00D53573"/>
    <w:rsid w:val="00D53A98"/>
    <w:rsid w:val="00D53F6E"/>
    <w:rsid w:val="00D54055"/>
    <w:rsid w:val="00D54174"/>
    <w:rsid w:val="00D548CF"/>
    <w:rsid w:val="00D5491C"/>
    <w:rsid w:val="00D54CCF"/>
    <w:rsid w:val="00D554E8"/>
    <w:rsid w:val="00D55CF0"/>
    <w:rsid w:val="00D55E12"/>
    <w:rsid w:val="00D5657D"/>
    <w:rsid w:val="00D56B98"/>
    <w:rsid w:val="00D5704D"/>
    <w:rsid w:val="00D5748E"/>
    <w:rsid w:val="00D577BB"/>
    <w:rsid w:val="00D578EE"/>
    <w:rsid w:val="00D57C79"/>
    <w:rsid w:val="00D60B39"/>
    <w:rsid w:val="00D610C4"/>
    <w:rsid w:val="00D612A9"/>
    <w:rsid w:val="00D61309"/>
    <w:rsid w:val="00D61ABF"/>
    <w:rsid w:val="00D61CE2"/>
    <w:rsid w:val="00D61E63"/>
    <w:rsid w:val="00D6201F"/>
    <w:rsid w:val="00D62468"/>
    <w:rsid w:val="00D63253"/>
    <w:rsid w:val="00D636BE"/>
    <w:rsid w:val="00D6411E"/>
    <w:rsid w:val="00D64148"/>
    <w:rsid w:val="00D64482"/>
    <w:rsid w:val="00D6454C"/>
    <w:rsid w:val="00D64979"/>
    <w:rsid w:val="00D64A0C"/>
    <w:rsid w:val="00D65364"/>
    <w:rsid w:val="00D65C71"/>
    <w:rsid w:val="00D65DCC"/>
    <w:rsid w:val="00D6637F"/>
    <w:rsid w:val="00D664B7"/>
    <w:rsid w:val="00D66935"/>
    <w:rsid w:val="00D67313"/>
    <w:rsid w:val="00D702CA"/>
    <w:rsid w:val="00D704D1"/>
    <w:rsid w:val="00D70636"/>
    <w:rsid w:val="00D710BD"/>
    <w:rsid w:val="00D71230"/>
    <w:rsid w:val="00D712FA"/>
    <w:rsid w:val="00D71421"/>
    <w:rsid w:val="00D71EEB"/>
    <w:rsid w:val="00D72125"/>
    <w:rsid w:val="00D735D0"/>
    <w:rsid w:val="00D738D2"/>
    <w:rsid w:val="00D74118"/>
    <w:rsid w:val="00D744DB"/>
    <w:rsid w:val="00D74693"/>
    <w:rsid w:val="00D74696"/>
    <w:rsid w:val="00D75688"/>
    <w:rsid w:val="00D7589B"/>
    <w:rsid w:val="00D760A2"/>
    <w:rsid w:val="00D768E7"/>
    <w:rsid w:val="00D77315"/>
    <w:rsid w:val="00D77465"/>
    <w:rsid w:val="00D776FC"/>
    <w:rsid w:val="00D777B0"/>
    <w:rsid w:val="00D77BDC"/>
    <w:rsid w:val="00D80021"/>
    <w:rsid w:val="00D807E5"/>
    <w:rsid w:val="00D80803"/>
    <w:rsid w:val="00D81310"/>
    <w:rsid w:val="00D829F6"/>
    <w:rsid w:val="00D82D15"/>
    <w:rsid w:val="00D82DF4"/>
    <w:rsid w:val="00D833BE"/>
    <w:rsid w:val="00D83974"/>
    <w:rsid w:val="00D843FC"/>
    <w:rsid w:val="00D84AD1"/>
    <w:rsid w:val="00D84C22"/>
    <w:rsid w:val="00D84DC8"/>
    <w:rsid w:val="00D8562F"/>
    <w:rsid w:val="00D858D9"/>
    <w:rsid w:val="00D85B15"/>
    <w:rsid w:val="00D85E3C"/>
    <w:rsid w:val="00D8724C"/>
    <w:rsid w:val="00D87397"/>
    <w:rsid w:val="00D8796D"/>
    <w:rsid w:val="00D879A1"/>
    <w:rsid w:val="00D87E37"/>
    <w:rsid w:val="00D9001D"/>
    <w:rsid w:val="00D90280"/>
    <w:rsid w:val="00D90A85"/>
    <w:rsid w:val="00D91C66"/>
    <w:rsid w:val="00D92936"/>
    <w:rsid w:val="00D929A3"/>
    <w:rsid w:val="00D93004"/>
    <w:rsid w:val="00D930C0"/>
    <w:rsid w:val="00D93711"/>
    <w:rsid w:val="00D938C1"/>
    <w:rsid w:val="00D942C4"/>
    <w:rsid w:val="00D94901"/>
    <w:rsid w:val="00D95059"/>
    <w:rsid w:val="00D95413"/>
    <w:rsid w:val="00D95F2F"/>
    <w:rsid w:val="00D963A9"/>
    <w:rsid w:val="00D96479"/>
    <w:rsid w:val="00D964FA"/>
    <w:rsid w:val="00D9671D"/>
    <w:rsid w:val="00D96D2A"/>
    <w:rsid w:val="00D96D83"/>
    <w:rsid w:val="00D96F2A"/>
    <w:rsid w:val="00D9731F"/>
    <w:rsid w:val="00D97571"/>
    <w:rsid w:val="00D97A50"/>
    <w:rsid w:val="00D97C1A"/>
    <w:rsid w:val="00DA05BF"/>
    <w:rsid w:val="00DA0934"/>
    <w:rsid w:val="00DA0C2C"/>
    <w:rsid w:val="00DA132D"/>
    <w:rsid w:val="00DA193F"/>
    <w:rsid w:val="00DA1B0B"/>
    <w:rsid w:val="00DA2124"/>
    <w:rsid w:val="00DA2589"/>
    <w:rsid w:val="00DA29C7"/>
    <w:rsid w:val="00DA2AF8"/>
    <w:rsid w:val="00DA2C76"/>
    <w:rsid w:val="00DA386A"/>
    <w:rsid w:val="00DA3A43"/>
    <w:rsid w:val="00DA4584"/>
    <w:rsid w:val="00DA466E"/>
    <w:rsid w:val="00DA47A8"/>
    <w:rsid w:val="00DA51E8"/>
    <w:rsid w:val="00DA524D"/>
    <w:rsid w:val="00DA56DB"/>
    <w:rsid w:val="00DA5B81"/>
    <w:rsid w:val="00DA7241"/>
    <w:rsid w:val="00DA7A5D"/>
    <w:rsid w:val="00DA7D61"/>
    <w:rsid w:val="00DB0BB5"/>
    <w:rsid w:val="00DB14DD"/>
    <w:rsid w:val="00DB1890"/>
    <w:rsid w:val="00DB1D21"/>
    <w:rsid w:val="00DB1F2C"/>
    <w:rsid w:val="00DB203C"/>
    <w:rsid w:val="00DB26EB"/>
    <w:rsid w:val="00DB2897"/>
    <w:rsid w:val="00DB2E73"/>
    <w:rsid w:val="00DB3592"/>
    <w:rsid w:val="00DB46B8"/>
    <w:rsid w:val="00DB47E5"/>
    <w:rsid w:val="00DB485B"/>
    <w:rsid w:val="00DB489F"/>
    <w:rsid w:val="00DB4B47"/>
    <w:rsid w:val="00DB4C93"/>
    <w:rsid w:val="00DB5421"/>
    <w:rsid w:val="00DB5C11"/>
    <w:rsid w:val="00DB5DED"/>
    <w:rsid w:val="00DB5F2D"/>
    <w:rsid w:val="00DB64F4"/>
    <w:rsid w:val="00DB785D"/>
    <w:rsid w:val="00DB7C3F"/>
    <w:rsid w:val="00DC0172"/>
    <w:rsid w:val="00DC01C9"/>
    <w:rsid w:val="00DC0367"/>
    <w:rsid w:val="00DC039D"/>
    <w:rsid w:val="00DC04BF"/>
    <w:rsid w:val="00DC0DC8"/>
    <w:rsid w:val="00DC1496"/>
    <w:rsid w:val="00DC198B"/>
    <w:rsid w:val="00DC1993"/>
    <w:rsid w:val="00DC1BB7"/>
    <w:rsid w:val="00DC20CE"/>
    <w:rsid w:val="00DC23C9"/>
    <w:rsid w:val="00DC2894"/>
    <w:rsid w:val="00DC3052"/>
    <w:rsid w:val="00DC392E"/>
    <w:rsid w:val="00DC3F8A"/>
    <w:rsid w:val="00DC4144"/>
    <w:rsid w:val="00DC41DD"/>
    <w:rsid w:val="00DC44D6"/>
    <w:rsid w:val="00DC45A9"/>
    <w:rsid w:val="00DC5B1A"/>
    <w:rsid w:val="00DC6AB8"/>
    <w:rsid w:val="00DC6DB4"/>
    <w:rsid w:val="00DC7137"/>
    <w:rsid w:val="00DC724B"/>
    <w:rsid w:val="00DC738E"/>
    <w:rsid w:val="00DC744C"/>
    <w:rsid w:val="00DC78C8"/>
    <w:rsid w:val="00DC795E"/>
    <w:rsid w:val="00DD0154"/>
    <w:rsid w:val="00DD0482"/>
    <w:rsid w:val="00DD0533"/>
    <w:rsid w:val="00DD082D"/>
    <w:rsid w:val="00DD1537"/>
    <w:rsid w:val="00DD2A23"/>
    <w:rsid w:val="00DD3062"/>
    <w:rsid w:val="00DD32B5"/>
    <w:rsid w:val="00DD3426"/>
    <w:rsid w:val="00DD369A"/>
    <w:rsid w:val="00DD3A14"/>
    <w:rsid w:val="00DD3F4C"/>
    <w:rsid w:val="00DD46E9"/>
    <w:rsid w:val="00DD4C6D"/>
    <w:rsid w:val="00DD4EF1"/>
    <w:rsid w:val="00DD52BE"/>
    <w:rsid w:val="00DD740A"/>
    <w:rsid w:val="00DD765C"/>
    <w:rsid w:val="00DD77DD"/>
    <w:rsid w:val="00DD7F26"/>
    <w:rsid w:val="00DE0175"/>
    <w:rsid w:val="00DE0476"/>
    <w:rsid w:val="00DE08E8"/>
    <w:rsid w:val="00DE0D00"/>
    <w:rsid w:val="00DE0D18"/>
    <w:rsid w:val="00DE1208"/>
    <w:rsid w:val="00DE16CD"/>
    <w:rsid w:val="00DE220D"/>
    <w:rsid w:val="00DE22C5"/>
    <w:rsid w:val="00DE25E6"/>
    <w:rsid w:val="00DE2803"/>
    <w:rsid w:val="00DE3110"/>
    <w:rsid w:val="00DE31DB"/>
    <w:rsid w:val="00DE3F0E"/>
    <w:rsid w:val="00DE5AFD"/>
    <w:rsid w:val="00DE6492"/>
    <w:rsid w:val="00DE652F"/>
    <w:rsid w:val="00DE65AF"/>
    <w:rsid w:val="00DE6F52"/>
    <w:rsid w:val="00DE7902"/>
    <w:rsid w:val="00DF02EE"/>
    <w:rsid w:val="00DF03D9"/>
    <w:rsid w:val="00DF0517"/>
    <w:rsid w:val="00DF0830"/>
    <w:rsid w:val="00DF1358"/>
    <w:rsid w:val="00DF1CDA"/>
    <w:rsid w:val="00DF2420"/>
    <w:rsid w:val="00DF264A"/>
    <w:rsid w:val="00DF280B"/>
    <w:rsid w:val="00DF28B7"/>
    <w:rsid w:val="00DF2EAD"/>
    <w:rsid w:val="00DF3079"/>
    <w:rsid w:val="00DF3345"/>
    <w:rsid w:val="00DF383D"/>
    <w:rsid w:val="00DF43E8"/>
    <w:rsid w:val="00DF4B3E"/>
    <w:rsid w:val="00DF5745"/>
    <w:rsid w:val="00DF58E2"/>
    <w:rsid w:val="00DF5F6C"/>
    <w:rsid w:val="00DF621E"/>
    <w:rsid w:val="00DF64E3"/>
    <w:rsid w:val="00DF68C0"/>
    <w:rsid w:val="00DF6936"/>
    <w:rsid w:val="00DF6E04"/>
    <w:rsid w:val="00DF726F"/>
    <w:rsid w:val="00DF7370"/>
    <w:rsid w:val="00DF73BB"/>
    <w:rsid w:val="00DF7441"/>
    <w:rsid w:val="00DF7546"/>
    <w:rsid w:val="00DF7650"/>
    <w:rsid w:val="00DF791C"/>
    <w:rsid w:val="00DF7F5A"/>
    <w:rsid w:val="00E00303"/>
    <w:rsid w:val="00E00332"/>
    <w:rsid w:val="00E0073A"/>
    <w:rsid w:val="00E008BA"/>
    <w:rsid w:val="00E00EBC"/>
    <w:rsid w:val="00E00FFD"/>
    <w:rsid w:val="00E018B7"/>
    <w:rsid w:val="00E018CE"/>
    <w:rsid w:val="00E01B12"/>
    <w:rsid w:val="00E01FE3"/>
    <w:rsid w:val="00E023F9"/>
    <w:rsid w:val="00E026FD"/>
    <w:rsid w:val="00E02A02"/>
    <w:rsid w:val="00E02AE7"/>
    <w:rsid w:val="00E02F7E"/>
    <w:rsid w:val="00E03288"/>
    <w:rsid w:val="00E037E3"/>
    <w:rsid w:val="00E04204"/>
    <w:rsid w:val="00E04590"/>
    <w:rsid w:val="00E04C02"/>
    <w:rsid w:val="00E04FBA"/>
    <w:rsid w:val="00E053B2"/>
    <w:rsid w:val="00E0617A"/>
    <w:rsid w:val="00E0644B"/>
    <w:rsid w:val="00E064D3"/>
    <w:rsid w:val="00E06595"/>
    <w:rsid w:val="00E0799E"/>
    <w:rsid w:val="00E07B7D"/>
    <w:rsid w:val="00E07DB8"/>
    <w:rsid w:val="00E1050F"/>
    <w:rsid w:val="00E11290"/>
    <w:rsid w:val="00E113B7"/>
    <w:rsid w:val="00E114C5"/>
    <w:rsid w:val="00E12258"/>
    <w:rsid w:val="00E12316"/>
    <w:rsid w:val="00E1277F"/>
    <w:rsid w:val="00E12E73"/>
    <w:rsid w:val="00E13491"/>
    <w:rsid w:val="00E13923"/>
    <w:rsid w:val="00E139D5"/>
    <w:rsid w:val="00E14042"/>
    <w:rsid w:val="00E14B42"/>
    <w:rsid w:val="00E14CA5"/>
    <w:rsid w:val="00E14E90"/>
    <w:rsid w:val="00E15202"/>
    <w:rsid w:val="00E1524C"/>
    <w:rsid w:val="00E152DF"/>
    <w:rsid w:val="00E1539E"/>
    <w:rsid w:val="00E15417"/>
    <w:rsid w:val="00E15505"/>
    <w:rsid w:val="00E15611"/>
    <w:rsid w:val="00E162B5"/>
    <w:rsid w:val="00E169A6"/>
    <w:rsid w:val="00E16A67"/>
    <w:rsid w:val="00E16E23"/>
    <w:rsid w:val="00E17141"/>
    <w:rsid w:val="00E171DF"/>
    <w:rsid w:val="00E17D3D"/>
    <w:rsid w:val="00E2024B"/>
    <w:rsid w:val="00E21896"/>
    <w:rsid w:val="00E219A1"/>
    <w:rsid w:val="00E21D35"/>
    <w:rsid w:val="00E21FE0"/>
    <w:rsid w:val="00E2202A"/>
    <w:rsid w:val="00E22D1B"/>
    <w:rsid w:val="00E2324A"/>
    <w:rsid w:val="00E235DB"/>
    <w:rsid w:val="00E235F5"/>
    <w:rsid w:val="00E2374A"/>
    <w:rsid w:val="00E23783"/>
    <w:rsid w:val="00E23A53"/>
    <w:rsid w:val="00E2401E"/>
    <w:rsid w:val="00E256E5"/>
    <w:rsid w:val="00E257AC"/>
    <w:rsid w:val="00E26411"/>
    <w:rsid w:val="00E264BC"/>
    <w:rsid w:val="00E26680"/>
    <w:rsid w:val="00E26AC1"/>
    <w:rsid w:val="00E2720A"/>
    <w:rsid w:val="00E273E9"/>
    <w:rsid w:val="00E27AE8"/>
    <w:rsid w:val="00E3008F"/>
    <w:rsid w:val="00E301BE"/>
    <w:rsid w:val="00E307B6"/>
    <w:rsid w:val="00E315DF"/>
    <w:rsid w:val="00E316F5"/>
    <w:rsid w:val="00E32E9C"/>
    <w:rsid w:val="00E336FD"/>
    <w:rsid w:val="00E339F2"/>
    <w:rsid w:val="00E33C48"/>
    <w:rsid w:val="00E34EBE"/>
    <w:rsid w:val="00E34F85"/>
    <w:rsid w:val="00E36093"/>
    <w:rsid w:val="00E368AE"/>
    <w:rsid w:val="00E37AE3"/>
    <w:rsid w:val="00E40BF8"/>
    <w:rsid w:val="00E410C7"/>
    <w:rsid w:val="00E41522"/>
    <w:rsid w:val="00E4154D"/>
    <w:rsid w:val="00E4196F"/>
    <w:rsid w:val="00E41A87"/>
    <w:rsid w:val="00E41AD6"/>
    <w:rsid w:val="00E41B01"/>
    <w:rsid w:val="00E42017"/>
    <w:rsid w:val="00E42256"/>
    <w:rsid w:val="00E423E2"/>
    <w:rsid w:val="00E424C7"/>
    <w:rsid w:val="00E426E5"/>
    <w:rsid w:val="00E42730"/>
    <w:rsid w:val="00E43060"/>
    <w:rsid w:val="00E4363A"/>
    <w:rsid w:val="00E440D0"/>
    <w:rsid w:val="00E447F9"/>
    <w:rsid w:val="00E45750"/>
    <w:rsid w:val="00E45AB1"/>
    <w:rsid w:val="00E45B52"/>
    <w:rsid w:val="00E45C81"/>
    <w:rsid w:val="00E46268"/>
    <w:rsid w:val="00E462F2"/>
    <w:rsid w:val="00E46532"/>
    <w:rsid w:val="00E468E6"/>
    <w:rsid w:val="00E46AFE"/>
    <w:rsid w:val="00E46C51"/>
    <w:rsid w:val="00E46CC9"/>
    <w:rsid w:val="00E46D8C"/>
    <w:rsid w:val="00E47078"/>
    <w:rsid w:val="00E50255"/>
    <w:rsid w:val="00E50772"/>
    <w:rsid w:val="00E50D89"/>
    <w:rsid w:val="00E528F9"/>
    <w:rsid w:val="00E53522"/>
    <w:rsid w:val="00E545FA"/>
    <w:rsid w:val="00E546E8"/>
    <w:rsid w:val="00E5496E"/>
    <w:rsid w:val="00E55854"/>
    <w:rsid w:val="00E55BA5"/>
    <w:rsid w:val="00E55C15"/>
    <w:rsid w:val="00E55D48"/>
    <w:rsid w:val="00E564A1"/>
    <w:rsid w:val="00E56707"/>
    <w:rsid w:val="00E56ACD"/>
    <w:rsid w:val="00E57279"/>
    <w:rsid w:val="00E5765E"/>
    <w:rsid w:val="00E57739"/>
    <w:rsid w:val="00E579C2"/>
    <w:rsid w:val="00E57D09"/>
    <w:rsid w:val="00E60289"/>
    <w:rsid w:val="00E6045F"/>
    <w:rsid w:val="00E60CA2"/>
    <w:rsid w:val="00E62196"/>
    <w:rsid w:val="00E628AD"/>
    <w:rsid w:val="00E62908"/>
    <w:rsid w:val="00E634B0"/>
    <w:rsid w:val="00E64339"/>
    <w:rsid w:val="00E64743"/>
    <w:rsid w:val="00E64DAA"/>
    <w:rsid w:val="00E656C5"/>
    <w:rsid w:val="00E65D5F"/>
    <w:rsid w:val="00E66031"/>
    <w:rsid w:val="00E66B64"/>
    <w:rsid w:val="00E66B66"/>
    <w:rsid w:val="00E66B76"/>
    <w:rsid w:val="00E67584"/>
    <w:rsid w:val="00E67669"/>
    <w:rsid w:val="00E677BD"/>
    <w:rsid w:val="00E67956"/>
    <w:rsid w:val="00E67AE7"/>
    <w:rsid w:val="00E7011C"/>
    <w:rsid w:val="00E708BC"/>
    <w:rsid w:val="00E70C34"/>
    <w:rsid w:val="00E70C44"/>
    <w:rsid w:val="00E7120C"/>
    <w:rsid w:val="00E7138D"/>
    <w:rsid w:val="00E718C4"/>
    <w:rsid w:val="00E7205A"/>
    <w:rsid w:val="00E7220D"/>
    <w:rsid w:val="00E7273B"/>
    <w:rsid w:val="00E72B6E"/>
    <w:rsid w:val="00E72BD9"/>
    <w:rsid w:val="00E7322D"/>
    <w:rsid w:val="00E736C6"/>
    <w:rsid w:val="00E73AF9"/>
    <w:rsid w:val="00E742F4"/>
    <w:rsid w:val="00E74B6D"/>
    <w:rsid w:val="00E74BE2"/>
    <w:rsid w:val="00E75976"/>
    <w:rsid w:val="00E75E5C"/>
    <w:rsid w:val="00E760FF"/>
    <w:rsid w:val="00E76384"/>
    <w:rsid w:val="00E77205"/>
    <w:rsid w:val="00E773E0"/>
    <w:rsid w:val="00E775E3"/>
    <w:rsid w:val="00E77A45"/>
    <w:rsid w:val="00E80392"/>
    <w:rsid w:val="00E80693"/>
    <w:rsid w:val="00E80E6D"/>
    <w:rsid w:val="00E812F5"/>
    <w:rsid w:val="00E8154B"/>
    <w:rsid w:val="00E816C2"/>
    <w:rsid w:val="00E81F67"/>
    <w:rsid w:val="00E82619"/>
    <w:rsid w:val="00E82968"/>
    <w:rsid w:val="00E8357D"/>
    <w:rsid w:val="00E836B7"/>
    <w:rsid w:val="00E8373C"/>
    <w:rsid w:val="00E83967"/>
    <w:rsid w:val="00E839AD"/>
    <w:rsid w:val="00E83C7E"/>
    <w:rsid w:val="00E83F3C"/>
    <w:rsid w:val="00E83FCE"/>
    <w:rsid w:val="00E84570"/>
    <w:rsid w:val="00E846CA"/>
    <w:rsid w:val="00E8487A"/>
    <w:rsid w:val="00E856E5"/>
    <w:rsid w:val="00E85726"/>
    <w:rsid w:val="00E858C5"/>
    <w:rsid w:val="00E85E2B"/>
    <w:rsid w:val="00E8634C"/>
    <w:rsid w:val="00E872A7"/>
    <w:rsid w:val="00E873B9"/>
    <w:rsid w:val="00E878CC"/>
    <w:rsid w:val="00E87A7D"/>
    <w:rsid w:val="00E87EAD"/>
    <w:rsid w:val="00E901AB"/>
    <w:rsid w:val="00E90AF8"/>
    <w:rsid w:val="00E923FD"/>
    <w:rsid w:val="00E924F7"/>
    <w:rsid w:val="00E9292A"/>
    <w:rsid w:val="00E932DA"/>
    <w:rsid w:val="00E9353E"/>
    <w:rsid w:val="00E94687"/>
    <w:rsid w:val="00E947B9"/>
    <w:rsid w:val="00E951ED"/>
    <w:rsid w:val="00E9585A"/>
    <w:rsid w:val="00E95A46"/>
    <w:rsid w:val="00E95DD9"/>
    <w:rsid w:val="00E96341"/>
    <w:rsid w:val="00E9647F"/>
    <w:rsid w:val="00E967D3"/>
    <w:rsid w:val="00E967EA"/>
    <w:rsid w:val="00E96CB9"/>
    <w:rsid w:val="00E9721B"/>
    <w:rsid w:val="00E97299"/>
    <w:rsid w:val="00E97671"/>
    <w:rsid w:val="00E97C21"/>
    <w:rsid w:val="00EA05D9"/>
    <w:rsid w:val="00EA1521"/>
    <w:rsid w:val="00EA16C4"/>
    <w:rsid w:val="00EA19E9"/>
    <w:rsid w:val="00EA214F"/>
    <w:rsid w:val="00EA2418"/>
    <w:rsid w:val="00EA2443"/>
    <w:rsid w:val="00EA24A3"/>
    <w:rsid w:val="00EA3333"/>
    <w:rsid w:val="00EA369D"/>
    <w:rsid w:val="00EA3B6D"/>
    <w:rsid w:val="00EA3C45"/>
    <w:rsid w:val="00EA3EF5"/>
    <w:rsid w:val="00EA411E"/>
    <w:rsid w:val="00EA4665"/>
    <w:rsid w:val="00EA4C4D"/>
    <w:rsid w:val="00EA4F2E"/>
    <w:rsid w:val="00EA539E"/>
    <w:rsid w:val="00EA641F"/>
    <w:rsid w:val="00EA647B"/>
    <w:rsid w:val="00EA64F1"/>
    <w:rsid w:val="00EA670C"/>
    <w:rsid w:val="00EA6A5A"/>
    <w:rsid w:val="00EA6A95"/>
    <w:rsid w:val="00EA714D"/>
    <w:rsid w:val="00EA7386"/>
    <w:rsid w:val="00EA790B"/>
    <w:rsid w:val="00EB01C3"/>
    <w:rsid w:val="00EB19E0"/>
    <w:rsid w:val="00EB1C21"/>
    <w:rsid w:val="00EB249C"/>
    <w:rsid w:val="00EB33B0"/>
    <w:rsid w:val="00EB3B36"/>
    <w:rsid w:val="00EB42A7"/>
    <w:rsid w:val="00EB54B9"/>
    <w:rsid w:val="00EB5649"/>
    <w:rsid w:val="00EB5754"/>
    <w:rsid w:val="00EB5A80"/>
    <w:rsid w:val="00EB5CAA"/>
    <w:rsid w:val="00EB6151"/>
    <w:rsid w:val="00EB644D"/>
    <w:rsid w:val="00EB675E"/>
    <w:rsid w:val="00EB6BB7"/>
    <w:rsid w:val="00EB6DDA"/>
    <w:rsid w:val="00EB780D"/>
    <w:rsid w:val="00EB7BA7"/>
    <w:rsid w:val="00EB7BF0"/>
    <w:rsid w:val="00EB7DEC"/>
    <w:rsid w:val="00EB7FBE"/>
    <w:rsid w:val="00EC07DD"/>
    <w:rsid w:val="00EC093F"/>
    <w:rsid w:val="00EC0D7C"/>
    <w:rsid w:val="00EC1115"/>
    <w:rsid w:val="00EC11A8"/>
    <w:rsid w:val="00EC19D7"/>
    <w:rsid w:val="00EC2131"/>
    <w:rsid w:val="00EC2591"/>
    <w:rsid w:val="00EC2BF5"/>
    <w:rsid w:val="00EC2E5A"/>
    <w:rsid w:val="00EC2F2F"/>
    <w:rsid w:val="00EC34CF"/>
    <w:rsid w:val="00EC3652"/>
    <w:rsid w:val="00EC3D03"/>
    <w:rsid w:val="00EC4522"/>
    <w:rsid w:val="00EC4915"/>
    <w:rsid w:val="00EC5199"/>
    <w:rsid w:val="00EC6262"/>
    <w:rsid w:val="00EC6827"/>
    <w:rsid w:val="00EC6D38"/>
    <w:rsid w:val="00EC7F14"/>
    <w:rsid w:val="00EC7FC4"/>
    <w:rsid w:val="00ED00A3"/>
    <w:rsid w:val="00ED0190"/>
    <w:rsid w:val="00ED031A"/>
    <w:rsid w:val="00ED0EC3"/>
    <w:rsid w:val="00ED19A2"/>
    <w:rsid w:val="00ED2B2B"/>
    <w:rsid w:val="00ED2EBD"/>
    <w:rsid w:val="00ED3078"/>
    <w:rsid w:val="00ED3187"/>
    <w:rsid w:val="00ED3222"/>
    <w:rsid w:val="00ED35A7"/>
    <w:rsid w:val="00ED379E"/>
    <w:rsid w:val="00ED3B24"/>
    <w:rsid w:val="00ED3BB6"/>
    <w:rsid w:val="00ED415E"/>
    <w:rsid w:val="00ED4305"/>
    <w:rsid w:val="00ED450E"/>
    <w:rsid w:val="00ED473B"/>
    <w:rsid w:val="00ED4969"/>
    <w:rsid w:val="00ED56D3"/>
    <w:rsid w:val="00ED6506"/>
    <w:rsid w:val="00ED6852"/>
    <w:rsid w:val="00ED7770"/>
    <w:rsid w:val="00ED78E4"/>
    <w:rsid w:val="00ED7A65"/>
    <w:rsid w:val="00EDB18C"/>
    <w:rsid w:val="00EE0259"/>
    <w:rsid w:val="00EE0409"/>
    <w:rsid w:val="00EE0529"/>
    <w:rsid w:val="00EE1043"/>
    <w:rsid w:val="00EE1470"/>
    <w:rsid w:val="00EE1A88"/>
    <w:rsid w:val="00EE1CA1"/>
    <w:rsid w:val="00EE220A"/>
    <w:rsid w:val="00EE2448"/>
    <w:rsid w:val="00EE249B"/>
    <w:rsid w:val="00EE2853"/>
    <w:rsid w:val="00EE3012"/>
    <w:rsid w:val="00EE34EE"/>
    <w:rsid w:val="00EE352A"/>
    <w:rsid w:val="00EE4A0C"/>
    <w:rsid w:val="00EE4A62"/>
    <w:rsid w:val="00EE526A"/>
    <w:rsid w:val="00EE5824"/>
    <w:rsid w:val="00EE5F9E"/>
    <w:rsid w:val="00EE616C"/>
    <w:rsid w:val="00EE627B"/>
    <w:rsid w:val="00EE7A5E"/>
    <w:rsid w:val="00EF0685"/>
    <w:rsid w:val="00EF0DE4"/>
    <w:rsid w:val="00EF16CA"/>
    <w:rsid w:val="00EF1C9B"/>
    <w:rsid w:val="00EF1CE4"/>
    <w:rsid w:val="00EF26BD"/>
    <w:rsid w:val="00EF271D"/>
    <w:rsid w:val="00EF2B66"/>
    <w:rsid w:val="00EF3296"/>
    <w:rsid w:val="00EF3ECD"/>
    <w:rsid w:val="00EF3FBA"/>
    <w:rsid w:val="00EF4033"/>
    <w:rsid w:val="00EF4A41"/>
    <w:rsid w:val="00EF57CD"/>
    <w:rsid w:val="00EF5D36"/>
    <w:rsid w:val="00EF5F34"/>
    <w:rsid w:val="00EF618B"/>
    <w:rsid w:val="00EF66FC"/>
    <w:rsid w:val="00EF6B68"/>
    <w:rsid w:val="00EF6B9A"/>
    <w:rsid w:val="00EF72D1"/>
    <w:rsid w:val="00EF7936"/>
    <w:rsid w:val="00EF7D7E"/>
    <w:rsid w:val="00F00220"/>
    <w:rsid w:val="00F007D0"/>
    <w:rsid w:val="00F00C01"/>
    <w:rsid w:val="00F01025"/>
    <w:rsid w:val="00F01043"/>
    <w:rsid w:val="00F01258"/>
    <w:rsid w:val="00F0135B"/>
    <w:rsid w:val="00F01FD1"/>
    <w:rsid w:val="00F0247E"/>
    <w:rsid w:val="00F02E5C"/>
    <w:rsid w:val="00F02E73"/>
    <w:rsid w:val="00F03088"/>
    <w:rsid w:val="00F03091"/>
    <w:rsid w:val="00F03789"/>
    <w:rsid w:val="00F05459"/>
    <w:rsid w:val="00F05514"/>
    <w:rsid w:val="00F056F1"/>
    <w:rsid w:val="00F063A1"/>
    <w:rsid w:val="00F06CF5"/>
    <w:rsid w:val="00F07B66"/>
    <w:rsid w:val="00F10028"/>
    <w:rsid w:val="00F10140"/>
    <w:rsid w:val="00F103D4"/>
    <w:rsid w:val="00F107E3"/>
    <w:rsid w:val="00F109C7"/>
    <w:rsid w:val="00F11525"/>
    <w:rsid w:val="00F11BAF"/>
    <w:rsid w:val="00F11CE3"/>
    <w:rsid w:val="00F12825"/>
    <w:rsid w:val="00F12D68"/>
    <w:rsid w:val="00F132DC"/>
    <w:rsid w:val="00F135DA"/>
    <w:rsid w:val="00F13644"/>
    <w:rsid w:val="00F13A9A"/>
    <w:rsid w:val="00F13B27"/>
    <w:rsid w:val="00F13FD6"/>
    <w:rsid w:val="00F13FE2"/>
    <w:rsid w:val="00F14AB5"/>
    <w:rsid w:val="00F14D13"/>
    <w:rsid w:val="00F15AF3"/>
    <w:rsid w:val="00F15C07"/>
    <w:rsid w:val="00F15CE6"/>
    <w:rsid w:val="00F16213"/>
    <w:rsid w:val="00F16559"/>
    <w:rsid w:val="00F16672"/>
    <w:rsid w:val="00F16E77"/>
    <w:rsid w:val="00F16E9B"/>
    <w:rsid w:val="00F16FDF"/>
    <w:rsid w:val="00F17672"/>
    <w:rsid w:val="00F179D0"/>
    <w:rsid w:val="00F17D37"/>
    <w:rsid w:val="00F17DA4"/>
    <w:rsid w:val="00F17DCE"/>
    <w:rsid w:val="00F21BE9"/>
    <w:rsid w:val="00F22492"/>
    <w:rsid w:val="00F226F7"/>
    <w:rsid w:val="00F22750"/>
    <w:rsid w:val="00F22B0A"/>
    <w:rsid w:val="00F22B99"/>
    <w:rsid w:val="00F23455"/>
    <w:rsid w:val="00F23A49"/>
    <w:rsid w:val="00F23CA1"/>
    <w:rsid w:val="00F2401A"/>
    <w:rsid w:val="00F247C5"/>
    <w:rsid w:val="00F24A60"/>
    <w:rsid w:val="00F24B19"/>
    <w:rsid w:val="00F257BB"/>
    <w:rsid w:val="00F26211"/>
    <w:rsid w:val="00F2646F"/>
    <w:rsid w:val="00F264A0"/>
    <w:rsid w:val="00F264E5"/>
    <w:rsid w:val="00F2696E"/>
    <w:rsid w:val="00F26E33"/>
    <w:rsid w:val="00F26ECD"/>
    <w:rsid w:val="00F2730C"/>
    <w:rsid w:val="00F27425"/>
    <w:rsid w:val="00F27541"/>
    <w:rsid w:val="00F27684"/>
    <w:rsid w:val="00F27E65"/>
    <w:rsid w:val="00F30EE7"/>
    <w:rsid w:val="00F318BA"/>
    <w:rsid w:val="00F318CC"/>
    <w:rsid w:val="00F31AC1"/>
    <w:rsid w:val="00F31DEA"/>
    <w:rsid w:val="00F32577"/>
    <w:rsid w:val="00F32C6F"/>
    <w:rsid w:val="00F32E3C"/>
    <w:rsid w:val="00F338D8"/>
    <w:rsid w:val="00F33B08"/>
    <w:rsid w:val="00F33E87"/>
    <w:rsid w:val="00F34096"/>
    <w:rsid w:val="00F34116"/>
    <w:rsid w:val="00F34129"/>
    <w:rsid w:val="00F349D4"/>
    <w:rsid w:val="00F34C4A"/>
    <w:rsid w:val="00F34D22"/>
    <w:rsid w:val="00F3526A"/>
    <w:rsid w:val="00F356D2"/>
    <w:rsid w:val="00F35A6A"/>
    <w:rsid w:val="00F35C3B"/>
    <w:rsid w:val="00F365A8"/>
    <w:rsid w:val="00F3697D"/>
    <w:rsid w:val="00F36A95"/>
    <w:rsid w:val="00F36F01"/>
    <w:rsid w:val="00F37264"/>
    <w:rsid w:val="00F37349"/>
    <w:rsid w:val="00F37D99"/>
    <w:rsid w:val="00F404A7"/>
    <w:rsid w:val="00F405C9"/>
    <w:rsid w:val="00F40A19"/>
    <w:rsid w:val="00F40C29"/>
    <w:rsid w:val="00F40F12"/>
    <w:rsid w:val="00F41072"/>
    <w:rsid w:val="00F414AB"/>
    <w:rsid w:val="00F414CD"/>
    <w:rsid w:val="00F414F8"/>
    <w:rsid w:val="00F4169C"/>
    <w:rsid w:val="00F416E4"/>
    <w:rsid w:val="00F41722"/>
    <w:rsid w:val="00F41AC3"/>
    <w:rsid w:val="00F424DB"/>
    <w:rsid w:val="00F42E4F"/>
    <w:rsid w:val="00F43603"/>
    <w:rsid w:val="00F43664"/>
    <w:rsid w:val="00F43AA9"/>
    <w:rsid w:val="00F43CA2"/>
    <w:rsid w:val="00F44320"/>
    <w:rsid w:val="00F44435"/>
    <w:rsid w:val="00F44FA1"/>
    <w:rsid w:val="00F45418"/>
    <w:rsid w:val="00F45BCE"/>
    <w:rsid w:val="00F45EF7"/>
    <w:rsid w:val="00F4645D"/>
    <w:rsid w:val="00F46558"/>
    <w:rsid w:val="00F46639"/>
    <w:rsid w:val="00F46676"/>
    <w:rsid w:val="00F47377"/>
    <w:rsid w:val="00F4749C"/>
    <w:rsid w:val="00F47626"/>
    <w:rsid w:val="00F476A9"/>
    <w:rsid w:val="00F47CAB"/>
    <w:rsid w:val="00F50275"/>
    <w:rsid w:val="00F5057E"/>
    <w:rsid w:val="00F505C7"/>
    <w:rsid w:val="00F505F4"/>
    <w:rsid w:val="00F508B3"/>
    <w:rsid w:val="00F50CEB"/>
    <w:rsid w:val="00F50E6D"/>
    <w:rsid w:val="00F51285"/>
    <w:rsid w:val="00F51366"/>
    <w:rsid w:val="00F51697"/>
    <w:rsid w:val="00F518EF"/>
    <w:rsid w:val="00F53109"/>
    <w:rsid w:val="00F53117"/>
    <w:rsid w:val="00F534AD"/>
    <w:rsid w:val="00F539DD"/>
    <w:rsid w:val="00F53C9E"/>
    <w:rsid w:val="00F53FA9"/>
    <w:rsid w:val="00F54824"/>
    <w:rsid w:val="00F54B2F"/>
    <w:rsid w:val="00F54D09"/>
    <w:rsid w:val="00F55486"/>
    <w:rsid w:val="00F55B14"/>
    <w:rsid w:val="00F55D7D"/>
    <w:rsid w:val="00F56627"/>
    <w:rsid w:val="00F566F6"/>
    <w:rsid w:val="00F56C91"/>
    <w:rsid w:val="00F56CE1"/>
    <w:rsid w:val="00F57031"/>
    <w:rsid w:val="00F57532"/>
    <w:rsid w:val="00F57B0C"/>
    <w:rsid w:val="00F6003E"/>
    <w:rsid w:val="00F6038F"/>
    <w:rsid w:val="00F60839"/>
    <w:rsid w:val="00F60D18"/>
    <w:rsid w:val="00F6177A"/>
    <w:rsid w:val="00F6186F"/>
    <w:rsid w:val="00F61C98"/>
    <w:rsid w:val="00F61DD5"/>
    <w:rsid w:val="00F62745"/>
    <w:rsid w:val="00F62833"/>
    <w:rsid w:val="00F62AE5"/>
    <w:rsid w:val="00F62B07"/>
    <w:rsid w:val="00F62D01"/>
    <w:rsid w:val="00F62EE5"/>
    <w:rsid w:val="00F63965"/>
    <w:rsid w:val="00F63BB0"/>
    <w:rsid w:val="00F64656"/>
    <w:rsid w:val="00F64C7D"/>
    <w:rsid w:val="00F66257"/>
    <w:rsid w:val="00F66746"/>
    <w:rsid w:val="00F667B9"/>
    <w:rsid w:val="00F669C5"/>
    <w:rsid w:val="00F66AA4"/>
    <w:rsid w:val="00F672FF"/>
    <w:rsid w:val="00F67312"/>
    <w:rsid w:val="00F67C1B"/>
    <w:rsid w:val="00F67F40"/>
    <w:rsid w:val="00F67F4D"/>
    <w:rsid w:val="00F70195"/>
    <w:rsid w:val="00F70FC0"/>
    <w:rsid w:val="00F7140A"/>
    <w:rsid w:val="00F715E7"/>
    <w:rsid w:val="00F716B0"/>
    <w:rsid w:val="00F721E2"/>
    <w:rsid w:val="00F72602"/>
    <w:rsid w:val="00F72DEA"/>
    <w:rsid w:val="00F7301D"/>
    <w:rsid w:val="00F74ABA"/>
    <w:rsid w:val="00F75340"/>
    <w:rsid w:val="00F75710"/>
    <w:rsid w:val="00F75739"/>
    <w:rsid w:val="00F75AC9"/>
    <w:rsid w:val="00F75C20"/>
    <w:rsid w:val="00F75D26"/>
    <w:rsid w:val="00F75ED1"/>
    <w:rsid w:val="00F76413"/>
    <w:rsid w:val="00F76F00"/>
    <w:rsid w:val="00F7731B"/>
    <w:rsid w:val="00F77814"/>
    <w:rsid w:val="00F7791B"/>
    <w:rsid w:val="00F77D65"/>
    <w:rsid w:val="00F803B0"/>
    <w:rsid w:val="00F80409"/>
    <w:rsid w:val="00F8065B"/>
    <w:rsid w:val="00F8086E"/>
    <w:rsid w:val="00F80C31"/>
    <w:rsid w:val="00F80E14"/>
    <w:rsid w:val="00F80E25"/>
    <w:rsid w:val="00F81524"/>
    <w:rsid w:val="00F822FE"/>
    <w:rsid w:val="00F82562"/>
    <w:rsid w:val="00F83142"/>
    <w:rsid w:val="00F83362"/>
    <w:rsid w:val="00F84101"/>
    <w:rsid w:val="00F84583"/>
    <w:rsid w:val="00F8520A"/>
    <w:rsid w:val="00F8600C"/>
    <w:rsid w:val="00F863C1"/>
    <w:rsid w:val="00F86631"/>
    <w:rsid w:val="00F869B7"/>
    <w:rsid w:val="00F86E68"/>
    <w:rsid w:val="00F86EF5"/>
    <w:rsid w:val="00F875C4"/>
    <w:rsid w:val="00F876E5"/>
    <w:rsid w:val="00F9005C"/>
    <w:rsid w:val="00F903B1"/>
    <w:rsid w:val="00F904AE"/>
    <w:rsid w:val="00F90826"/>
    <w:rsid w:val="00F91B2C"/>
    <w:rsid w:val="00F91CBA"/>
    <w:rsid w:val="00F91DF2"/>
    <w:rsid w:val="00F92513"/>
    <w:rsid w:val="00F925C6"/>
    <w:rsid w:val="00F9294C"/>
    <w:rsid w:val="00F92E06"/>
    <w:rsid w:val="00F92F98"/>
    <w:rsid w:val="00F93AEB"/>
    <w:rsid w:val="00F94CD4"/>
    <w:rsid w:val="00F9506A"/>
    <w:rsid w:val="00F9518B"/>
    <w:rsid w:val="00F955CD"/>
    <w:rsid w:val="00F95B03"/>
    <w:rsid w:val="00F96026"/>
    <w:rsid w:val="00F96230"/>
    <w:rsid w:val="00F96B57"/>
    <w:rsid w:val="00F9736F"/>
    <w:rsid w:val="00F978A7"/>
    <w:rsid w:val="00F97B16"/>
    <w:rsid w:val="00F97CE1"/>
    <w:rsid w:val="00F97D6C"/>
    <w:rsid w:val="00FA0966"/>
    <w:rsid w:val="00FA0EA9"/>
    <w:rsid w:val="00FA1419"/>
    <w:rsid w:val="00FA1755"/>
    <w:rsid w:val="00FA18F2"/>
    <w:rsid w:val="00FA208B"/>
    <w:rsid w:val="00FA267A"/>
    <w:rsid w:val="00FA280A"/>
    <w:rsid w:val="00FA368A"/>
    <w:rsid w:val="00FA36F0"/>
    <w:rsid w:val="00FA3832"/>
    <w:rsid w:val="00FA3C90"/>
    <w:rsid w:val="00FA3EBF"/>
    <w:rsid w:val="00FA3FA4"/>
    <w:rsid w:val="00FA4C90"/>
    <w:rsid w:val="00FA4EEC"/>
    <w:rsid w:val="00FA5127"/>
    <w:rsid w:val="00FA68AF"/>
    <w:rsid w:val="00FA6905"/>
    <w:rsid w:val="00FA6B87"/>
    <w:rsid w:val="00FA6EDB"/>
    <w:rsid w:val="00FA7400"/>
    <w:rsid w:val="00FA7A01"/>
    <w:rsid w:val="00FB03E9"/>
    <w:rsid w:val="00FB08DC"/>
    <w:rsid w:val="00FB1107"/>
    <w:rsid w:val="00FB1250"/>
    <w:rsid w:val="00FB20A9"/>
    <w:rsid w:val="00FB231E"/>
    <w:rsid w:val="00FB28CB"/>
    <w:rsid w:val="00FB28CF"/>
    <w:rsid w:val="00FB2F2E"/>
    <w:rsid w:val="00FB37C3"/>
    <w:rsid w:val="00FB4456"/>
    <w:rsid w:val="00FB4A52"/>
    <w:rsid w:val="00FB4D43"/>
    <w:rsid w:val="00FB5485"/>
    <w:rsid w:val="00FB5C81"/>
    <w:rsid w:val="00FB5D74"/>
    <w:rsid w:val="00FB5F5C"/>
    <w:rsid w:val="00FB6220"/>
    <w:rsid w:val="00FB6981"/>
    <w:rsid w:val="00FB6999"/>
    <w:rsid w:val="00FB6D84"/>
    <w:rsid w:val="00FB7076"/>
    <w:rsid w:val="00FB7543"/>
    <w:rsid w:val="00FB75E0"/>
    <w:rsid w:val="00FB75FC"/>
    <w:rsid w:val="00FB7A09"/>
    <w:rsid w:val="00FB7D7A"/>
    <w:rsid w:val="00FC0304"/>
    <w:rsid w:val="00FC0316"/>
    <w:rsid w:val="00FC07AC"/>
    <w:rsid w:val="00FC0936"/>
    <w:rsid w:val="00FC0B7F"/>
    <w:rsid w:val="00FC1093"/>
    <w:rsid w:val="00FC1673"/>
    <w:rsid w:val="00FC1BE4"/>
    <w:rsid w:val="00FC21CD"/>
    <w:rsid w:val="00FC25E0"/>
    <w:rsid w:val="00FC3406"/>
    <w:rsid w:val="00FC3598"/>
    <w:rsid w:val="00FC3A0E"/>
    <w:rsid w:val="00FC3B9D"/>
    <w:rsid w:val="00FC4136"/>
    <w:rsid w:val="00FC42E1"/>
    <w:rsid w:val="00FC4607"/>
    <w:rsid w:val="00FC5D45"/>
    <w:rsid w:val="00FC5E78"/>
    <w:rsid w:val="00FC6082"/>
    <w:rsid w:val="00FC65A3"/>
    <w:rsid w:val="00FC688A"/>
    <w:rsid w:val="00FC691C"/>
    <w:rsid w:val="00FC69B4"/>
    <w:rsid w:val="00FC6CBD"/>
    <w:rsid w:val="00FD046D"/>
    <w:rsid w:val="00FD0A3A"/>
    <w:rsid w:val="00FD14BA"/>
    <w:rsid w:val="00FD16AF"/>
    <w:rsid w:val="00FD18F7"/>
    <w:rsid w:val="00FD1D43"/>
    <w:rsid w:val="00FD1F4D"/>
    <w:rsid w:val="00FD2218"/>
    <w:rsid w:val="00FD23F5"/>
    <w:rsid w:val="00FD28C6"/>
    <w:rsid w:val="00FD2A3E"/>
    <w:rsid w:val="00FD3177"/>
    <w:rsid w:val="00FD3766"/>
    <w:rsid w:val="00FD3BCE"/>
    <w:rsid w:val="00FD496E"/>
    <w:rsid w:val="00FD49D2"/>
    <w:rsid w:val="00FD4EA9"/>
    <w:rsid w:val="00FD5091"/>
    <w:rsid w:val="00FD546E"/>
    <w:rsid w:val="00FD5869"/>
    <w:rsid w:val="00FD5A05"/>
    <w:rsid w:val="00FD665B"/>
    <w:rsid w:val="00FD6D94"/>
    <w:rsid w:val="00FD6FFE"/>
    <w:rsid w:val="00FD7077"/>
    <w:rsid w:val="00FD7766"/>
    <w:rsid w:val="00FD7DC4"/>
    <w:rsid w:val="00FE0174"/>
    <w:rsid w:val="00FE029F"/>
    <w:rsid w:val="00FE0F1F"/>
    <w:rsid w:val="00FE1050"/>
    <w:rsid w:val="00FE116B"/>
    <w:rsid w:val="00FE153D"/>
    <w:rsid w:val="00FE1DD3"/>
    <w:rsid w:val="00FE1F34"/>
    <w:rsid w:val="00FE21F3"/>
    <w:rsid w:val="00FE2700"/>
    <w:rsid w:val="00FE27F4"/>
    <w:rsid w:val="00FE2CCF"/>
    <w:rsid w:val="00FE3184"/>
    <w:rsid w:val="00FE374D"/>
    <w:rsid w:val="00FE37FF"/>
    <w:rsid w:val="00FE3887"/>
    <w:rsid w:val="00FE3BFD"/>
    <w:rsid w:val="00FE3D22"/>
    <w:rsid w:val="00FE41B2"/>
    <w:rsid w:val="00FE42BA"/>
    <w:rsid w:val="00FE5BBC"/>
    <w:rsid w:val="00FE5C9E"/>
    <w:rsid w:val="00FE5DEC"/>
    <w:rsid w:val="00FE6509"/>
    <w:rsid w:val="00FE6638"/>
    <w:rsid w:val="00FE69B0"/>
    <w:rsid w:val="00FE77ED"/>
    <w:rsid w:val="00FE78BE"/>
    <w:rsid w:val="00FE7938"/>
    <w:rsid w:val="00FE7D6B"/>
    <w:rsid w:val="00FF05EF"/>
    <w:rsid w:val="00FF0708"/>
    <w:rsid w:val="00FF0E46"/>
    <w:rsid w:val="00FF1B0B"/>
    <w:rsid w:val="00FF1D05"/>
    <w:rsid w:val="00FF1FBA"/>
    <w:rsid w:val="00FF2773"/>
    <w:rsid w:val="00FF2B42"/>
    <w:rsid w:val="00FF322C"/>
    <w:rsid w:val="00FF3685"/>
    <w:rsid w:val="00FF3928"/>
    <w:rsid w:val="00FF3B3B"/>
    <w:rsid w:val="00FF3EF8"/>
    <w:rsid w:val="00FF3F39"/>
    <w:rsid w:val="00FF40B8"/>
    <w:rsid w:val="00FF454E"/>
    <w:rsid w:val="00FF507F"/>
    <w:rsid w:val="00FF5D4D"/>
    <w:rsid w:val="00FF634E"/>
    <w:rsid w:val="00FF649E"/>
    <w:rsid w:val="00FF690E"/>
    <w:rsid w:val="00FF6FE3"/>
    <w:rsid w:val="0101112B"/>
    <w:rsid w:val="01162753"/>
    <w:rsid w:val="012E3E96"/>
    <w:rsid w:val="015B74C1"/>
    <w:rsid w:val="017450A4"/>
    <w:rsid w:val="01DE0E81"/>
    <w:rsid w:val="0203078A"/>
    <w:rsid w:val="022CBA3B"/>
    <w:rsid w:val="022CC022"/>
    <w:rsid w:val="02569491"/>
    <w:rsid w:val="02A5B310"/>
    <w:rsid w:val="02C2C279"/>
    <w:rsid w:val="02D09BD8"/>
    <w:rsid w:val="02FAF2F6"/>
    <w:rsid w:val="032C184D"/>
    <w:rsid w:val="0339DE31"/>
    <w:rsid w:val="036F9FAF"/>
    <w:rsid w:val="0378323A"/>
    <w:rsid w:val="039ED7EB"/>
    <w:rsid w:val="0418A78F"/>
    <w:rsid w:val="042106F4"/>
    <w:rsid w:val="043A2F51"/>
    <w:rsid w:val="044D871C"/>
    <w:rsid w:val="0456F58C"/>
    <w:rsid w:val="04676973"/>
    <w:rsid w:val="048ABA0F"/>
    <w:rsid w:val="049F5E8D"/>
    <w:rsid w:val="04C0FB9A"/>
    <w:rsid w:val="04D52EF2"/>
    <w:rsid w:val="04DADAB2"/>
    <w:rsid w:val="04E58D73"/>
    <w:rsid w:val="0513B515"/>
    <w:rsid w:val="052E0D1A"/>
    <w:rsid w:val="0544F92F"/>
    <w:rsid w:val="05562397"/>
    <w:rsid w:val="055AB46E"/>
    <w:rsid w:val="057131D8"/>
    <w:rsid w:val="0586454F"/>
    <w:rsid w:val="058EBA54"/>
    <w:rsid w:val="05937A51"/>
    <w:rsid w:val="0595E2B6"/>
    <w:rsid w:val="05B482E3"/>
    <w:rsid w:val="05CAF192"/>
    <w:rsid w:val="05E708B5"/>
    <w:rsid w:val="0604F24B"/>
    <w:rsid w:val="0608CFDC"/>
    <w:rsid w:val="060EA3DB"/>
    <w:rsid w:val="0619C7B1"/>
    <w:rsid w:val="063653B2"/>
    <w:rsid w:val="0645A4E2"/>
    <w:rsid w:val="066A63EC"/>
    <w:rsid w:val="069ACB97"/>
    <w:rsid w:val="06ADB43B"/>
    <w:rsid w:val="06DE6633"/>
    <w:rsid w:val="06E0C990"/>
    <w:rsid w:val="06E2A91B"/>
    <w:rsid w:val="06E78EDD"/>
    <w:rsid w:val="06F1BC7F"/>
    <w:rsid w:val="06F9DE0A"/>
    <w:rsid w:val="0707C445"/>
    <w:rsid w:val="071B4117"/>
    <w:rsid w:val="0741C071"/>
    <w:rsid w:val="0771D013"/>
    <w:rsid w:val="0782A87C"/>
    <w:rsid w:val="07875FFE"/>
    <w:rsid w:val="07894714"/>
    <w:rsid w:val="07908837"/>
    <w:rsid w:val="07A82C12"/>
    <w:rsid w:val="07AA743C"/>
    <w:rsid w:val="07E3698E"/>
    <w:rsid w:val="07F04484"/>
    <w:rsid w:val="07F991A7"/>
    <w:rsid w:val="081D2E35"/>
    <w:rsid w:val="0825C528"/>
    <w:rsid w:val="082A029E"/>
    <w:rsid w:val="0839BFE5"/>
    <w:rsid w:val="08716C08"/>
    <w:rsid w:val="087743B0"/>
    <w:rsid w:val="0879CA28"/>
    <w:rsid w:val="087C99F1"/>
    <w:rsid w:val="0884A281"/>
    <w:rsid w:val="089C7A93"/>
    <w:rsid w:val="08AFECD3"/>
    <w:rsid w:val="08F0E743"/>
    <w:rsid w:val="0908861B"/>
    <w:rsid w:val="0909A4EE"/>
    <w:rsid w:val="092126DD"/>
    <w:rsid w:val="0923313A"/>
    <w:rsid w:val="092B7721"/>
    <w:rsid w:val="09956208"/>
    <w:rsid w:val="09A78EBF"/>
    <w:rsid w:val="09DE6672"/>
    <w:rsid w:val="0A04E121"/>
    <w:rsid w:val="0A186A52"/>
    <w:rsid w:val="0A30B5BE"/>
    <w:rsid w:val="0A5ACE3A"/>
    <w:rsid w:val="0A820A6A"/>
    <w:rsid w:val="0AABD920"/>
    <w:rsid w:val="0AB4EB49"/>
    <w:rsid w:val="0ADC40FF"/>
    <w:rsid w:val="0AE1E968"/>
    <w:rsid w:val="0B0C6A6E"/>
    <w:rsid w:val="0B0D4B4C"/>
    <w:rsid w:val="0B2D7045"/>
    <w:rsid w:val="0B3727F1"/>
    <w:rsid w:val="0B41665C"/>
    <w:rsid w:val="0B441A42"/>
    <w:rsid w:val="0B4B9684"/>
    <w:rsid w:val="0B58E8B8"/>
    <w:rsid w:val="0B5BB4B4"/>
    <w:rsid w:val="0B8CA503"/>
    <w:rsid w:val="0B9A19BB"/>
    <w:rsid w:val="0BA6F191"/>
    <w:rsid w:val="0BFDB1C7"/>
    <w:rsid w:val="0C05596F"/>
    <w:rsid w:val="0C114935"/>
    <w:rsid w:val="0C3A3316"/>
    <w:rsid w:val="0C72485D"/>
    <w:rsid w:val="0C781160"/>
    <w:rsid w:val="0C9E538D"/>
    <w:rsid w:val="0CA83ACF"/>
    <w:rsid w:val="0CA91BAD"/>
    <w:rsid w:val="0CB08841"/>
    <w:rsid w:val="0CBC2AF4"/>
    <w:rsid w:val="0CC2AA74"/>
    <w:rsid w:val="0CC70C35"/>
    <w:rsid w:val="0CD8499C"/>
    <w:rsid w:val="0CD882F9"/>
    <w:rsid w:val="0D34DC13"/>
    <w:rsid w:val="0D498CCD"/>
    <w:rsid w:val="0D711E76"/>
    <w:rsid w:val="0D785FAC"/>
    <w:rsid w:val="0D930302"/>
    <w:rsid w:val="0DA1B3F3"/>
    <w:rsid w:val="0DAADEEC"/>
    <w:rsid w:val="0DABBC0E"/>
    <w:rsid w:val="0DB0AC54"/>
    <w:rsid w:val="0DC1F1C6"/>
    <w:rsid w:val="0DFB6B5E"/>
    <w:rsid w:val="0E0DD3B6"/>
    <w:rsid w:val="0E4362F6"/>
    <w:rsid w:val="0E43A1CA"/>
    <w:rsid w:val="0E44EC0E"/>
    <w:rsid w:val="0E68D32B"/>
    <w:rsid w:val="0E8F75A7"/>
    <w:rsid w:val="0E9ADCDA"/>
    <w:rsid w:val="0EDC04E0"/>
    <w:rsid w:val="0EE9D81C"/>
    <w:rsid w:val="0EF7F1DA"/>
    <w:rsid w:val="0EFDADC4"/>
    <w:rsid w:val="0F0963BF"/>
    <w:rsid w:val="0F0DA9BD"/>
    <w:rsid w:val="0F132575"/>
    <w:rsid w:val="0F19F6AE"/>
    <w:rsid w:val="0F351799"/>
    <w:rsid w:val="0F363B60"/>
    <w:rsid w:val="0F51990C"/>
    <w:rsid w:val="0F54B144"/>
    <w:rsid w:val="0F5B6218"/>
    <w:rsid w:val="0F70D97B"/>
    <w:rsid w:val="0F7954E8"/>
    <w:rsid w:val="0F79B9D7"/>
    <w:rsid w:val="0FB691DB"/>
    <w:rsid w:val="0FBA47F8"/>
    <w:rsid w:val="0FDF722B"/>
    <w:rsid w:val="0FDFDB91"/>
    <w:rsid w:val="0FF0041E"/>
    <w:rsid w:val="0FF0C08C"/>
    <w:rsid w:val="1008B9F9"/>
    <w:rsid w:val="102E38B3"/>
    <w:rsid w:val="1040E51E"/>
    <w:rsid w:val="107D5AF3"/>
    <w:rsid w:val="10A54AA0"/>
    <w:rsid w:val="10D7663B"/>
    <w:rsid w:val="10E0D201"/>
    <w:rsid w:val="10E27FAE"/>
    <w:rsid w:val="10F14BEE"/>
    <w:rsid w:val="11041DAD"/>
    <w:rsid w:val="111B43A8"/>
    <w:rsid w:val="112FFD41"/>
    <w:rsid w:val="1141A905"/>
    <w:rsid w:val="114309DA"/>
    <w:rsid w:val="114D992C"/>
    <w:rsid w:val="11A7DAA5"/>
    <w:rsid w:val="11B49962"/>
    <w:rsid w:val="11C6491C"/>
    <w:rsid w:val="1204FD99"/>
    <w:rsid w:val="12192B54"/>
    <w:rsid w:val="122D7EBD"/>
    <w:rsid w:val="1243567E"/>
    <w:rsid w:val="12454A7F"/>
    <w:rsid w:val="125B4F6E"/>
    <w:rsid w:val="1274C099"/>
    <w:rsid w:val="128B6E55"/>
    <w:rsid w:val="12A10B08"/>
    <w:rsid w:val="12B21E89"/>
    <w:rsid w:val="12D12349"/>
    <w:rsid w:val="12D8F411"/>
    <w:rsid w:val="12F08607"/>
    <w:rsid w:val="12F1E8BA"/>
    <w:rsid w:val="1317204B"/>
    <w:rsid w:val="133D9AD3"/>
    <w:rsid w:val="13563D98"/>
    <w:rsid w:val="137448A9"/>
    <w:rsid w:val="137B41DA"/>
    <w:rsid w:val="13810967"/>
    <w:rsid w:val="13907865"/>
    <w:rsid w:val="13923E72"/>
    <w:rsid w:val="139788A0"/>
    <w:rsid w:val="139A82C8"/>
    <w:rsid w:val="13A26B1B"/>
    <w:rsid w:val="13B4FBB5"/>
    <w:rsid w:val="13BE6FA7"/>
    <w:rsid w:val="13CC9E89"/>
    <w:rsid w:val="13D44D19"/>
    <w:rsid w:val="13E11670"/>
    <w:rsid w:val="14217B4E"/>
    <w:rsid w:val="142E5747"/>
    <w:rsid w:val="144DB946"/>
    <w:rsid w:val="146FF827"/>
    <w:rsid w:val="1477B2DC"/>
    <w:rsid w:val="148DB91B"/>
    <w:rsid w:val="14A45381"/>
    <w:rsid w:val="14AD17F3"/>
    <w:rsid w:val="14CFFA2B"/>
    <w:rsid w:val="14E9299F"/>
    <w:rsid w:val="14EF4CBD"/>
    <w:rsid w:val="154CDCA6"/>
    <w:rsid w:val="154E61A4"/>
    <w:rsid w:val="154EA3D1"/>
    <w:rsid w:val="15CAA39C"/>
    <w:rsid w:val="15FB6522"/>
    <w:rsid w:val="1607AE0F"/>
    <w:rsid w:val="160B5BEA"/>
    <w:rsid w:val="162103E6"/>
    <w:rsid w:val="1624A584"/>
    <w:rsid w:val="16380F1E"/>
    <w:rsid w:val="1643EFDD"/>
    <w:rsid w:val="164F1D15"/>
    <w:rsid w:val="165189C0"/>
    <w:rsid w:val="165C66F7"/>
    <w:rsid w:val="16649FEF"/>
    <w:rsid w:val="167BC2B9"/>
    <w:rsid w:val="16C3C2EE"/>
    <w:rsid w:val="16E8E937"/>
    <w:rsid w:val="1712AC71"/>
    <w:rsid w:val="174D4BA0"/>
    <w:rsid w:val="178B6C0F"/>
    <w:rsid w:val="17C631CF"/>
    <w:rsid w:val="17DCC4FB"/>
    <w:rsid w:val="17DFC03E"/>
    <w:rsid w:val="181E032F"/>
    <w:rsid w:val="18335FF8"/>
    <w:rsid w:val="184B5AC0"/>
    <w:rsid w:val="1858A36E"/>
    <w:rsid w:val="187314D3"/>
    <w:rsid w:val="18886CD8"/>
    <w:rsid w:val="18A7BE3C"/>
    <w:rsid w:val="18AF6665"/>
    <w:rsid w:val="18D9E4BD"/>
    <w:rsid w:val="18E33576"/>
    <w:rsid w:val="18E91C01"/>
    <w:rsid w:val="18F6EA77"/>
    <w:rsid w:val="19087486"/>
    <w:rsid w:val="1927AF8E"/>
    <w:rsid w:val="193305E4"/>
    <w:rsid w:val="19335471"/>
    <w:rsid w:val="194D328B"/>
    <w:rsid w:val="19620DC3"/>
    <w:rsid w:val="19B57334"/>
    <w:rsid w:val="1A0C6CFE"/>
    <w:rsid w:val="1A0CC7BE"/>
    <w:rsid w:val="1A2C2ABF"/>
    <w:rsid w:val="1A325B7F"/>
    <w:rsid w:val="1A381533"/>
    <w:rsid w:val="1A6A6491"/>
    <w:rsid w:val="1A70B7AC"/>
    <w:rsid w:val="1A9B03F8"/>
    <w:rsid w:val="1A9DA419"/>
    <w:rsid w:val="1AB5ADE8"/>
    <w:rsid w:val="1ACF24D2"/>
    <w:rsid w:val="1AD51E83"/>
    <w:rsid w:val="1AECDB15"/>
    <w:rsid w:val="1AFDDE24"/>
    <w:rsid w:val="1B3A66AF"/>
    <w:rsid w:val="1B72E047"/>
    <w:rsid w:val="1B8180E1"/>
    <w:rsid w:val="1B86524E"/>
    <w:rsid w:val="1B9A2F35"/>
    <w:rsid w:val="1BBA2659"/>
    <w:rsid w:val="1BC00D9A"/>
    <w:rsid w:val="1BDD6A1C"/>
    <w:rsid w:val="1BEA21A1"/>
    <w:rsid w:val="1C0440EA"/>
    <w:rsid w:val="1C2DDF65"/>
    <w:rsid w:val="1C3EC466"/>
    <w:rsid w:val="1C724471"/>
    <w:rsid w:val="1C784C3E"/>
    <w:rsid w:val="1C7F4CA0"/>
    <w:rsid w:val="1C8CA1DF"/>
    <w:rsid w:val="1C9622B0"/>
    <w:rsid w:val="1CA09732"/>
    <w:rsid w:val="1CAFE61A"/>
    <w:rsid w:val="1CC36B90"/>
    <w:rsid w:val="1CD27DD7"/>
    <w:rsid w:val="1CD4D4D6"/>
    <w:rsid w:val="1CD795C1"/>
    <w:rsid w:val="1CFC8055"/>
    <w:rsid w:val="1D17C7CF"/>
    <w:rsid w:val="1D243BB7"/>
    <w:rsid w:val="1D285B2C"/>
    <w:rsid w:val="1D38DAFD"/>
    <w:rsid w:val="1D64F22F"/>
    <w:rsid w:val="1D8A568B"/>
    <w:rsid w:val="1DA365C2"/>
    <w:rsid w:val="1DA72C8B"/>
    <w:rsid w:val="1DCFB96A"/>
    <w:rsid w:val="1DFA8615"/>
    <w:rsid w:val="1E06C594"/>
    <w:rsid w:val="1E166B2E"/>
    <w:rsid w:val="1E20D927"/>
    <w:rsid w:val="1E31AFFE"/>
    <w:rsid w:val="1E412BEF"/>
    <w:rsid w:val="1E7503AA"/>
    <w:rsid w:val="1E85BA8A"/>
    <w:rsid w:val="1E8628A7"/>
    <w:rsid w:val="1EAAF08B"/>
    <w:rsid w:val="1EAC6428"/>
    <w:rsid w:val="1EC63DE9"/>
    <w:rsid w:val="1EC9FC32"/>
    <w:rsid w:val="1EF31BF7"/>
    <w:rsid w:val="1F3E87D5"/>
    <w:rsid w:val="1F585D85"/>
    <w:rsid w:val="1F591471"/>
    <w:rsid w:val="1F784B53"/>
    <w:rsid w:val="1F9641C9"/>
    <w:rsid w:val="1FA295F5"/>
    <w:rsid w:val="1FB0BD84"/>
    <w:rsid w:val="1FD248F2"/>
    <w:rsid w:val="20241205"/>
    <w:rsid w:val="2040500E"/>
    <w:rsid w:val="20629238"/>
    <w:rsid w:val="20791F4C"/>
    <w:rsid w:val="20908319"/>
    <w:rsid w:val="209CADF7"/>
    <w:rsid w:val="20C731FC"/>
    <w:rsid w:val="210E8A49"/>
    <w:rsid w:val="211F72DD"/>
    <w:rsid w:val="213E6656"/>
    <w:rsid w:val="214B76B2"/>
    <w:rsid w:val="2159FAAF"/>
    <w:rsid w:val="218849D4"/>
    <w:rsid w:val="21A37F00"/>
    <w:rsid w:val="21B2B1E9"/>
    <w:rsid w:val="21B62DFA"/>
    <w:rsid w:val="21D19061"/>
    <w:rsid w:val="21DB8DAB"/>
    <w:rsid w:val="21E662A0"/>
    <w:rsid w:val="21EF2E02"/>
    <w:rsid w:val="21F49AB3"/>
    <w:rsid w:val="21F653B9"/>
    <w:rsid w:val="220AE074"/>
    <w:rsid w:val="225CA34E"/>
    <w:rsid w:val="226F20CD"/>
    <w:rsid w:val="22D1608B"/>
    <w:rsid w:val="22DA4D89"/>
    <w:rsid w:val="22DFB1C3"/>
    <w:rsid w:val="22E0E2F6"/>
    <w:rsid w:val="230FFA0A"/>
    <w:rsid w:val="23272055"/>
    <w:rsid w:val="232CA4CE"/>
    <w:rsid w:val="23381DEA"/>
    <w:rsid w:val="236A51BC"/>
    <w:rsid w:val="23833717"/>
    <w:rsid w:val="239DA083"/>
    <w:rsid w:val="23BEDF4A"/>
    <w:rsid w:val="23D02F54"/>
    <w:rsid w:val="23D0EF7B"/>
    <w:rsid w:val="23D433B3"/>
    <w:rsid w:val="23F3AA10"/>
    <w:rsid w:val="23FCA769"/>
    <w:rsid w:val="2400928A"/>
    <w:rsid w:val="2406B021"/>
    <w:rsid w:val="2429C1E3"/>
    <w:rsid w:val="242F06C7"/>
    <w:rsid w:val="244FED63"/>
    <w:rsid w:val="24924F12"/>
    <w:rsid w:val="24A77F44"/>
    <w:rsid w:val="24ACF5D1"/>
    <w:rsid w:val="24AD8AC8"/>
    <w:rsid w:val="24AF65F2"/>
    <w:rsid w:val="24D79085"/>
    <w:rsid w:val="24DF3391"/>
    <w:rsid w:val="24F9471C"/>
    <w:rsid w:val="2509DD61"/>
    <w:rsid w:val="252F15F3"/>
    <w:rsid w:val="2535D45D"/>
    <w:rsid w:val="255AAFAB"/>
    <w:rsid w:val="2583C6C3"/>
    <w:rsid w:val="25990BC5"/>
    <w:rsid w:val="25A7CB81"/>
    <w:rsid w:val="25CFEBE2"/>
    <w:rsid w:val="25D7E412"/>
    <w:rsid w:val="26095376"/>
    <w:rsid w:val="26241761"/>
    <w:rsid w:val="26395A8D"/>
    <w:rsid w:val="26497975"/>
    <w:rsid w:val="26530D79"/>
    <w:rsid w:val="2657B107"/>
    <w:rsid w:val="2657C157"/>
    <w:rsid w:val="26789B7A"/>
    <w:rsid w:val="268BF438"/>
    <w:rsid w:val="268BFA46"/>
    <w:rsid w:val="269128C3"/>
    <w:rsid w:val="26B07B60"/>
    <w:rsid w:val="26CA7F86"/>
    <w:rsid w:val="26D8DF7C"/>
    <w:rsid w:val="27484A6C"/>
    <w:rsid w:val="27583F40"/>
    <w:rsid w:val="2767D34A"/>
    <w:rsid w:val="27729A19"/>
    <w:rsid w:val="2777A1C8"/>
    <w:rsid w:val="277C23D8"/>
    <w:rsid w:val="27835519"/>
    <w:rsid w:val="2788DA70"/>
    <w:rsid w:val="27B7F7BA"/>
    <w:rsid w:val="27D707DD"/>
    <w:rsid w:val="27D7BE62"/>
    <w:rsid w:val="2807C8B3"/>
    <w:rsid w:val="282F7F4E"/>
    <w:rsid w:val="2834E53F"/>
    <w:rsid w:val="2859926C"/>
    <w:rsid w:val="28A0F740"/>
    <w:rsid w:val="29072D51"/>
    <w:rsid w:val="2914E5C9"/>
    <w:rsid w:val="292F94C9"/>
    <w:rsid w:val="293FF819"/>
    <w:rsid w:val="29582E51"/>
    <w:rsid w:val="2967F061"/>
    <w:rsid w:val="2975157E"/>
    <w:rsid w:val="29915316"/>
    <w:rsid w:val="29922ADB"/>
    <w:rsid w:val="29C4E27C"/>
    <w:rsid w:val="29C99722"/>
    <w:rsid w:val="29CCB83F"/>
    <w:rsid w:val="29D2E287"/>
    <w:rsid w:val="29F468E2"/>
    <w:rsid w:val="29F4F54D"/>
    <w:rsid w:val="2A115A7D"/>
    <w:rsid w:val="2A2B5DD8"/>
    <w:rsid w:val="2A424E89"/>
    <w:rsid w:val="2A43C9A9"/>
    <w:rsid w:val="2A5357B1"/>
    <w:rsid w:val="2A555302"/>
    <w:rsid w:val="2A594296"/>
    <w:rsid w:val="2A619FED"/>
    <w:rsid w:val="2A77AAC8"/>
    <w:rsid w:val="2A7E5162"/>
    <w:rsid w:val="2AAECE22"/>
    <w:rsid w:val="2AB1CD83"/>
    <w:rsid w:val="2AD2322D"/>
    <w:rsid w:val="2ADBC5D9"/>
    <w:rsid w:val="2AEC41A3"/>
    <w:rsid w:val="2AED3622"/>
    <w:rsid w:val="2B129443"/>
    <w:rsid w:val="2B18389F"/>
    <w:rsid w:val="2B32CEA1"/>
    <w:rsid w:val="2B3440A3"/>
    <w:rsid w:val="2B3CAC3D"/>
    <w:rsid w:val="2B4D64D2"/>
    <w:rsid w:val="2B782389"/>
    <w:rsid w:val="2B7872A7"/>
    <w:rsid w:val="2BC79DE7"/>
    <w:rsid w:val="2BD1AE1A"/>
    <w:rsid w:val="2BDDB4AA"/>
    <w:rsid w:val="2BE4C5A1"/>
    <w:rsid w:val="2BE7895B"/>
    <w:rsid w:val="2BF115B8"/>
    <w:rsid w:val="2BFFD087"/>
    <w:rsid w:val="2C3AA0F5"/>
    <w:rsid w:val="2C4157BC"/>
    <w:rsid w:val="2C4D32C6"/>
    <w:rsid w:val="2C76C830"/>
    <w:rsid w:val="2C791EB7"/>
    <w:rsid w:val="2C84B957"/>
    <w:rsid w:val="2CBD5F15"/>
    <w:rsid w:val="2CBEA51E"/>
    <w:rsid w:val="2CD01104"/>
    <w:rsid w:val="2CD4B075"/>
    <w:rsid w:val="2D32FB03"/>
    <w:rsid w:val="2D7CEA20"/>
    <w:rsid w:val="2D8CEB2D"/>
    <w:rsid w:val="2D9B738B"/>
    <w:rsid w:val="2D9F5DA2"/>
    <w:rsid w:val="2DA2E69B"/>
    <w:rsid w:val="2DB12E19"/>
    <w:rsid w:val="2DDBD27A"/>
    <w:rsid w:val="2DDEF397"/>
    <w:rsid w:val="2DF9BA23"/>
    <w:rsid w:val="2DFF6F08"/>
    <w:rsid w:val="2E1A3B76"/>
    <w:rsid w:val="2E20B41D"/>
    <w:rsid w:val="2E232D22"/>
    <w:rsid w:val="2E29257B"/>
    <w:rsid w:val="2E5F9329"/>
    <w:rsid w:val="2E613253"/>
    <w:rsid w:val="2E715A7F"/>
    <w:rsid w:val="2EAFC44B"/>
    <w:rsid w:val="2ECEA70D"/>
    <w:rsid w:val="2ECECB64"/>
    <w:rsid w:val="2EE11DCC"/>
    <w:rsid w:val="2EEB5C78"/>
    <w:rsid w:val="2F33A853"/>
    <w:rsid w:val="2F36283D"/>
    <w:rsid w:val="2F4894A8"/>
    <w:rsid w:val="2F6EE8B3"/>
    <w:rsid w:val="2F7045F8"/>
    <w:rsid w:val="2F7AC3F8"/>
    <w:rsid w:val="2F85D9B7"/>
    <w:rsid w:val="2F93BC41"/>
    <w:rsid w:val="2F9B3F69"/>
    <w:rsid w:val="2FB3EC90"/>
    <w:rsid w:val="2FC0E561"/>
    <w:rsid w:val="2FC78415"/>
    <w:rsid w:val="2FDAB76E"/>
    <w:rsid w:val="3003D639"/>
    <w:rsid w:val="30041294"/>
    <w:rsid w:val="301C0C01"/>
    <w:rsid w:val="3022A7F5"/>
    <w:rsid w:val="3029C760"/>
    <w:rsid w:val="30559E44"/>
    <w:rsid w:val="30CF78B4"/>
    <w:rsid w:val="30D5DB4A"/>
    <w:rsid w:val="30DA7F45"/>
    <w:rsid w:val="3103C581"/>
    <w:rsid w:val="31370FCA"/>
    <w:rsid w:val="31662A0F"/>
    <w:rsid w:val="31888D58"/>
    <w:rsid w:val="31B91F81"/>
    <w:rsid w:val="31F34AB0"/>
    <w:rsid w:val="322203FF"/>
    <w:rsid w:val="322F0FA5"/>
    <w:rsid w:val="326ABC94"/>
    <w:rsid w:val="328671F0"/>
    <w:rsid w:val="32AE0F97"/>
    <w:rsid w:val="32C41BB5"/>
    <w:rsid w:val="32D014CB"/>
    <w:rsid w:val="330288C8"/>
    <w:rsid w:val="330C9F74"/>
    <w:rsid w:val="330E1E5C"/>
    <w:rsid w:val="3342D693"/>
    <w:rsid w:val="336CDA5F"/>
    <w:rsid w:val="33986DA9"/>
    <w:rsid w:val="33DFF2F9"/>
    <w:rsid w:val="33E22D15"/>
    <w:rsid w:val="33F5E7FA"/>
    <w:rsid w:val="33FEC1AC"/>
    <w:rsid w:val="341E5E7D"/>
    <w:rsid w:val="344B13FE"/>
    <w:rsid w:val="34688644"/>
    <w:rsid w:val="34871044"/>
    <w:rsid w:val="34A1E81C"/>
    <w:rsid w:val="34CED4AD"/>
    <w:rsid w:val="35016F2A"/>
    <w:rsid w:val="350338CE"/>
    <w:rsid w:val="35489128"/>
    <w:rsid w:val="355A09D5"/>
    <w:rsid w:val="355E23BD"/>
    <w:rsid w:val="356B2093"/>
    <w:rsid w:val="357931D6"/>
    <w:rsid w:val="357B6FF3"/>
    <w:rsid w:val="3581D78C"/>
    <w:rsid w:val="358987E0"/>
    <w:rsid w:val="35BA2EDE"/>
    <w:rsid w:val="35BE2162"/>
    <w:rsid w:val="35D14EAB"/>
    <w:rsid w:val="35EA057C"/>
    <w:rsid w:val="3602FC96"/>
    <w:rsid w:val="360D69BC"/>
    <w:rsid w:val="3657AE40"/>
    <w:rsid w:val="365B309F"/>
    <w:rsid w:val="36B328CD"/>
    <w:rsid w:val="36D413C0"/>
    <w:rsid w:val="36EC78EE"/>
    <w:rsid w:val="36F4710C"/>
    <w:rsid w:val="3704E89B"/>
    <w:rsid w:val="370E3235"/>
    <w:rsid w:val="375DECC5"/>
    <w:rsid w:val="3764771F"/>
    <w:rsid w:val="37978CD8"/>
    <w:rsid w:val="37A04FF2"/>
    <w:rsid w:val="37A6514E"/>
    <w:rsid w:val="37AD3CEA"/>
    <w:rsid w:val="37CDA03C"/>
    <w:rsid w:val="37E06D73"/>
    <w:rsid w:val="37F37EA1"/>
    <w:rsid w:val="3806756F"/>
    <w:rsid w:val="383B1E6E"/>
    <w:rsid w:val="38401430"/>
    <w:rsid w:val="386472D3"/>
    <w:rsid w:val="38C5904B"/>
    <w:rsid w:val="3908EF6D"/>
    <w:rsid w:val="390C2635"/>
    <w:rsid w:val="3914D3EA"/>
    <w:rsid w:val="3920A23A"/>
    <w:rsid w:val="3964738E"/>
    <w:rsid w:val="397CF706"/>
    <w:rsid w:val="397E142B"/>
    <w:rsid w:val="39EF9003"/>
    <w:rsid w:val="3A004334"/>
    <w:rsid w:val="3A035EE8"/>
    <w:rsid w:val="3A0C3FD3"/>
    <w:rsid w:val="3A1BBE1C"/>
    <w:rsid w:val="3A203198"/>
    <w:rsid w:val="3A550D78"/>
    <w:rsid w:val="3A63A8A5"/>
    <w:rsid w:val="3ABA5582"/>
    <w:rsid w:val="3ADDF210"/>
    <w:rsid w:val="3AE9E302"/>
    <w:rsid w:val="3B249794"/>
    <w:rsid w:val="3B35E353"/>
    <w:rsid w:val="3B718F11"/>
    <w:rsid w:val="3B9683F7"/>
    <w:rsid w:val="3B9882C1"/>
    <w:rsid w:val="3BBFD8DD"/>
    <w:rsid w:val="3BC141BC"/>
    <w:rsid w:val="3BCB3C2E"/>
    <w:rsid w:val="3BCC4A55"/>
    <w:rsid w:val="3BCC86DA"/>
    <w:rsid w:val="3BD9D829"/>
    <w:rsid w:val="3BE31758"/>
    <w:rsid w:val="3BE88ECF"/>
    <w:rsid w:val="3BEB04DE"/>
    <w:rsid w:val="3BFF2B0F"/>
    <w:rsid w:val="3C1EA939"/>
    <w:rsid w:val="3C24ECAD"/>
    <w:rsid w:val="3C315DE8"/>
    <w:rsid w:val="3C373C1B"/>
    <w:rsid w:val="3C3CFD86"/>
    <w:rsid w:val="3CAB666A"/>
    <w:rsid w:val="3CB0F58F"/>
    <w:rsid w:val="3CB60DC6"/>
    <w:rsid w:val="3CCEDD4A"/>
    <w:rsid w:val="3D0A1C5D"/>
    <w:rsid w:val="3D0E6EB5"/>
    <w:rsid w:val="3D7577B7"/>
    <w:rsid w:val="3D7EE7B9"/>
    <w:rsid w:val="3D86D53F"/>
    <w:rsid w:val="3D8CFC2E"/>
    <w:rsid w:val="3DF1F644"/>
    <w:rsid w:val="3E2E7950"/>
    <w:rsid w:val="3E3C1F76"/>
    <w:rsid w:val="3E684655"/>
    <w:rsid w:val="3E6CB6A4"/>
    <w:rsid w:val="3E6D248A"/>
    <w:rsid w:val="3E6DA880"/>
    <w:rsid w:val="3E7A8B0D"/>
    <w:rsid w:val="3E7BB6D3"/>
    <w:rsid w:val="3E7DA479"/>
    <w:rsid w:val="3EB277F1"/>
    <w:rsid w:val="3ECB5CD4"/>
    <w:rsid w:val="3EDCA68A"/>
    <w:rsid w:val="3EF5A34C"/>
    <w:rsid w:val="3F68FEAA"/>
    <w:rsid w:val="3F801E77"/>
    <w:rsid w:val="3F90050E"/>
    <w:rsid w:val="3FC2F2EA"/>
    <w:rsid w:val="3FC4A8B7"/>
    <w:rsid w:val="3FD9E0B3"/>
    <w:rsid w:val="3FDB68A8"/>
    <w:rsid w:val="3FDF2077"/>
    <w:rsid w:val="3FEF7860"/>
    <w:rsid w:val="3FFB3D8A"/>
    <w:rsid w:val="3FFD1D85"/>
    <w:rsid w:val="4027F3B7"/>
    <w:rsid w:val="40373D85"/>
    <w:rsid w:val="40552F5C"/>
    <w:rsid w:val="4078B30D"/>
    <w:rsid w:val="40993BDC"/>
    <w:rsid w:val="409FF55C"/>
    <w:rsid w:val="40C2371A"/>
    <w:rsid w:val="411272C2"/>
    <w:rsid w:val="411BEED8"/>
    <w:rsid w:val="411F8CDE"/>
    <w:rsid w:val="414F6C35"/>
    <w:rsid w:val="41911396"/>
    <w:rsid w:val="41B5453B"/>
    <w:rsid w:val="41BC3C6B"/>
    <w:rsid w:val="41CA1B8A"/>
    <w:rsid w:val="41CB205E"/>
    <w:rsid w:val="421853F0"/>
    <w:rsid w:val="42411E05"/>
    <w:rsid w:val="4284D176"/>
    <w:rsid w:val="42CB13FE"/>
    <w:rsid w:val="42E0FEE6"/>
    <w:rsid w:val="42E87743"/>
    <w:rsid w:val="43088F46"/>
    <w:rsid w:val="4322FB7B"/>
    <w:rsid w:val="432EA360"/>
    <w:rsid w:val="43A96225"/>
    <w:rsid w:val="43BB337E"/>
    <w:rsid w:val="43D798BF"/>
    <w:rsid w:val="4403339B"/>
    <w:rsid w:val="4406D3CE"/>
    <w:rsid w:val="443721C3"/>
    <w:rsid w:val="44538F9A"/>
    <w:rsid w:val="446458E5"/>
    <w:rsid w:val="446868FA"/>
    <w:rsid w:val="44796227"/>
    <w:rsid w:val="4488A64E"/>
    <w:rsid w:val="449EE389"/>
    <w:rsid w:val="44A8FB23"/>
    <w:rsid w:val="44BDA129"/>
    <w:rsid w:val="44F2712C"/>
    <w:rsid w:val="44F94093"/>
    <w:rsid w:val="450F1CDD"/>
    <w:rsid w:val="4525EB8D"/>
    <w:rsid w:val="4549E179"/>
    <w:rsid w:val="4557EBC4"/>
    <w:rsid w:val="4567613F"/>
    <w:rsid w:val="45736920"/>
    <w:rsid w:val="4584E48A"/>
    <w:rsid w:val="45D8402E"/>
    <w:rsid w:val="46002946"/>
    <w:rsid w:val="460DD07E"/>
    <w:rsid w:val="4638CD78"/>
    <w:rsid w:val="464B3428"/>
    <w:rsid w:val="46D86A21"/>
    <w:rsid w:val="46EE951F"/>
    <w:rsid w:val="46F7EE99"/>
    <w:rsid w:val="470563FB"/>
    <w:rsid w:val="471E9E97"/>
    <w:rsid w:val="472E2C4C"/>
    <w:rsid w:val="473E7073"/>
    <w:rsid w:val="47415D2C"/>
    <w:rsid w:val="4741DDB6"/>
    <w:rsid w:val="475A32C2"/>
    <w:rsid w:val="47698283"/>
    <w:rsid w:val="479B6D17"/>
    <w:rsid w:val="47AB78B2"/>
    <w:rsid w:val="47D30338"/>
    <w:rsid w:val="47ECDB10"/>
    <w:rsid w:val="47F2B6F3"/>
    <w:rsid w:val="48118FF1"/>
    <w:rsid w:val="48423FE9"/>
    <w:rsid w:val="484339E3"/>
    <w:rsid w:val="485D8C4F"/>
    <w:rsid w:val="485EA663"/>
    <w:rsid w:val="48703D10"/>
    <w:rsid w:val="487F51AD"/>
    <w:rsid w:val="489A2D50"/>
    <w:rsid w:val="48C08A7A"/>
    <w:rsid w:val="48E1F8C5"/>
    <w:rsid w:val="48E403E4"/>
    <w:rsid w:val="48EB2549"/>
    <w:rsid w:val="49431FDE"/>
    <w:rsid w:val="494764F1"/>
    <w:rsid w:val="497C6F81"/>
    <w:rsid w:val="498AEB97"/>
    <w:rsid w:val="49DE0A3F"/>
    <w:rsid w:val="4A0A8262"/>
    <w:rsid w:val="4A0E0F7B"/>
    <w:rsid w:val="4A126B78"/>
    <w:rsid w:val="4A1CBB7A"/>
    <w:rsid w:val="4A2C7BD3"/>
    <w:rsid w:val="4A2DA74E"/>
    <w:rsid w:val="4A5AB97B"/>
    <w:rsid w:val="4A666F7A"/>
    <w:rsid w:val="4A68493A"/>
    <w:rsid w:val="4A6CF55B"/>
    <w:rsid w:val="4A7E1BE5"/>
    <w:rsid w:val="4A9250C5"/>
    <w:rsid w:val="4AADD0F0"/>
    <w:rsid w:val="4AB41A13"/>
    <w:rsid w:val="4AB96915"/>
    <w:rsid w:val="4AB9ED56"/>
    <w:rsid w:val="4AC52978"/>
    <w:rsid w:val="4AD3BACB"/>
    <w:rsid w:val="4AE0E616"/>
    <w:rsid w:val="4AE33552"/>
    <w:rsid w:val="4AF2C1AB"/>
    <w:rsid w:val="4B0808B4"/>
    <w:rsid w:val="4B135628"/>
    <w:rsid w:val="4B2D8414"/>
    <w:rsid w:val="4B428375"/>
    <w:rsid w:val="4B77B8AD"/>
    <w:rsid w:val="4B7E03B8"/>
    <w:rsid w:val="4B89F548"/>
    <w:rsid w:val="4B8F2946"/>
    <w:rsid w:val="4B9BCD85"/>
    <w:rsid w:val="4BB8C369"/>
    <w:rsid w:val="4C2F4DAE"/>
    <w:rsid w:val="4C775850"/>
    <w:rsid w:val="4C9CF3A8"/>
    <w:rsid w:val="4CA4DFF8"/>
    <w:rsid w:val="4CB976D9"/>
    <w:rsid w:val="4CD163EA"/>
    <w:rsid w:val="4CF39C1E"/>
    <w:rsid w:val="4CF53489"/>
    <w:rsid w:val="4CF5EDDF"/>
    <w:rsid w:val="4CFFD870"/>
    <w:rsid w:val="4D1F25A9"/>
    <w:rsid w:val="4D32E9E2"/>
    <w:rsid w:val="4D338AB3"/>
    <w:rsid w:val="4D8FD929"/>
    <w:rsid w:val="4D905EBC"/>
    <w:rsid w:val="4DA4401A"/>
    <w:rsid w:val="4DB6FAD4"/>
    <w:rsid w:val="4DB92719"/>
    <w:rsid w:val="4DD20730"/>
    <w:rsid w:val="4DDF8EE3"/>
    <w:rsid w:val="4DEB6CD4"/>
    <w:rsid w:val="4DF0468D"/>
    <w:rsid w:val="4DF1521B"/>
    <w:rsid w:val="4E1AD614"/>
    <w:rsid w:val="4E6FA619"/>
    <w:rsid w:val="4E973839"/>
    <w:rsid w:val="4E9BA8D1"/>
    <w:rsid w:val="4EABFF70"/>
    <w:rsid w:val="4F39E09D"/>
    <w:rsid w:val="4F7456BC"/>
    <w:rsid w:val="4FA5A2FC"/>
    <w:rsid w:val="4FB2A584"/>
    <w:rsid w:val="4FB9FC15"/>
    <w:rsid w:val="4FC0ADE8"/>
    <w:rsid w:val="4FC22EF5"/>
    <w:rsid w:val="4FEBB551"/>
    <w:rsid w:val="4FEC8A66"/>
    <w:rsid w:val="50021A2C"/>
    <w:rsid w:val="5025B60A"/>
    <w:rsid w:val="5030F775"/>
    <w:rsid w:val="503AF017"/>
    <w:rsid w:val="5073C92D"/>
    <w:rsid w:val="50BA19F4"/>
    <w:rsid w:val="50D5B0FE"/>
    <w:rsid w:val="50F73C6C"/>
    <w:rsid w:val="5105AC05"/>
    <w:rsid w:val="512C7C40"/>
    <w:rsid w:val="512C9FBD"/>
    <w:rsid w:val="51394E79"/>
    <w:rsid w:val="513C0CEE"/>
    <w:rsid w:val="514785B3"/>
    <w:rsid w:val="5154D957"/>
    <w:rsid w:val="515A2CB9"/>
    <w:rsid w:val="515AB37A"/>
    <w:rsid w:val="5189942C"/>
    <w:rsid w:val="518E6F07"/>
    <w:rsid w:val="51B39DEB"/>
    <w:rsid w:val="51BD9417"/>
    <w:rsid w:val="51DA3E9E"/>
    <w:rsid w:val="51DC650E"/>
    <w:rsid w:val="51F61976"/>
    <w:rsid w:val="520B28D8"/>
    <w:rsid w:val="520C8A30"/>
    <w:rsid w:val="521D1EA8"/>
    <w:rsid w:val="5231D1B9"/>
    <w:rsid w:val="523DF1F4"/>
    <w:rsid w:val="524CB0F8"/>
    <w:rsid w:val="524FDC6C"/>
    <w:rsid w:val="52808E44"/>
    <w:rsid w:val="528D8C33"/>
    <w:rsid w:val="52EA9735"/>
    <w:rsid w:val="52F683DB"/>
    <w:rsid w:val="531D6AF4"/>
    <w:rsid w:val="532B3C12"/>
    <w:rsid w:val="5356289B"/>
    <w:rsid w:val="53571CC3"/>
    <w:rsid w:val="536E50A5"/>
    <w:rsid w:val="53F49B46"/>
    <w:rsid w:val="542C57D5"/>
    <w:rsid w:val="5440D6D7"/>
    <w:rsid w:val="5444A6E9"/>
    <w:rsid w:val="54866796"/>
    <w:rsid w:val="548BC155"/>
    <w:rsid w:val="548C1E31"/>
    <w:rsid w:val="54C6A784"/>
    <w:rsid w:val="551D7A46"/>
    <w:rsid w:val="553ACD2D"/>
    <w:rsid w:val="555BC45D"/>
    <w:rsid w:val="55877113"/>
    <w:rsid w:val="55917A70"/>
    <w:rsid w:val="55FA4715"/>
    <w:rsid w:val="5626BF3D"/>
    <w:rsid w:val="56515096"/>
    <w:rsid w:val="5653A29F"/>
    <w:rsid w:val="5658C53A"/>
    <w:rsid w:val="565A9133"/>
    <w:rsid w:val="5694EC9A"/>
    <w:rsid w:val="569C1CFF"/>
    <w:rsid w:val="56B5501E"/>
    <w:rsid w:val="56BBE704"/>
    <w:rsid w:val="56CDF2A9"/>
    <w:rsid w:val="571337A3"/>
    <w:rsid w:val="57139BB8"/>
    <w:rsid w:val="576064AA"/>
    <w:rsid w:val="57710E57"/>
    <w:rsid w:val="5784F404"/>
    <w:rsid w:val="578B1761"/>
    <w:rsid w:val="57A9AA31"/>
    <w:rsid w:val="57C577CC"/>
    <w:rsid w:val="57FBC25C"/>
    <w:rsid w:val="5816885F"/>
    <w:rsid w:val="582211DA"/>
    <w:rsid w:val="5833344A"/>
    <w:rsid w:val="583A46DD"/>
    <w:rsid w:val="583BAD14"/>
    <w:rsid w:val="58808469"/>
    <w:rsid w:val="58D78EE4"/>
    <w:rsid w:val="58ED34F0"/>
    <w:rsid w:val="58EFFF58"/>
    <w:rsid w:val="59257C0D"/>
    <w:rsid w:val="596B54FD"/>
    <w:rsid w:val="597E1866"/>
    <w:rsid w:val="597F34EC"/>
    <w:rsid w:val="59A11DE9"/>
    <w:rsid w:val="59B36FF3"/>
    <w:rsid w:val="59CE6C77"/>
    <w:rsid w:val="59E06C22"/>
    <w:rsid w:val="59FBE8BE"/>
    <w:rsid w:val="5A042829"/>
    <w:rsid w:val="5A50D90D"/>
    <w:rsid w:val="5ADCE256"/>
    <w:rsid w:val="5B19E8C7"/>
    <w:rsid w:val="5B1BD801"/>
    <w:rsid w:val="5B58F1E4"/>
    <w:rsid w:val="5B8AA15E"/>
    <w:rsid w:val="5BE520E3"/>
    <w:rsid w:val="5BF4B413"/>
    <w:rsid w:val="5C00BBF4"/>
    <w:rsid w:val="5C06599F"/>
    <w:rsid w:val="5C28B43C"/>
    <w:rsid w:val="5C490BE7"/>
    <w:rsid w:val="5C5DD38E"/>
    <w:rsid w:val="5C7453BD"/>
    <w:rsid w:val="5C9CFE4B"/>
    <w:rsid w:val="5CA21DFC"/>
    <w:rsid w:val="5CB82296"/>
    <w:rsid w:val="5CD15AEC"/>
    <w:rsid w:val="5CD33402"/>
    <w:rsid w:val="5CD8BEAB"/>
    <w:rsid w:val="5D13F57F"/>
    <w:rsid w:val="5D9C8C55"/>
    <w:rsid w:val="5DA070A6"/>
    <w:rsid w:val="5DA3933E"/>
    <w:rsid w:val="5E1CC49F"/>
    <w:rsid w:val="5E1DBC8B"/>
    <w:rsid w:val="5E1E1829"/>
    <w:rsid w:val="5E518989"/>
    <w:rsid w:val="5E52D424"/>
    <w:rsid w:val="5E736A45"/>
    <w:rsid w:val="5E9BD2AF"/>
    <w:rsid w:val="5EA1DD9A"/>
    <w:rsid w:val="5EB679E1"/>
    <w:rsid w:val="5EBA7EB0"/>
    <w:rsid w:val="5EE1B42A"/>
    <w:rsid w:val="5EF6E386"/>
    <w:rsid w:val="5F03E711"/>
    <w:rsid w:val="5F1FC911"/>
    <w:rsid w:val="5F219722"/>
    <w:rsid w:val="5F433AEC"/>
    <w:rsid w:val="5F560022"/>
    <w:rsid w:val="5F6054FE"/>
    <w:rsid w:val="5F77912E"/>
    <w:rsid w:val="5F798CD6"/>
    <w:rsid w:val="5FA8D362"/>
    <w:rsid w:val="5FD01E78"/>
    <w:rsid w:val="600B9B65"/>
    <w:rsid w:val="604B252D"/>
    <w:rsid w:val="607D848B"/>
    <w:rsid w:val="6091E2CA"/>
    <w:rsid w:val="60A1C908"/>
    <w:rsid w:val="60C26BC8"/>
    <w:rsid w:val="60E3D31A"/>
    <w:rsid w:val="6107EB5E"/>
    <w:rsid w:val="614A7B6A"/>
    <w:rsid w:val="616828D4"/>
    <w:rsid w:val="618C4E4C"/>
    <w:rsid w:val="61981D74"/>
    <w:rsid w:val="61D332E7"/>
    <w:rsid w:val="61D6BAE2"/>
    <w:rsid w:val="61E9C485"/>
    <w:rsid w:val="61FF5250"/>
    <w:rsid w:val="6201B182"/>
    <w:rsid w:val="62236EA0"/>
    <w:rsid w:val="6263F597"/>
    <w:rsid w:val="62729525"/>
    <w:rsid w:val="6275ADC8"/>
    <w:rsid w:val="62AE1920"/>
    <w:rsid w:val="62CAA4D2"/>
    <w:rsid w:val="632E5117"/>
    <w:rsid w:val="633AA146"/>
    <w:rsid w:val="63541830"/>
    <w:rsid w:val="63807F3F"/>
    <w:rsid w:val="63909313"/>
    <w:rsid w:val="6393B24A"/>
    <w:rsid w:val="63972CB3"/>
    <w:rsid w:val="63B76F42"/>
    <w:rsid w:val="63F4F803"/>
    <w:rsid w:val="63F7E64D"/>
    <w:rsid w:val="6433C621"/>
    <w:rsid w:val="647053DB"/>
    <w:rsid w:val="6475FD70"/>
    <w:rsid w:val="6486AF45"/>
    <w:rsid w:val="6493FD46"/>
    <w:rsid w:val="64D671A7"/>
    <w:rsid w:val="64D9A43D"/>
    <w:rsid w:val="64E32CEE"/>
    <w:rsid w:val="64E72B73"/>
    <w:rsid w:val="64FCF8ED"/>
    <w:rsid w:val="64FE1020"/>
    <w:rsid w:val="650E5BA4"/>
    <w:rsid w:val="651C18F8"/>
    <w:rsid w:val="6528FBA5"/>
    <w:rsid w:val="653ADF60"/>
    <w:rsid w:val="657331BA"/>
    <w:rsid w:val="65CF9682"/>
    <w:rsid w:val="65F8D431"/>
    <w:rsid w:val="65FD5706"/>
    <w:rsid w:val="661DEC8D"/>
    <w:rsid w:val="6634766F"/>
    <w:rsid w:val="66490E34"/>
    <w:rsid w:val="666BE920"/>
    <w:rsid w:val="66AB926E"/>
    <w:rsid w:val="66ACA2DA"/>
    <w:rsid w:val="66C65090"/>
    <w:rsid w:val="66D16BE1"/>
    <w:rsid w:val="67203962"/>
    <w:rsid w:val="674EACD8"/>
    <w:rsid w:val="676E9CC0"/>
    <w:rsid w:val="67702C56"/>
    <w:rsid w:val="67849CD0"/>
    <w:rsid w:val="679E0C0F"/>
    <w:rsid w:val="67A37DCB"/>
    <w:rsid w:val="67AF2EE2"/>
    <w:rsid w:val="67AF5CA0"/>
    <w:rsid w:val="67B9BCEE"/>
    <w:rsid w:val="6816E07B"/>
    <w:rsid w:val="681B7152"/>
    <w:rsid w:val="6867AF8C"/>
    <w:rsid w:val="6883CC52"/>
    <w:rsid w:val="688E7FDD"/>
    <w:rsid w:val="68921286"/>
    <w:rsid w:val="68D292A2"/>
    <w:rsid w:val="69110FE0"/>
    <w:rsid w:val="69285CA2"/>
    <w:rsid w:val="693357CA"/>
    <w:rsid w:val="69566E2D"/>
    <w:rsid w:val="6962E381"/>
    <w:rsid w:val="696EB5AC"/>
    <w:rsid w:val="699D7D2F"/>
    <w:rsid w:val="69B741B3"/>
    <w:rsid w:val="69D57B7A"/>
    <w:rsid w:val="6A219616"/>
    <w:rsid w:val="6A2DE2E7"/>
    <w:rsid w:val="6A4A9719"/>
    <w:rsid w:val="6A4AF8B2"/>
    <w:rsid w:val="6A671529"/>
    <w:rsid w:val="6A6784AB"/>
    <w:rsid w:val="6A68D626"/>
    <w:rsid w:val="6A8B51FE"/>
    <w:rsid w:val="6A97D61E"/>
    <w:rsid w:val="6AAAD551"/>
    <w:rsid w:val="6AACE041"/>
    <w:rsid w:val="6AB33315"/>
    <w:rsid w:val="6B115B38"/>
    <w:rsid w:val="6B1625AB"/>
    <w:rsid w:val="6B2F4E08"/>
    <w:rsid w:val="6B4F87D4"/>
    <w:rsid w:val="6B531214"/>
    <w:rsid w:val="6B55A9F3"/>
    <w:rsid w:val="6B65E14E"/>
    <w:rsid w:val="6B77F3E3"/>
    <w:rsid w:val="6B8C3089"/>
    <w:rsid w:val="6B9687BB"/>
    <w:rsid w:val="6B96CA98"/>
    <w:rsid w:val="6BC6209F"/>
    <w:rsid w:val="6BCC25DB"/>
    <w:rsid w:val="6BEB5DE5"/>
    <w:rsid w:val="6C0C4F91"/>
    <w:rsid w:val="6C124520"/>
    <w:rsid w:val="6C1F4E73"/>
    <w:rsid w:val="6C35250C"/>
    <w:rsid w:val="6C40F0DA"/>
    <w:rsid w:val="6C4EB90D"/>
    <w:rsid w:val="6C4EC842"/>
    <w:rsid w:val="6CB288AC"/>
    <w:rsid w:val="6CB29864"/>
    <w:rsid w:val="6CDEAB8A"/>
    <w:rsid w:val="6CF7E688"/>
    <w:rsid w:val="6D302046"/>
    <w:rsid w:val="6D3DA441"/>
    <w:rsid w:val="6D56CC9E"/>
    <w:rsid w:val="6D67C8B4"/>
    <w:rsid w:val="6D6C9802"/>
    <w:rsid w:val="6D709097"/>
    <w:rsid w:val="6D7E3A7A"/>
    <w:rsid w:val="6D8B5C9C"/>
    <w:rsid w:val="6DAB702B"/>
    <w:rsid w:val="6DAEBEA1"/>
    <w:rsid w:val="6DF5A3CE"/>
    <w:rsid w:val="6E03AE26"/>
    <w:rsid w:val="6E2BCFC4"/>
    <w:rsid w:val="6E456F2A"/>
    <w:rsid w:val="6E5C2259"/>
    <w:rsid w:val="6E5C4D64"/>
    <w:rsid w:val="6E788168"/>
    <w:rsid w:val="6E9858D8"/>
    <w:rsid w:val="6EA8BB6A"/>
    <w:rsid w:val="6EB3989E"/>
    <w:rsid w:val="6EBD3176"/>
    <w:rsid w:val="6EC4167E"/>
    <w:rsid w:val="6ED456F8"/>
    <w:rsid w:val="6ED786FC"/>
    <w:rsid w:val="6EF2821B"/>
    <w:rsid w:val="6EFA4BB6"/>
    <w:rsid w:val="6F153DB4"/>
    <w:rsid w:val="6F16824D"/>
    <w:rsid w:val="6F575BE9"/>
    <w:rsid w:val="6F595761"/>
    <w:rsid w:val="6F7678C8"/>
    <w:rsid w:val="6F81C430"/>
    <w:rsid w:val="6F9619D1"/>
    <w:rsid w:val="6FA8B64C"/>
    <w:rsid w:val="6FAD41C2"/>
    <w:rsid w:val="6FC0609E"/>
    <w:rsid w:val="6FCDA24D"/>
    <w:rsid w:val="6FE13B15"/>
    <w:rsid w:val="6FFF04A2"/>
    <w:rsid w:val="7039DFE0"/>
    <w:rsid w:val="7044A058"/>
    <w:rsid w:val="708A520B"/>
    <w:rsid w:val="708E527C"/>
    <w:rsid w:val="71104140"/>
    <w:rsid w:val="71259CD4"/>
    <w:rsid w:val="712A1139"/>
    <w:rsid w:val="712E6C5B"/>
    <w:rsid w:val="712F5AB8"/>
    <w:rsid w:val="718C20AF"/>
    <w:rsid w:val="71A5CE65"/>
    <w:rsid w:val="71A9A6A7"/>
    <w:rsid w:val="71EB068F"/>
    <w:rsid w:val="720BF7BA"/>
    <w:rsid w:val="720F27BE"/>
    <w:rsid w:val="72111564"/>
    <w:rsid w:val="72149F2B"/>
    <w:rsid w:val="72410074"/>
    <w:rsid w:val="724B2FE2"/>
    <w:rsid w:val="72D65EBB"/>
    <w:rsid w:val="730B7505"/>
    <w:rsid w:val="731444FC"/>
    <w:rsid w:val="7336FE43"/>
    <w:rsid w:val="7358EB86"/>
    <w:rsid w:val="735E7CEC"/>
    <w:rsid w:val="73F8D086"/>
    <w:rsid w:val="7417AE94"/>
    <w:rsid w:val="742822F7"/>
    <w:rsid w:val="7449E9EB"/>
    <w:rsid w:val="74722F1C"/>
    <w:rsid w:val="7491AC2D"/>
    <w:rsid w:val="749958C6"/>
    <w:rsid w:val="74A0070F"/>
    <w:rsid w:val="74A38F5F"/>
    <w:rsid w:val="74B2F097"/>
    <w:rsid w:val="74B727CA"/>
    <w:rsid w:val="74BFE033"/>
    <w:rsid w:val="74EEA48D"/>
    <w:rsid w:val="74F4463D"/>
    <w:rsid w:val="74F482F7"/>
    <w:rsid w:val="7501CD0A"/>
    <w:rsid w:val="750E37FD"/>
    <w:rsid w:val="7526FE89"/>
    <w:rsid w:val="753312CF"/>
    <w:rsid w:val="75455F51"/>
    <w:rsid w:val="75550462"/>
    <w:rsid w:val="758311D3"/>
    <w:rsid w:val="75834EE1"/>
    <w:rsid w:val="75899ED8"/>
    <w:rsid w:val="7594E370"/>
    <w:rsid w:val="759EF8DD"/>
    <w:rsid w:val="75A4D46F"/>
    <w:rsid w:val="75AED98F"/>
    <w:rsid w:val="75E0F496"/>
    <w:rsid w:val="75F422BA"/>
    <w:rsid w:val="75FCB035"/>
    <w:rsid w:val="760DFF7D"/>
    <w:rsid w:val="762BA8B7"/>
    <w:rsid w:val="762E99AC"/>
    <w:rsid w:val="76466975"/>
    <w:rsid w:val="765932AF"/>
    <w:rsid w:val="765E539C"/>
    <w:rsid w:val="76983228"/>
    <w:rsid w:val="76C053F0"/>
    <w:rsid w:val="76CA217B"/>
    <w:rsid w:val="76D65476"/>
    <w:rsid w:val="7710535D"/>
    <w:rsid w:val="772C5857"/>
    <w:rsid w:val="77392A14"/>
    <w:rsid w:val="773F992B"/>
    <w:rsid w:val="77467F07"/>
    <w:rsid w:val="7748E373"/>
    <w:rsid w:val="7753BEC2"/>
    <w:rsid w:val="77756C5A"/>
    <w:rsid w:val="777C2128"/>
    <w:rsid w:val="77A9CFDE"/>
    <w:rsid w:val="77ABA8D5"/>
    <w:rsid w:val="77E0AB9D"/>
    <w:rsid w:val="77EB0E3A"/>
    <w:rsid w:val="77F09BE4"/>
    <w:rsid w:val="78116E51"/>
    <w:rsid w:val="781B049E"/>
    <w:rsid w:val="7828251A"/>
    <w:rsid w:val="7835CEF3"/>
    <w:rsid w:val="783982A2"/>
    <w:rsid w:val="78505480"/>
    <w:rsid w:val="78567835"/>
    <w:rsid w:val="788D7F63"/>
    <w:rsid w:val="788E7458"/>
    <w:rsid w:val="78E49582"/>
    <w:rsid w:val="78E92A2F"/>
    <w:rsid w:val="78F9E42E"/>
    <w:rsid w:val="791324F9"/>
    <w:rsid w:val="79426ED4"/>
    <w:rsid w:val="79446794"/>
    <w:rsid w:val="79546C12"/>
    <w:rsid w:val="796BB119"/>
    <w:rsid w:val="797E0A37"/>
    <w:rsid w:val="79A38197"/>
    <w:rsid w:val="79AC69D1"/>
    <w:rsid w:val="79C3F57B"/>
    <w:rsid w:val="79E1A920"/>
    <w:rsid w:val="79E35216"/>
    <w:rsid w:val="79E56D30"/>
    <w:rsid w:val="79E702A1"/>
    <w:rsid w:val="79E8E139"/>
    <w:rsid w:val="7A70CAD6"/>
    <w:rsid w:val="7A871B27"/>
    <w:rsid w:val="7AB5151D"/>
    <w:rsid w:val="7AC12870"/>
    <w:rsid w:val="7AEB4093"/>
    <w:rsid w:val="7B22321B"/>
    <w:rsid w:val="7B521EA4"/>
    <w:rsid w:val="7B5BF49B"/>
    <w:rsid w:val="7B63C47B"/>
    <w:rsid w:val="7BE21C10"/>
    <w:rsid w:val="7BF05DCB"/>
    <w:rsid w:val="7C19F02A"/>
    <w:rsid w:val="7C2A1EEC"/>
    <w:rsid w:val="7C4FC712"/>
    <w:rsid w:val="7C539C83"/>
    <w:rsid w:val="7C6B7E37"/>
    <w:rsid w:val="7C779214"/>
    <w:rsid w:val="7C7B0BCA"/>
    <w:rsid w:val="7C85C07B"/>
    <w:rsid w:val="7CFB963D"/>
    <w:rsid w:val="7D0285A2"/>
    <w:rsid w:val="7D262455"/>
    <w:rsid w:val="7D377ED9"/>
    <w:rsid w:val="7D3FD0BE"/>
    <w:rsid w:val="7DD32212"/>
    <w:rsid w:val="7DF0CC31"/>
    <w:rsid w:val="7E1C1C34"/>
    <w:rsid w:val="7E426D54"/>
    <w:rsid w:val="7E5168F8"/>
    <w:rsid w:val="7E53DB69"/>
    <w:rsid w:val="7E564209"/>
    <w:rsid w:val="7E6DCB66"/>
    <w:rsid w:val="7E89A3A5"/>
    <w:rsid w:val="7EB1452F"/>
    <w:rsid w:val="7F111F26"/>
    <w:rsid w:val="7FB8A75A"/>
    <w:rsid w:val="7FBF426F"/>
    <w:rsid w:val="7FD18AB1"/>
    <w:rsid w:val="7FEC6ECC"/>
    <w:rsid w:val="7FF42BE0"/>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3E57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pt-BR" w:eastAsia="en-US" w:bidi="ar-SA"/>
      </w:rPr>
    </w:rPrDefault>
    <w:pPrDefault/>
  </w:docDefaults>
  <w:latentStyles w:defLockedState="0" w:defUIPriority="0" w:defSemiHidden="0" w:defUnhideWhenUsed="0" w:defQFormat="0" w:count="376">
    <w:lsdException w:name="heading 1" w:uiPriority="9"/>
    <w:lsdException w:name="heading 3" w:semiHidden="1" w:uiPriority="9" w:unhideWhenUsed="1" w:qFormat="1"/>
    <w:lsdException w:name="heading 4" w:semiHidden="1" w:unhideWhenUsed="1"/>
    <w:lsdException w:name="heading 5" w:semiHidden="1"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99"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99"/>
    <w:lsdException w:name="List Paragraph" w:uiPriority="34"/>
    <w:lsdException w:name="Quote" w:uiPriority="29"/>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1A2185"/>
    <w:rPr>
      <w:rFonts w:ascii="Ecofont_Spranq_eco_Sans" w:hAnsi="Ecofont_Spranq_eco_Sans" w:cs="Tahoma"/>
      <w:sz w:val="24"/>
      <w:szCs w:val="24"/>
      <w:lang w:eastAsia="pt-BR"/>
    </w:rPr>
  </w:style>
  <w:style w:type="paragraph" w:styleId="Ttulo1">
    <w:name w:val="heading 1"/>
    <w:basedOn w:val="Normal"/>
    <w:next w:val="Normal"/>
    <w:link w:val="Ttulo1Char"/>
    <w:uiPriority w:val="9"/>
    <w:rsid w:val="00501CB5"/>
    <w:pPr>
      <w:keepNext/>
      <w:keepLines/>
      <w:numPr>
        <w:numId w:val="15"/>
      </w:numPr>
      <w:spacing w:before="480"/>
      <w:outlineLvl w:val="0"/>
    </w:pPr>
    <w:rPr>
      <w:rFonts w:ascii="Arial" w:eastAsiaTheme="majorEastAsia" w:hAnsi="Arial" w:cstheme="majorBidi"/>
      <w:b/>
      <w:bCs/>
      <w:sz w:val="20"/>
      <w:szCs w:val="28"/>
    </w:rPr>
  </w:style>
  <w:style w:type="paragraph" w:styleId="Ttulo2">
    <w:name w:val="heading 2"/>
    <w:basedOn w:val="Normal"/>
    <w:next w:val="Normal"/>
    <w:link w:val="Ttulo2Char"/>
    <w:rsid w:val="00E14B42"/>
    <w:pPr>
      <w:keepNext/>
      <w:numPr>
        <w:ilvl w:val="1"/>
        <w:numId w:val="16"/>
      </w:numPr>
      <w:spacing w:before="120" w:after="120" w:line="276" w:lineRule="auto"/>
      <w:ind w:left="0" w:firstLine="0"/>
      <w:jc w:val="both"/>
      <w:outlineLvl w:val="1"/>
    </w:pPr>
    <w:rPr>
      <w:rFonts w:ascii="Arial" w:hAnsi="Arial" w:cs="Times New Roman"/>
      <w:sz w:val="20"/>
      <w:szCs w:val="20"/>
    </w:rPr>
  </w:style>
  <w:style w:type="paragraph" w:styleId="Ttulo3">
    <w:name w:val="heading 3"/>
    <w:basedOn w:val="Normal"/>
    <w:next w:val="Normal"/>
    <w:link w:val="Ttulo3Char"/>
    <w:uiPriority w:val="9"/>
    <w:semiHidden/>
    <w:unhideWhenUsed/>
    <w:qFormat/>
    <w:rsid w:val="00CB3192"/>
    <w:pPr>
      <w:keepNext/>
      <w:keepLines/>
      <w:spacing w:before="40" w:line="259" w:lineRule="auto"/>
      <w:outlineLvl w:val="2"/>
    </w:pPr>
    <w:rPr>
      <w:rFonts w:asciiTheme="majorHAnsi" w:eastAsiaTheme="majorEastAsia" w:hAnsiTheme="majorHAnsi" w:cstheme="majorBidi"/>
      <w:color w:val="243F60" w:themeColor="accent1" w:themeShade="7F"/>
      <w:lang w:eastAsia="en-US"/>
    </w:rPr>
  </w:style>
  <w:style w:type="paragraph" w:styleId="Ttulo4">
    <w:name w:val="heading 4"/>
    <w:basedOn w:val="Normal"/>
    <w:next w:val="Normal"/>
    <w:link w:val="Ttulo4Char"/>
    <w:unhideWhenUsed/>
    <w:rsid w:val="00A45A85"/>
    <w:pPr>
      <w:keepNext/>
      <w:keepLines/>
      <w:spacing w:before="40"/>
      <w:outlineLvl w:val="3"/>
    </w:pPr>
    <w:rPr>
      <w:rFonts w:asciiTheme="majorHAnsi" w:eastAsiaTheme="majorEastAsia" w:hAnsiTheme="majorHAnsi" w:cstheme="majorBidi"/>
      <w:i/>
      <w:iCs/>
      <w:color w:val="365F91" w:themeColor="accent1" w:themeShade="BF"/>
    </w:rPr>
  </w:style>
  <w:style w:type="paragraph" w:styleId="Ttulo6">
    <w:name w:val="heading 6"/>
    <w:basedOn w:val="Normal"/>
    <w:next w:val="Normal"/>
    <w:link w:val="Ttulo6Char"/>
    <w:uiPriority w:val="9"/>
    <w:semiHidden/>
    <w:unhideWhenUsed/>
    <w:qFormat/>
    <w:rsid w:val="00CB3192"/>
    <w:pPr>
      <w:keepNext/>
      <w:keepLines/>
      <w:spacing w:before="40" w:line="259" w:lineRule="auto"/>
      <w:outlineLvl w:val="5"/>
    </w:pPr>
    <w:rPr>
      <w:rFonts w:asciiTheme="majorHAnsi" w:eastAsiaTheme="majorEastAsia" w:hAnsiTheme="majorHAnsi" w:cstheme="majorBidi"/>
      <w:color w:val="243F60" w:themeColor="accent1" w:themeShade="7F"/>
      <w:sz w:val="22"/>
      <w:szCs w:val="22"/>
      <w:lang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link w:val="PargrafodaListaChar"/>
    <w:uiPriority w:val="34"/>
    <w:rsid w:val="004773FC"/>
    <w:pPr>
      <w:ind w:left="720"/>
      <w:contextualSpacing/>
    </w:pPr>
  </w:style>
  <w:style w:type="paragraph" w:styleId="NormalWeb">
    <w:name w:val="Normal (Web)"/>
    <w:basedOn w:val="Normal"/>
    <w:uiPriority w:val="99"/>
    <w:rsid w:val="006B156A"/>
    <w:pPr>
      <w:spacing w:before="100" w:beforeAutospacing="1" w:after="100" w:afterAutospacing="1"/>
    </w:pPr>
    <w:rPr>
      <w:rFonts w:ascii="Times New Roman" w:hAnsi="Times New Roman" w:cs="Times New Roman"/>
    </w:rPr>
  </w:style>
  <w:style w:type="paragraph" w:styleId="Textodebalo">
    <w:name w:val="Balloon Text"/>
    <w:basedOn w:val="Normal"/>
    <w:link w:val="TextodebaloChar"/>
    <w:uiPriority w:val="99"/>
    <w:rsid w:val="003A73C1"/>
    <w:rPr>
      <w:rFonts w:ascii="Tahoma" w:hAnsi="Tahoma"/>
      <w:sz w:val="16"/>
      <w:szCs w:val="16"/>
    </w:rPr>
  </w:style>
  <w:style w:type="character" w:customStyle="1" w:styleId="TextodebaloChar">
    <w:name w:val="Texto de balão Char"/>
    <w:link w:val="Textodebalo"/>
    <w:uiPriority w:val="99"/>
    <w:rsid w:val="003A73C1"/>
    <w:rPr>
      <w:rFonts w:ascii="Tahoma" w:hAnsi="Tahoma" w:cs="Tahoma"/>
      <w:sz w:val="16"/>
      <w:szCs w:val="16"/>
    </w:rPr>
  </w:style>
  <w:style w:type="character" w:customStyle="1" w:styleId="Ttulo2Char">
    <w:name w:val="Título 2 Char"/>
    <w:link w:val="Ttulo2"/>
    <w:rsid w:val="00E14B42"/>
    <w:rPr>
      <w:rFonts w:ascii="Arial" w:hAnsi="Arial"/>
      <w:lang w:eastAsia="pt-BR"/>
    </w:rPr>
  </w:style>
  <w:style w:type="paragraph" w:customStyle="1" w:styleId="Nvel2">
    <w:name w:val="Nível 2"/>
    <w:basedOn w:val="Normal"/>
    <w:next w:val="Normal"/>
    <w:rsid w:val="00D30A43"/>
    <w:pPr>
      <w:spacing w:after="120"/>
      <w:jc w:val="both"/>
    </w:pPr>
    <w:rPr>
      <w:rFonts w:ascii="Arial" w:hAnsi="Arial" w:cs="Times New Roman"/>
      <w:b/>
      <w:szCs w:val="20"/>
    </w:rPr>
  </w:style>
  <w:style w:type="character" w:customStyle="1" w:styleId="normalchar1">
    <w:name w:val="normal__char1"/>
    <w:rsid w:val="008D51CC"/>
    <w:rPr>
      <w:rFonts w:ascii="Arial" w:hAnsi="Arial" w:cs="Arial" w:hint="default"/>
      <w:strike w:val="0"/>
      <w:dstrike w:val="0"/>
      <w:sz w:val="24"/>
      <w:szCs w:val="24"/>
      <w:u w:val="none"/>
      <w:effect w:val="none"/>
    </w:rPr>
  </w:style>
  <w:style w:type="character" w:customStyle="1" w:styleId="apple-style-span">
    <w:name w:val="apple-style-span"/>
    <w:basedOn w:val="Fontepargpadro"/>
    <w:rsid w:val="00260802"/>
  </w:style>
  <w:style w:type="character" w:styleId="Hyperlink">
    <w:name w:val="Hyperlink"/>
    <w:rsid w:val="00BF1A7F"/>
    <w:rPr>
      <w:color w:val="000080"/>
      <w:u w:val="single"/>
    </w:rPr>
  </w:style>
  <w:style w:type="paragraph" w:styleId="Citao">
    <w:name w:val="Quote"/>
    <w:aliases w:val="TCU,Citação AGU,NotaExplicativa"/>
    <w:basedOn w:val="Normal"/>
    <w:next w:val="Normal"/>
    <w:link w:val="CitaoChar"/>
    <w:uiPriority w:val="29"/>
    <w:rsid w:val="00D30A43"/>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Arial" w:eastAsia="Calibri" w:hAnsi="Arial"/>
      <w:i/>
      <w:iCs/>
      <w:color w:val="000000"/>
      <w:sz w:val="20"/>
      <w:lang w:eastAsia="en-US"/>
    </w:rPr>
  </w:style>
  <w:style w:type="character" w:customStyle="1" w:styleId="CitaoChar">
    <w:name w:val="Citação Char"/>
    <w:aliases w:val="TCU Char,Citação AGU Char,NotaExplicativa Char"/>
    <w:link w:val="Citao"/>
    <w:uiPriority w:val="29"/>
    <w:qFormat/>
    <w:rsid w:val="00080B53"/>
    <w:rPr>
      <w:rFonts w:ascii="Arial" w:eastAsia="Calibri" w:hAnsi="Arial" w:cs="Tahoma"/>
      <w:i/>
      <w:iCs/>
      <w:color w:val="000000"/>
      <w:szCs w:val="24"/>
      <w:shd w:val="clear" w:color="auto" w:fill="FFFFCC"/>
    </w:rPr>
  </w:style>
  <w:style w:type="paragraph" w:styleId="Commarcadores5">
    <w:name w:val="List Bullet 5"/>
    <w:basedOn w:val="Normal"/>
    <w:rsid w:val="001A3A05"/>
    <w:pPr>
      <w:tabs>
        <w:tab w:val="num" w:pos="1492"/>
      </w:tabs>
      <w:ind w:left="1492" w:hanging="360"/>
      <w:contextualSpacing/>
    </w:pPr>
  </w:style>
  <w:style w:type="paragraph" w:customStyle="1" w:styleId="Notaexplicativa">
    <w:name w:val="Nota explicativa"/>
    <w:basedOn w:val="Citao"/>
    <w:link w:val="NotaexplicativaChar"/>
    <w:rsid w:val="00265FB6"/>
    <w:rPr>
      <w:szCs w:val="20"/>
    </w:rPr>
  </w:style>
  <w:style w:type="character" w:customStyle="1" w:styleId="NotaexplicativaChar">
    <w:name w:val="Nota explicativa Char"/>
    <w:basedOn w:val="CitaoChar"/>
    <w:link w:val="Notaexplicativa"/>
    <w:rsid w:val="00265FB6"/>
    <w:rPr>
      <w:rFonts w:ascii="Arial" w:eastAsia="Calibri" w:hAnsi="Arial" w:cs="Tahoma"/>
      <w:i/>
      <w:iCs/>
      <w:color w:val="000000"/>
      <w:szCs w:val="24"/>
      <w:shd w:val="clear" w:color="auto" w:fill="FFFFCC"/>
    </w:rPr>
  </w:style>
  <w:style w:type="paragraph" w:styleId="Cabealho">
    <w:name w:val="header"/>
    <w:basedOn w:val="Normal"/>
    <w:link w:val="CabealhoChar"/>
    <w:uiPriority w:val="99"/>
    <w:rsid w:val="00CA24FB"/>
    <w:pPr>
      <w:tabs>
        <w:tab w:val="center" w:pos="4252"/>
        <w:tab w:val="right" w:pos="8504"/>
      </w:tabs>
    </w:pPr>
  </w:style>
  <w:style w:type="character" w:customStyle="1" w:styleId="CabealhoChar">
    <w:name w:val="Cabeçalho Char"/>
    <w:link w:val="Cabealho"/>
    <w:uiPriority w:val="99"/>
    <w:rsid w:val="00CA24FB"/>
    <w:rPr>
      <w:rFonts w:ascii="Ecofont_Spranq_eco_Sans" w:hAnsi="Ecofont_Spranq_eco_Sans" w:cs="Tahoma"/>
      <w:sz w:val="24"/>
      <w:szCs w:val="24"/>
    </w:rPr>
  </w:style>
  <w:style w:type="paragraph" w:styleId="Rodap">
    <w:name w:val="footer"/>
    <w:basedOn w:val="Normal"/>
    <w:link w:val="RodapChar"/>
    <w:uiPriority w:val="99"/>
    <w:rsid w:val="00CA24FB"/>
    <w:pPr>
      <w:tabs>
        <w:tab w:val="center" w:pos="4252"/>
        <w:tab w:val="right" w:pos="8504"/>
      </w:tabs>
    </w:pPr>
  </w:style>
  <w:style w:type="character" w:customStyle="1" w:styleId="RodapChar">
    <w:name w:val="Rodapé Char"/>
    <w:link w:val="Rodap"/>
    <w:uiPriority w:val="99"/>
    <w:qFormat/>
    <w:rsid w:val="00CA24FB"/>
    <w:rPr>
      <w:rFonts w:ascii="Ecofont_Spranq_eco_Sans" w:hAnsi="Ecofont_Spranq_eco_Sans" w:cs="Tahoma"/>
      <w:sz w:val="24"/>
      <w:szCs w:val="24"/>
    </w:rPr>
  </w:style>
  <w:style w:type="numbering" w:customStyle="1" w:styleId="Estilo1">
    <w:name w:val="Estilo1"/>
    <w:uiPriority w:val="99"/>
    <w:rsid w:val="008C6874"/>
    <w:pPr>
      <w:numPr>
        <w:numId w:val="2"/>
      </w:numPr>
    </w:pPr>
  </w:style>
  <w:style w:type="numbering" w:customStyle="1" w:styleId="Estilo2">
    <w:name w:val="Estilo2"/>
    <w:uiPriority w:val="99"/>
    <w:rsid w:val="00A72B79"/>
    <w:pPr>
      <w:numPr>
        <w:numId w:val="3"/>
      </w:numPr>
    </w:pPr>
  </w:style>
  <w:style w:type="numbering" w:customStyle="1" w:styleId="Estilo3">
    <w:name w:val="Estilo3"/>
    <w:uiPriority w:val="99"/>
    <w:rsid w:val="00A72B79"/>
    <w:pPr>
      <w:numPr>
        <w:numId w:val="4"/>
      </w:numPr>
    </w:pPr>
  </w:style>
  <w:style w:type="numbering" w:customStyle="1" w:styleId="Estilo4">
    <w:name w:val="Estilo4"/>
    <w:uiPriority w:val="99"/>
    <w:rsid w:val="0054016D"/>
    <w:pPr>
      <w:numPr>
        <w:numId w:val="5"/>
      </w:numPr>
    </w:pPr>
  </w:style>
  <w:style w:type="numbering" w:customStyle="1" w:styleId="Estilo5">
    <w:name w:val="Estilo5"/>
    <w:uiPriority w:val="99"/>
    <w:rsid w:val="0054016D"/>
    <w:pPr>
      <w:numPr>
        <w:numId w:val="6"/>
      </w:numPr>
    </w:pPr>
  </w:style>
  <w:style w:type="numbering" w:customStyle="1" w:styleId="Estilo6">
    <w:name w:val="Estilo6"/>
    <w:uiPriority w:val="99"/>
    <w:rsid w:val="0054016D"/>
    <w:pPr>
      <w:numPr>
        <w:numId w:val="7"/>
      </w:numPr>
    </w:pPr>
  </w:style>
  <w:style w:type="character" w:styleId="Refdecomentrio">
    <w:name w:val="annotation reference"/>
    <w:basedOn w:val="Fontepargpadro"/>
    <w:uiPriority w:val="99"/>
    <w:unhideWhenUsed/>
    <w:rsid w:val="00430FDB"/>
    <w:rPr>
      <w:sz w:val="16"/>
      <w:szCs w:val="16"/>
    </w:rPr>
  </w:style>
  <w:style w:type="paragraph" w:styleId="Textodecomentrio">
    <w:name w:val="annotation text"/>
    <w:basedOn w:val="Normal"/>
    <w:link w:val="TextodecomentrioChar"/>
    <w:uiPriority w:val="99"/>
    <w:unhideWhenUsed/>
    <w:rsid w:val="00D30A43"/>
    <w:rPr>
      <w:sz w:val="20"/>
      <w:szCs w:val="20"/>
    </w:rPr>
  </w:style>
  <w:style w:type="character" w:customStyle="1" w:styleId="TextodecomentrioChar">
    <w:name w:val="Texto de comentário Char"/>
    <w:basedOn w:val="Fontepargpadro"/>
    <w:link w:val="Textodecomentrio"/>
    <w:uiPriority w:val="99"/>
    <w:qFormat/>
    <w:rsid w:val="00430FDB"/>
    <w:rPr>
      <w:rFonts w:ascii="Ecofont_Spranq_eco_Sans" w:hAnsi="Ecofont_Spranq_eco_Sans" w:cs="Tahoma"/>
      <w:lang w:eastAsia="pt-BR"/>
    </w:rPr>
  </w:style>
  <w:style w:type="paragraph" w:styleId="Assuntodocomentrio">
    <w:name w:val="annotation subject"/>
    <w:basedOn w:val="Textodecomentrio"/>
    <w:next w:val="Textodecomentrio"/>
    <w:link w:val="AssuntodocomentrioChar"/>
    <w:uiPriority w:val="99"/>
    <w:semiHidden/>
    <w:unhideWhenUsed/>
    <w:rsid w:val="00430FDB"/>
    <w:rPr>
      <w:b/>
      <w:bCs/>
    </w:rPr>
  </w:style>
  <w:style w:type="character" w:customStyle="1" w:styleId="AssuntodocomentrioChar">
    <w:name w:val="Assunto do comentário Char"/>
    <w:basedOn w:val="TextodecomentrioChar"/>
    <w:link w:val="Assuntodocomentrio"/>
    <w:uiPriority w:val="99"/>
    <w:semiHidden/>
    <w:rsid w:val="00430FDB"/>
    <w:rPr>
      <w:rFonts w:ascii="Ecofont_Spranq_eco_Sans" w:hAnsi="Ecofont_Spranq_eco_Sans" w:cs="Tahoma"/>
      <w:b/>
      <w:bCs/>
      <w:lang w:eastAsia="pt-BR"/>
    </w:rPr>
  </w:style>
  <w:style w:type="character" w:customStyle="1" w:styleId="Ttulo4Char">
    <w:name w:val="Título 4 Char"/>
    <w:basedOn w:val="Fontepargpadro"/>
    <w:link w:val="Ttulo4"/>
    <w:rsid w:val="00A45A85"/>
    <w:rPr>
      <w:rFonts w:asciiTheme="majorHAnsi" w:eastAsiaTheme="majorEastAsia" w:hAnsiTheme="majorHAnsi" w:cstheme="majorBidi"/>
      <w:i/>
      <w:iCs/>
      <w:color w:val="365F91" w:themeColor="accent1" w:themeShade="BF"/>
      <w:sz w:val="24"/>
      <w:szCs w:val="24"/>
      <w:lang w:eastAsia="pt-BR"/>
    </w:rPr>
  </w:style>
  <w:style w:type="paragraph" w:customStyle="1" w:styleId="Nivel01">
    <w:name w:val="Nivel 01"/>
    <w:basedOn w:val="Nvel02"/>
    <w:next w:val="Normal"/>
    <w:link w:val="Nivel01Char"/>
    <w:qFormat/>
    <w:rsid w:val="00EF618B"/>
    <w:pPr>
      <w:numPr>
        <w:ilvl w:val="0"/>
      </w:numPr>
      <w:ind w:left="357" w:hanging="357"/>
      <w:outlineLvl w:val="0"/>
    </w:pPr>
    <w:rPr>
      <w:b/>
    </w:rPr>
  </w:style>
  <w:style w:type="paragraph" w:customStyle="1" w:styleId="Nivel01Titulo">
    <w:name w:val="Nivel_01_Titulo"/>
    <w:basedOn w:val="Nivel01"/>
    <w:link w:val="Nivel01TituloChar"/>
    <w:rsid w:val="00E967EA"/>
    <w:pPr>
      <w:jc w:val="left"/>
    </w:pPr>
    <w:rPr>
      <w:rFonts w:cstheme="majorBidi"/>
      <w:spacing w:val="5"/>
      <w:kern w:val="28"/>
      <w:sz w:val="52"/>
      <w:szCs w:val="52"/>
    </w:rPr>
  </w:style>
  <w:style w:type="paragraph" w:styleId="Ttulo">
    <w:name w:val="Title"/>
    <w:basedOn w:val="Normal"/>
    <w:next w:val="Normal"/>
    <w:link w:val="TtuloChar"/>
    <w:rsid w:val="007F77A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rsid w:val="007F77AD"/>
    <w:rPr>
      <w:rFonts w:asciiTheme="majorHAnsi" w:eastAsiaTheme="majorEastAsia" w:hAnsiTheme="majorHAnsi" w:cstheme="majorBidi"/>
      <w:color w:val="17365D" w:themeColor="text2" w:themeShade="BF"/>
      <w:spacing w:val="5"/>
      <w:kern w:val="28"/>
      <w:sz w:val="52"/>
      <w:szCs w:val="52"/>
      <w:lang w:eastAsia="pt-BR"/>
    </w:rPr>
  </w:style>
  <w:style w:type="character" w:customStyle="1" w:styleId="Nivel01Char">
    <w:name w:val="Nivel 01 Char"/>
    <w:basedOn w:val="TtuloChar"/>
    <w:link w:val="Nivel01"/>
    <w:rsid w:val="00EF618B"/>
    <w:rPr>
      <w:rFonts w:ascii="Arial" w:eastAsia="Arial" w:hAnsi="Arial" w:cs="Arial"/>
      <w:b/>
      <w:iCs/>
      <w:color w:val="17365D" w:themeColor="text2" w:themeShade="BF"/>
      <w:spacing w:val="5"/>
      <w:kern w:val="28"/>
      <w:sz w:val="52"/>
      <w:szCs w:val="52"/>
      <w:lang w:eastAsia="pt-BR"/>
    </w:rPr>
  </w:style>
  <w:style w:type="character" w:customStyle="1" w:styleId="Ttulo1Char">
    <w:name w:val="Título 1 Char"/>
    <w:basedOn w:val="Fontepargpadro"/>
    <w:link w:val="Ttulo1"/>
    <w:uiPriority w:val="9"/>
    <w:rsid w:val="00501CB5"/>
    <w:rPr>
      <w:rFonts w:ascii="Arial" w:eastAsiaTheme="majorEastAsia" w:hAnsi="Arial" w:cstheme="majorBidi"/>
      <w:b/>
      <w:bCs/>
      <w:szCs w:val="28"/>
      <w:lang w:eastAsia="pt-BR"/>
    </w:rPr>
  </w:style>
  <w:style w:type="character" w:customStyle="1" w:styleId="Nivel01TituloChar">
    <w:name w:val="Nivel_01_Titulo Char"/>
    <w:basedOn w:val="Nivel01Char"/>
    <w:link w:val="Nivel01Titulo"/>
    <w:qFormat/>
    <w:rsid w:val="00E967EA"/>
    <w:rPr>
      <w:rFonts w:ascii="Arial" w:eastAsiaTheme="majorEastAsia" w:hAnsi="Arial" w:cstheme="majorBidi"/>
      <w:b/>
      <w:bCs w:val="0"/>
      <w:iCs/>
      <w:vanish w:val="0"/>
      <w:color w:val="000000" w:themeColor="text1"/>
      <w:spacing w:val="5"/>
      <w:kern w:val="28"/>
      <w:sz w:val="52"/>
      <w:szCs w:val="52"/>
      <w:lang w:eastAsia="pt-BR"/>
    </w:rPr>
  </w:style>
  <w:style w:type="table" w:styleId="Tabelacomgrade">
    <w:name w:val="Table Grid"/>
    <w:basedOn w:val="Tabelanormal"/>
    <w:rsid w:val="00DB54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DRO">
    <w:name w:val="PADRÃO"/>
    <w:rsid w:val="001E249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7761"/>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D30A43"/>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szCs w:val="20"/>
      <w:lang w:eastAsia="en-US"/>
    </w:rPr>
  </w:style>
  <w:style w:type="paragraph" w:customStyle="1" w:styleId="paragraph">
    <w:name w:val="paragraph"/>
    <w:basedOn w:val="Normal"/>
    <w:rsid w:val="00D30A43"/>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Fontepargpadro"/>
    <w:rsid w:val="0053119E"/>
  </w:style>
  <w:style w:type="character" w:customStyle="1" w:styleId="eop">
    <w:name w:val="eop"/>
    <w:basedOn w:val="Fontepargpadro"/>
    <w:rsid w:val="0053119E"/>
  </w:style>
  <w:style w:type="character" w:customStyle="1" w:styleId="spellingerror">
    <w:name w:val="spellingerror"/>
    <w:basedOn w:val="Fontepargpadro"/>
    <w:rsid w:val="0053119E"/>
  </w:style>
  <w:style w:type="paragraph" w:styleId="Corpodetexto">
    <w:name w:val="Body Text"/>
    <w:basedOn w:val="Normal"/>
    <w:link w:val="CorpodetextoChar"/>
    <w:uiPriority w:val="99"/>
    <w:unhideWhenUsed/>
    <w:rsid w:val="00D30A43"/>
    <w:pPr>
      <w:spacing w:before="100" w:beforeAutospacing="1" w:after="100" w:afterAutospacing="1"/>
    </w:pPr>
    <w:rPr>
      <w:rFonts w:ascii="Times New Roman" w:eastAsia="Times New Roman" w:hAnsi="Times New Roman" w:cs="Times New Roman"/>
    </w:rPr>
  </w:style>
  <w:style w:type="character" w:customStyle="1" w:styleId="CorpodetextoChar">
    <w:name w:val="Corpo de texto Char"/>
    <w:basedOn w:val="Fontepargpadro"/>
    <w:link w:val="Corpodetexto"/>
    <w:uiPriority w:val="99"/>
    <w:rsid w:val="00405763"/>
    <w:rPr>
      <w:rFonts w:eastAsia="Times New Roman"/>
      <w:sz w:val="24"/>
      <w:szCs w:val="24"/>
      <w:lang w:eastAsia="pt-BR"/>
    </w:rPr>
  </w:style>
  <w:style w:type="paragraph" w:customStyle="1" w:styleId="Nivel1">
    <w:name w:val="Nivel1"/>
    <w:basedOn w:val="Ttulo1"/>
    <w:link w:val="Nivel1Char"/>
    <w:rsid w:val="00D30A43"/>
    <w:pPr>
      <w:spacing w:line="276" w:lineRule="auto"/>
      <w:ind w:left="357" w:hanging="357"/>
      <w:jc w:val="both"/>
    </w:pPr>
    <w:rPr>
      <w:rFonts w:cs="Arial"/>
      <w:bCs w:val="0"/>
      <w:color w:val="000000"/>
    </w:rPr>
  </w:style>
  <w:style w:type="character" w:customStyle="1" w:styleId="Nivel1Char">
    <w:name w:val="Nivel1 Char"/>
    <w:basedOn w:val="Ttulo1Char"/>
    <w:link w:val="Nivel1"/>
    <w:rsid w:val="001B6423"/>
    <w:rPr>
      <w:rFonts w:ascii="Arial" w:eastAsiaTheme="majorEastAsia" w:hAnsi="Arial" w:cs="Arial"/>
      <w:b/>
      <w:bCs w:val="0"/>
      <w:color w:val="000000"/>
      <w:szCs w:val="28"/>
      <w:lang w:eastAsia="pt-BR"/>
    </w:rPr>
  </w:style>
  <w:style w:type="paragraph" w:customStyle="1" w:styleId="PargrafodaLista1">
    <w:name w:val="Parágrafo da Lista1"/>
    <w:basedOn w:val="Normal"/>
    <w:rsid w:val="00D30A43"/>
    <w:pPr>
      <w:ind w:left="720"/>
    </w:pPr>
    <w:rPr>
      <w:rFonts w:eastAsia="Times New Roman" w:cs="Ecofont_Spranq_eco_Sans"/>
    </w:rPr>
  </w:style>
  <w:style w:type="paragraph" w:customStyle="1" w:styleId="Nivel2-Opcional">
    <w:name w:val="Nivel 2-Opcional"/>
    <w:basedOn w:val="Normal"/>
    <w:link w:val="Nivel2-OpcionalChar"/>
    <w:autoRedefine/>
    <w:rsid w:val="00EE5824"/>
    <w:pPr>
      <w:numPr>
        <w:ilvl w:val="1"/>
        <w:numId w:val="9"/>
      </w:numPr>
      <w:shd w:val="clear" w:color="auto" w:fill="76923C" w:themeFill="accent3" w:themeFillShade="BF"/>
      <w:spacing w:before="120" w:after="120" w:line="276" w:lineRule="auto"/>
      <w:ind w:left="0" w:firstLine="0"/>
      <w:jc w:val="both"/>
    </w:pPr>
    <w:rPr>
      <w:rFonts w:ascii="Arial" w:eastAsia="Arial" w:hAnsi="Arial" w:cs="Arial"/>
      <w:i/>
      <w:color w:val="FF0000"/>
      <w:sz w:val="20"/>
      <w:szCs w:val="20"/>
    </w:rPr>
  </w:style>
  <w:style w:type="paragraph" w:customStyle="1" w:styleId="Nivel10">
    <w:name w:val="Nivel 1"/>
    <w:basedOn w:val="Nivel2-Opcional"/>
    <w:next w:val="Nivel2-Opcional"/>
    <w:rsid w:val="003629E4"/>
    <w:pPr>
      <w:numPr>
        <w:ilvl w:val="0"/>
        <w:numId w:val="0"/>
      </w:numPr>
      <w:ind w:left="360" w:hanging="360"/>
    </w:pPr>
    <w:rPr>
      <w:b/>
    </w:rPr>
  </w:style>
  <w:style w:type="paragraph" w:customStyle="1" w:styleId="Nivel3-erro">
    <w:name w:val="Nivel 3-erro"/>
    <w:basedOn w:val="Nivel3"/>
    <w:link w:val="Nivel3-erroChar"/>
    <w:autoRedefine/>
    <w:rsid w:val="00667C40"/>
    <w:pPr>
      <w:numPr>
        <w:ilvl w:val="0"/>
        <w:numId w:val="8"/>
      </w:numPr>
      <w:ind w:left="993" w:firstLine="0"/>
    </w:pPr>
  </w:style>
  <w:style w:type="paragraph" w:customStyle="1" w:styleId="Nivel4">
    <w:name w:val="Nivel 4"/>
    <w:basedOn w:val="Nvel4-R"/>
    <w:link w:val="Nivel4Char"/>
    <w:qFormat/>
    <w:rsid w:val="00711273"/>
    <w:rPr>
      <w:i w:val="0"/>
      <w:color w:val="auto"/>
    </w:rPr>
  </w:style>
  <w:style w:type="paragraph" w:customStyle="1" w:styleId="Nivel5">
    <w:name w:val="Nivel 5"/>
    <w:basedOn w:val="Nivel4"/>
    <w:qFormat/>
    <w:rsid w:val="007F2731"/>
    <w:pPr>
      <w:numPr>
        <w:ilvl w:val="4"/>
      </w:numPr>
      <w:ind w:left="851" w:firstLine="0"/>
    </w:pPr>
  </w:style>
  <w:style w:type="character" w:customStyle="1" w:styleId="Nivel4Char">
    <w:name w:val="Nivel 4 Char"/>
    <w:basedOn w:val="Fontepargpadro"/>
    <w:link w:val="Nivel4"/>
    <w:rsid w:val="00711273"/>
    <w:rPr>
      <w:rFonts w:ascii="Arial" w:hAnsi="Arial" w:cs="Arial"/>
      <w:bCs/>
      <w:lang w:eastAsia="pt-BR"/>
    </w:rPr>
  </w:style>
  <w:style w:type="paragraph" w:customStyle="1" w:styleId="textbody">
    <w:name w:val="textbody"/>
    <w:basedOn w:val="Normal"/>
    <w:rsid w:val="00D30A43"/>
    <w:pPr>
      <w:spacing w:before="100" w:beforeAutospacing="1" w:after="100" w:afterAutospacing="1"/>
    </w:pPr>
    <w:rPr>
      <w:rFonts w:ascii="Times New Roman" w:eastAsia="Times New Roman" w:hAnsi="Times New Roman" w:cs="Times New Roman"/>
    </w:rPr>
  </w:style>
  <w:style w:type="paragraph" w:customStyle="1" w:styleId="em0020ementa">
    <w:name w:val="em_0020ementa"/>
    <w:basedOn w:val="Normal"/>
    <w:rsid w:val="00D30A43"/>
    <w:pPr>
      <w:ind w:left="4160"/>
      <w:jc w:val="both"/>
    </w:pPr>
    <w:rPr>
      <w:rFonts w:ascii="Times New Roman" w:eastAsia="Times New Roman" w:hAnsi="Times New Roman" w:cs="Times New Roman"/>
      <w:sz w:val="28"/>
      <w:szCs w:val="28"/>
    </w:rPr>
  </w:style>
  <w:style w:type="character" w:customStyle="1" w:styleId="cp0020corpodespachochar1">
    <w:name w:val="cp_0020corpodespacho__char1"/>
    <w:rsid w:val="00D30A43"/>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D30A43"/>
    <w:rPr>
      <w:rFonts w:ascii="Times New Roman" w:hAnsi="Times New Roman" w:cs="Times New Roman" w:hint="default"/>
      <w:strike w:val="0"/>
      <w:dstrike w:val="0"/>
      <w:sz w:val="28"/>
      <w:szCs w:val="28"/>
      <w:u w:val="none"/>
      <w:effect w:val="none"/>
    </w:rPr>
  </w:style>
  <w:style w:type="paragraph" w:styleId="Reviso">
    <w:name w:val="Revision"/>
    <w:hidden/>
    <w:uiPriority w:val="99"/>
    <w:semiHidden/>
    <w:rsid w:val="00D30A43"/>
    <w:rPr>
      <w:rFonts w:ascii="Ecofont_Spranq_eco_Sans" w:eastAsia="Times New Roman" w:hAnsi="Ecofont_Spranq_eco_Sans" w:cs="Tahoma"/>
      <w:sz w:val="24"/>
      <w:szCs w:val="24"/>
      <w:lang w:eastAsia="pt-BR"/>
    </w:rPr>
  </w:style>
  <w:style w:type="character" w:styleId="Forte">
    <w:name w:val="Strong"/>
    <w:basedOn w:val="Fontepargpadro"/>
    <w:uiPriority w:val="22"/>
    <w:rsid w:val="00D30A43"/>
    <w:rPr>
      <w:b/>
      <w:bCs/>
    </w:rPr>
  </w:style>
  <w:style w:type="character" w:styleId="nfase">
    <w:name w:val="Emphasis"/>
    <w:basedOn w:val="Fontepargpadro"/>
    <w:uiPriority w:val="20"/>
    <w:rsid w:val="00D30A43"/>
    <w:rPr>
      <w:i/>
      <w:iCs/>
    </w:rPr>
  </w:style>
  <w:style w:type="character" w:customStyle="1" w:styleId="Manoel">
    <w:name w:val="Manoel"/>
    <w:rsid w:val="00D30A43"/>
    <w:rPr>
      <w:rFonts w:ascii="Arial" w:hAnsi="Arial" w:cs="Arial"/>
      <w:color w:val="7030A0"/>
      <w:sz w:val="20"/>
    </w:rPr>
  </w:style>
  <w:style w:type="character" w:customStyle="1" w:styleId="ListLabel12">
    <w:name w:val="ListLabel 12"/>
    <w:rsid w:val="00D30A43"/>
    <w:rPr>
      <w:b/>
    </w:rPr>
  </w:style>
  <w:style w:type="paragraph" w:customStyle="1" w:styleId="texto1">
    <w:name w:val="texto1"/>
    <w:basedOn w:val="Normal"/>
    <w:rsid w:val="00D30A43"/>
    <w:pPr>
      <w:spacing w:before="100" w:beforeAutospacing="1" w:after="100" w:afterAutospacing="1"/>
    </w:pPr>
    <w:rPr>
      <w:rFonts w:ascii="Times New Roman" w:eastAsia="Times New Roman" w:hAnsi="Times New Roman" w:cs="Times New Roman"/>
    </w:rPr>
  </w:style>
  <w:style w:type="paragraph" w:customStyle="1" w:styleId="GradeColorida-nfase11">
    <w:name w:val="Grade Colorida - Ênfase 11"/>
    <w:basedOn w:val="Normal"/>
    <w:next w:val="Normal"/>
    <w:link w:val="GradeColorida-nfase1Char"/>
    <w:uiPriority w:val="29"/>
    <w:rsid w:val="00D30A43"/>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Arial" w:eastAsia="Calibri" w:hAnsi="Arial" w:cs="Times New Roman"/>
      <w:i/>
      <w:iCs/>
      <w:color w:val="000000"/>
      <w:sz w:val="20"/>
      <w:lang w:eastAsia="en-US"/>
    </w:rPr>
  </w:style>
  <w:style w:type="character" w:customStyle="1" w:styleId="GradeColorida-nfase1Char">
    <w:name w:val="Grade Colorida - Ênfase 1 Char"/>
    <w:link w:val="GradeColorida-nfase11"/>
    <w:uiPriority w:val="29"/>
    <w:rsid w:val="00D30A43"/>
    <w:rPr>
      <w:rFonts w:ascii="Arial" w:eastAsia="Calibri" w:hAnsi="Arial"/>
      <w:i/>
      <w:iCs/>
      <w:color w:val="000000"/>
      <w:szCs w:val="24"/>
      <w:shd w:val="clear" w:color="auto" w:fill="FFFFCC"/>
    </w:rPr>
  </w:style>
  <w:style w:type="paragraph" w:customStyle="1" w:styleId="xwestern">
    <w:name w:val="x_western"/>
    <w:basedOn w:val="Normal"/>
    <w:rsid w:val="00D30A43"/>
    <w:pPr>
      <w:spacing w:before="100" w:beforeAutospacing="1" w:after="100" w:afterAutospacing="1"/>
    </w:pPr>
    <w:rPr>
      <w:rFonts w:ascii="Times New Roman" w:eastAsia="Times New Roman" w:hAnsi="Times New Roman" w:cs="Times New Roman"/>
    </w:rPr>
  </w:style>
  <w:style w:type="paragraph" w:customStyle="1" w:styleId="TCU-Ac-item9-0">
    <w:name w:val="TCU - Ac - item 9 - §§_0"/>
    <w:basedOn w:val="Normal"/>
    <w:rsid w:val="00D30A43"/>
    <w:pPr>
      <w:ind w:firstLine="1134"/>
      <w:jc w:val="both"/>
    </w:pPr>
    <w:rPr>
      <w:rFonts w:ascii="Times New Roman" w:eastAsia="Times New Roman" w:hAnsi="Times New Roman" w:cs="Times New Roman"/>
      <w:szCs w:val="22"/>
      <w:lang w:eastAsia="en-US"/>
    </w:rPr>
  </w:style>
  <w:style w:type="paragraph" w:customStyle="1" w:styleId="Normal1">
    <w:name w:val="Normal_1"/>
    <w:rsid w:val="00D30A43"/>
    <w:rPr>
      <w:rFonts w:eastAsia="Times New Roman"/>
      <w:sz w:val="24"/>
      <w:szCs w:val="22"/>
    </w:rPr>
  </w:style>
  <w:style w:type="paragraph" w:customStyle="1" w:styleId="tcu-ac-item9-1linha">
    <w:name w:val="tcu_-__ac_-_item_9_-_1ª_linha"/>
    <w:basedOn w:val="Normal"/>
    <w:rsid w:val="00D30A43"/>
    <w:pPr>
      <w:spacing w:before="100" w:beforeAutospacing="1" w:after="100" w:afterAutospacing="1"/>
    </w:pPr>
    <w:rPr>
      <w:rFonts w:ascii="Times New Roman" w:eastAsia="Times New Roman" w:hAnsi="Times New Roman" w:cs="Times New Roman"/>
    </w:rPr>
  </w:style>
  <w:style w:type="paragraph" w:customStyle="1" w:styleId="textojustificadorecuoprimeiralinha">
    <w:name w:val="texto_justificado_recuo_primeira_linha"/>
    <w:basedOn w:val="Normal"/>
    <w:rsid w:val="00D30A43"/>
    <w:pPr>
      <w:spacing w:before="100" w:beforeAutospacing="1" w:after="100" w:afterAutospacing="1"/>
    </w:pPr>
    <w:rPr>
      <w:rFonts w:ascii="Times New Roman" w:eastAsia="Times New Roman" w:hAnsi="Times New Roman" w:cs="Times New Roman"/>
    </w:rPr>
  </w:style>
  <w:style w:type="character" w:customStyle="1" w:styleId="highlight">
    <w:name w:val="highlight"/>
    <w:basedOn w:val="Fontepargpadro"/>
    <w:rsid w:val="00D30A43"/>
  </w:style>
  <w:style w:type="paragraph" w:customStyle="1" w:styleId="textojustificado">
    <w:name w:val="texto_justificado"/>
    <w:basedOn w:val="Normal"/>
    <w:rsid w:val="00D30A43"/>
    <w:pPr>
      <w:spacing w:before="100" w:beforeAutospacing="1" w:after="100" w:afterAutospacing="1"/>
    </w:pPr>
    <w:rPr>
      <w:rFonts w:ascii="Times New Roman" w:eastAsia="Times New Roman" w:hAnsi="Times New Roman" w:cs="Times New Roman"/>
    </w:rPr>
  </w:style>
  <w:style w:type="character" w:styleId="HiperlinkVisitado">
    <w:name w:val="FollowedHyperlink"/>
    <w:basedOn w:val="Fontepargpadro"/>
    <w:uiPriority w:val="99"/>
    <w:semiHidden/>
    <w:unhideWhenUsed/>
    <w:rsid w:val="00D30A43"/>
    <w:rPr>
      <w:color w:val="800080" w:themeColor="followedHyperlink"/>
      <w:u w:val="single"/>
    </w:rPr>
  </w:style>
  <w:style w:type="character" w:customStyle="1" w:styleId="MenoPendente1">
    <w:name w:val="Menção Pendente1"/>
    <w:basedOn w:val="Fontepargpadro"/>
    <w:uiPriority w:val="99"/>
    <w:semiHidden/>
    <w:unhideWhenUsed/>
    <w:rsid w:val="00D30A43"/>
    <w:rPr>
      <w:color w:val="605E5C"/>
      <w:shd w:val="clear" w:color="auto" w:fill="E1DFDD"/>
    </w:rPr>
  </w:style>
  <w:style w:type="character" w:customStyle="1" w:styleId="MenoPendente2">
    <w:name w:val="Menção Pendente2"/>
    <w:basedOn w:val="Fontepargpadro"/>
    <w:uiPriority w:val="99"/>
    <w:semiHidden/>
    <w:unhideWhenUsed/>
    <w:rsid w:val="0063029C"/>
    <w:rPr>
      <w:color w:val="605E5C"/>
      <w:shd w:val="clear" w:color="auto" w:fill="E1DFDD"/>
    </w:rPr>
  </w:style>
  <w:style w:type="character" w:customStyle="1" w:styleId="Nivel2-OpcionalChar">
    <w:name w:val="Nivel 2-Opcional Char"/>
    <w:basedOn w:val="Fontepargpadro"/>
    <w:link w:val="Nivel2-Opcional"/>
    <w:locked/>
    <w:rsid w:val="00EE5824"/>
    <w:rPr>
      <w:rFonts w:ascii="Arial" w:eastAsia="Arial" w:hAnsi="Arial" w:cs="Arial"/>
      <w:i/>
      <w:color w:val="FF0000"/>
      <w:shd w:val="clear" w:color="auto" w:fill="76923C" w:themeFill="accent3" w:themeFillShade="BF"/>
      <w:lang w:eastAsia="pt-BR"/>
    </w:rPr>
  </w:style>
  <w:style w:type="paragraph" w:customStyle="1" w:styleId="Nvel2Opcional">
    <w:name w:val="Nível 2 Opcional"/>
    <w:basedOn w:val="Nivel2-Opcional"/>
    <w:link w:val="Nvel2OpcionalChar"/>
    <w:rsid w:val="00A831D9"/>
    <w:pPr>
      <w:numPr>
        <w:ilvl w:val="0"/>
        <w:numId w:val="0"/>
      </w:numPr>
      <w:ind w:left="432" w:hanging="432"/>
    </w:pPr>
    <w:rPr>
      <w:rFonts w:eastAsia="Times New Roman"/>
      <w:i w:val="0"/>
      <w:noProof/>
    </w:rPr>
  </w:style>
  <w:style w:type="paragraph" w:customStyle="1" w:styleId="Nvel3Opcional">
    <w:name w:val="Nível 3 Opcional"/>
    <w:basedOn w:val="Nivel3-erro"/>
    <w:link w:val="Nvel3OpcionalChar"/>
    <w:rsid w:val="00A831D9"/>
    <w:pPr>
      <w:numPr>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A831D9"/>
    <w:rPr>
      <w:rFonts w:ascii="Arial" w:eastAsia="Times New Roman" w:hAnsi="Arial" w:cs="Arial"/>
      <w:i/>
      <w:noProof/>
      <w:color w:val="FF0000"/>
      <w:lang w:eastAsia="pt-BR"/>
    </w:rPr>
  </w:style>
  <w:style w:type="character" w:customStyle="1" w:styleId="Nvel3OpcionalChar">
    <w:name w:val="Nível 3 Opcional Char"/>
    <w:basedOn w:val="Fontepargpadro"/>
    <w:link w:val="Nvel3Opcional"/>
    <w:rsid w:val="00A831D9"/>
    <w:rPr>
      <w:rFonts w:ascii="Arial" w:eastAsia="Times New Roman" w:hAnsi="Arial" w:cs="Arial"/>
      <w:i/>
      <w:iCs/>
      <w:noProof/>
      <w:color w:val="FF0000"/>
      <w:lang w:eastAsia="pt-BR"/>
    </w:rPr>
  </w:style>
  <w:style w:type="character" w:styleId="TextodoEspaoReservado">
    <w:name w:val="Placeholder Text"/>
    <w:basedOn w:val="Fontepargpadro"/>
    <w:uiPriority w:val="67"/>
    <w:semiHidden/>
    <w:rsid w:val="0029332D"/>
    <w:rPr>
      <w:color w:val="808080"/>
    </w:rPr>
  </w:style>
  <w:style w:type="character" w:customStyle="1" w:styleId="PargrafodaListaChar">
    <w:name w:val="Parágrafo da Lista Char"/>
    <w:basedOn w:val="Fontepargpadro"/>
    <w:link w:val="PargrafodaLista"/>
    <w:uiPriority w:val="34"/>
    <w:rsid w:val="002430F2"/>
    <w:rPr>
      <w:rFonts w:ascii="Ecofont_Spranq_eco_Sans" w:hAnsi="Ecofont_Spranq_eco_Sans" w:cs="Tahoma"/>
      <w:sz w:val="24"/>
      <w:szCs w:val="24"/>
      <w:lang w:eastAsia="pt-BR"/>
    </w:rPr>
  </w:style>
  <w:style w:type="character" w:customStyle="1" w:styleId="Ttulo3Char">
    <w:name w:val="Título 3 Char"/>
    <w:basedOn w:val="Fontepargpadro"/>
    <w:link w:val="Ttulo3"/>
    <w:uiPriority w:val="9"/>
    <w:semiHidden/>
    <w:rsid w:val="00CB3192"/>
    <w:rPr>
      <w:rFonts w:asciiTheme="majorHAnsi" w:eastAsiaTheme="majorEastAsia" w:hAnsiTheme="majorHAnsi" w:cstheme="majorBidi"/>
      <w:color w:val="243F60" w:themeColor="accent1" w:themeShade="7F"/>
      <w:sz w:val="24"/>
      <w:szCs w:val="24"/>
    </w:rPr>
  </w:style>
  <w:style w:type="character" w:customStyle="1" w:styleId="Ttulo6Char">
    <w:name w:val="Título 6 Char"/>
    <w:basedOn w:val="Fontepargpadro"/>
    <w:link w:val="Ttulo6"/>
    <w:uiPriority w:val="9"/>
    <w:semiHidden/>
    <w:rsid w:val="00CB3192"/>
    <w:rPr>
      <w:rFonts w:asciiTheme="majorHAnsi" w:eastAsiaTheme="majorEastAsia" w:hAnsiTheme="majorHAnsi" w:cstheme="majorBidi"/>
      <w:color w:val="243F60" w:themeColor="accent1" w:themeShade="7F"/>
      <w:sz w:val="22"/>
      <w:szCs w:val="22"/>
    </w:rPr>
  </w:style>
  <w:style w:type="paragraph" w:customStyle="1" w:styleId="SombreamentoMdio1-nfase31">
    <w:name w:val="Sombreamento Médio 1 - Ênfase 31"/>
    <w:basedOn w:val="Normal"/>
    <w:next w:val="Normal"/>
    <w:rsid w:val="00CB3192"/>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eastAsia="Calibri"/>
      <w:i/>
      <w:iCs/>
      <w:color w:val="000000"/>
      <w:sz w:val="20"/>
      <w:lang w:eastAsia="zh-CN"/>
    </w:rPr>
  </w:style>
  <w:style w:type="paragraph" w:customStyle="1" w:styleId="corpo">
    <w:name w:val="corpo"/>
    <w:basedOn w:val="Normal"/>
    <w:rsid w:val="00CB3192"/>
    <w:pPr>
      <w:spacing w:before="100" w:beforeAutospacing="1" w:after="100" w:afterAutospacing="1"/>
    </w:pPr>
    <w:rPr>
      <w:rFonts w:ascii="Times New Roman" w:eastAsia="Times New Roman" w:hAnsi="Times New Roman" w:cs="Times New Roman"/>
    </w:rPr>
  </w:style>
  <w:style w:type="paragraph" w:customStyle="1" w:styleId="itemnivel2">
    <w:name w:val="item_nivel2"/>
    <w:basedOn w:val="Normal"/>
    <w:rsid w:val="00CB3192"/>
    <w:pPr>
      <w:spacing w:before="100" w:beforeAutospacing="1" w:after="100" w:afterAutospacing="1"/>
    </w:pPr>
    <w:rPr>
      <w:rFonts w:ascii="Times New Roman" w:eastAsia="Times New Roman" w:hAnsi="Times New Roman" w:cs="Times New Roman"/>
    </w:rPr>
  </w:style>
  <w:style w:type="paragraph" w:customStyle="1" w:styleId="itemnivel1">
    <w:name w:val="item_nivel1"/>
    <w:basedOn w:val="Normal"/>
    <w:rsid w:val="00CB3192"/>
    <w:pPr>
      <w:spacing w:before="100" w:beforeAutospacing="1" w:after="100" w:afterAutospacing="1"/>
    </w:pPr>
    <w:rPr>
      <w:rFonts w:ascii="Times New Roman" w:eastAsia="Times New Roman" w:hAnsi="Times New Roman" w:cs="Times New Roman"/>
    </w:rPr>
  </w:style>
  <w:style w:type="paragraph" w:customStyle="1" w:styleId="itemalinealetra">
    <w:name w:val="item_alinea_letra"/>
    <w:basedOn w:val="Normal"/>
    <w:rsid w:val="00CB3192"/>
    <w:pPr>
      <w:spacing w:before="100" w:beforeAutospacing="1" w:after="100" w:afterAutospacing="1"/>
    </w:pPr>
    <w:rPr>
      <w:rFonts w:ascii="Times New Roman" w:eastAsia="Times New Roman" w:hAnsi="Times New Roman" w:cs="Times New Roman"/>
    </w:rPr>
  </w:style>
  <w:style w:type="character" w:customStyle="1" w:styleId="markedcontent">
    <w:name w:val="markedcontent"/>
    <w:basedOn w:val="Fontepargpadro"/>
    <w:rsid w:val="00CB3192"/>
  </w:style>
  <w:style w:type="paragraph" w:customStyle="1" w:styleId="Standard">
    <w:name w:val="Standard"/>
    <w:rsid w:val="00CB3192"/>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CB3192"/>
    <w:pPr>
      <w:spacing w:after="140" w:line="276" w:lineRule="auto"/>
    </w:pPr>
  </w:style>
  <w:style w:type="character" w:customStyle="1" w:styleId="MenoPendente3">
    <w:name w:val="Menção Pendente3"/>
    <w:basedOn w:val="Fontepargpadro"/>
    <w:uiPriority w:val="99"/>
    <w:semiHidden/>
    <w:unhideWhenUsed/>
    <w:rsid w:val="00CB3192"/>
    <w:rPr>
      <w:color w:val="605E5C"/>
      <w:shd w:val="clear" w:color="auto" w:fill="E1DFDD"/>
    </w:rPr>
  </w:style>
  <w:style w:type="character" w:customStyle="1" w:styleId="MenoPendente4">
    <w:name w:val="Menção Pendente4"/>
    <w:basedOn w:val="Fontepargpadro"/>
    <w:uiPriority w:val="99"/>
    <w:semiHidden/>
    <w:unhideWhenUsed/>
    <w:rsid w:val="00CB3192"/>
    <w:rPr>
      <w:color w:val="605E5C"/>
      <w:shd w:val="clear" w:color="auto" w:fill="E1DFDD"/>
    </w:rPr>
  </w:style>
  <w:style w:type="paragraph" w:customStyle="1" w:styleId="ou">
    <w:name w:val="ou"/>
    <w:basedOn w:val="PargrafodaLista"/>
    <w:link w:val="ouChar"/>
    <w:qFormat/>
    <w:rsid w:val="00057363"/>
    <w:pPr>
      <w:spacing w:before="60" w:after="60" w:line="259" w:lineRule="auto"/>
      <w:ind w:left="0"/>
      <w:contextualSpacing w:val="0"/>
      <w:jc w:val="center"/>
    </w:pPr>
    <w:rPr>
      <w:rFonts w:ascii="Arial" w:eastAsiaTheme="minorHAnsi" w:hAnsi="Arial" w:cs="Arial"/>
      <w:b/>
      <w:bCs/>
      <w:i/>
      <w:iCs/>
      <w:color w:val="FF0000"/>
      <w:sz w:val="20"/>
    </w:rPr>
  </w:style>
  <w:style w:type="character" w:customStyle="1" w:styleId="ouChar">
    <w:name w:val="ou Char"/>
    <w:basedOn w:val="PargrafodaListaChar"/>
    <w:link w:val="ou"/>
    <w:rsid w:val="00057363"/>
    <w:rPr>
      <w:rFonts w:ascii="Arial" w:eastAsiaTheme="minorHAnsi" w:hAnsi="Arial" w:cs="Arial"/>
      <w:b/>
      <w:bCs/>
      <w:i/>
      <w:iCs/>
      <w:color w:val="FF0000"/>
      <w:sz w:val="24"/>
      <w:szCs w:val="24"/>
      <w:lang w:eastAsia="pt-BR"/>
    </w:rPr>
  </w:style>
  <w:style w:type="paragraph" w:customStyle="1" w:styleId="dou-paragraph">
    <w:name w:val="dou-paragraph"/>
    <w:basedOn w:val="Normal"/>
    <w:rsid w:val="00CB3192"/>
    <w:pPr>
      <w:spacing w:before="100" w:beforeAutospacing="1" w:after="100" w:afterAutospacing="1"/>
    </w:pPr>
    <w:rPr>
      <w:rFonts w:ascii="Times New Roman" w:eastAsia="Times New Roman" w:hAnsi="Times New Roman" w:cs="Times New Roman"/>
    </w:rPr>
  </w:style>
  <w:style w:type="paragraph" w:customStyle="1" w:styleId="Nvel02">
    <w:name w:val="Nível 02"/>
    <w:basedOn w:val="Nivel2-Opcional"/>
    <w:link w:val="Nvel02Char"/>
    <w:qFormat/>
    <w:rsid w:val="00DF03D9"/>
    <w:pPr>
      <w:shd w:val="clear" w:color="auto" w:fill="auto"/>
    </w:pPr>
    <w:rPr>
      <w:i w:val="0"/>
      <w:iCs/>
      <w:color w:val="auto"/>
    </w:rPr>
  </w:style>
  <w:style w:type="paragraph" w:customStyle="1" w:styleId="Nvel3-R">
    <w:name w:val="Nível 3-R"/>
    <w:basedOn w:val="Nivel3-erro"/>
    <w:link w:val="Nvel3-RChar"/>
    <w:rsid w:val="0074191C"/>
    <w:pPr>
      <w:ind w:left="1638" w:hanging="504"/>
    </w:pPr>
    <w:rPr>
      <w:rFonts w:cs="Arial"/>
      <w:i/>
      <w:iCs/>
      <w:color w:val="FF0000"/>
    </w:rPr>
  </w:style>
  <w:style w:type="character" w:customStyle="1" w:styleId="Nvel02Char">
    <w:name w:val="Nível 02 Char"/>
    <w:basedOn w:val="Nivel2-OpcionalChar"/>
    <w:link w:val="Nvel02"/>
    <w:rsid w:val="00DF03D9"/>
    <w:rPr>
      <w:rFonts w:ascii="Arial" w:eastAsia="Arial" w:hAnsi="Arial" w:cs="Arial"/>
      <w:i w:val="0"/>
      <w:iCs/>
      <w:color w:val="FF0000"/>
      <w:shd w:val="clear" w:color="auto" w:fill="76923C" w:themeFill="accent3" w:themeFillShade="BF"/>
      <w:lang w:eastAsia="pt-BR"/>
    </w:rPr>
  </w:style>
  <w:style w:type="paragraph" w:customStyle="1" w:styleId="Nvel4-R">
    <w:name w:val="Nível 4-R"/>
    <w:basedOn w:val="Nvel3-Opcional"/>
    <w:link w:val="Nvel4-RChar"/>
    <w:qFormat/>
    <w:rsid w:val="004A0C3A"/>
    <w:pPr>
      <w:numPr>
        <w:ilvl w:val="3"/>
      </w:numPr>
      <w:ind w:left="567" w:firstLine="0"/>
    </w:pPr>
    <w:rPr>
      <w:rFonts w:cs="Arial"/>
      <w:bCs/>
      <w:szCs w:val="20"/>
    </w:rPr>
  </w:style>
  <w:style w:type="character" w:customStyle="1" w:styleId="Nivel3-erroChar">
    <w:name w:val="Nivel 3-erro Char"/>
    <w:basedOn w:val="Fontepargpadro"/>
    <w:link w:val="Nivel3-erro"/>
    <w:rsid w:val="00667C40"/>
    <w:rPr>
      <w:rFonts w:ascii="Arial" w:hAnsi="Arial" w:cs="Tahoma"/>
      <w:szCs w:val="24"/>
      <w:lang w:eastAsia="pt-BR"/>
    </w:rPr>
  </w:style>
  <w:style w:type="character" w:customStyle="1" w:styleId="Nvel3-RChar">
    <w:name w:val="Nível 3-R Char"/>
    <w:basedOn w:val="Nivel3-erroChar"/>
    <w:link w:val="Nvel3-R"/>
    <w:rsid w:val="0074191C"/>
    <w:rPr>
      <w:rFonts w:ascii="Arial" w:hAnsi="Arial" w:cs="Arial"/>
      <w:i/>
      <w:iCs/>
      <w:color w:val="FF0000"/>
      <w:szCs w:val="24"/>
      <w:lang w:eastAsia="pt-BR"/>
    </w:rPr>
  </w:style>
  <w:style w:type="paragraph" w:customStyle="1" w:styleId="Nvel1-SemNum">
    <w:name w:val="Nível 1-Sem Num"/>
    <w:basedOn w:val="Nivel01"/>
    <w:link w:val="Nvel1-SemNumChar"/>
    <w:qFormat/>
    <w:rsid w:val="00E718C4"/>
    <w:pPr>
      <w:numPr>
        <w:numId w:val="0"/>
      </w:numPr>
      <w:jc w:val="left"/>
      <w:outlineLvl w:val="1"/>
    </w:pPr>
    <w:rPr>
      <w:i/>
      <w:iCs w:val="0"/>
      <w:color w:val="FF0000"/>
    </w:rPr>
  </w:style>
  <w:style w:type="character" w:customStyle="1" w:styleId="Nvel4-RChar">
    <w:name w:val="Nível 4-R Char"/>
    <w:basedOn w:val="Nivel4Char"/>
    <w:link w:val="Nvel4-R"/>
    <w:rsid w:val="004A0C3A"/>
    <w:rPr>
      <w:rFonts w:ascii="Arial" w:hAnsi="Arial" w:cs="Arial"/>
      <w:bCs/>
      <w:i/>
      <w:color w:val="FF0000"/>
      <w:lang w:eastAsia="pt-BR"/>
    </w:rPr>
  </w:style>
  <w:style w:type="character" w:customStyle="1" w:styleId="LinkdaInternet">
    <w:name w:val="Link da Internet"/>
    <w:basedOn w:val="Fontepargpadro"/>
    <w:uiPriority w:val="99"/>
    <w:unhideWhenUsed/>
    <w:rsid w:val="00DC41DD"/>
    <w:rPr>
      <w:color w:val="0000FF" w:themeColor="hyperlink"/>
      <w:u w:val="single"/>
    </w:rPr>
  </w:style>
  <w:style w:type="character" w:customStyle="1" w:styleId="Nvel1-SemNumChar">
    <w:name w:val="Nível 1-Sem Num Char"/>
    <w:basedOn w:val="Nivel01Char"/>
    <w:link w:val="Nvel1-SemNum"/>
    <w:rsid w:val="00E718C4"/>
    <w:rPr>
      <w:rFonts w:ascii="Arial" w:eastAsia="Arial" w:hAnsi="Arial" w:cs="Arial"/>
      <w:b/>
      <w:i/>
      <w:iCs w:val="0"/>
      <w:color w:val="FF0000"/>
      <w:spacing w:val="5"/>
      <w:kern w:val="28"/>
      <w:sz w:val="52"/>
      <w:szCs w:val="52"/>
      <w:lang w:eastAsia="pt-BR"/>
    </w:rPr>
  </w:style>
  <w:style w:type="paragraph" w:customStyle="1" w:styleId="citao2">
    <w:name w:val="citação 2"/>
    <w:basedOn w:val="Citao"/>
    <w:link w:val="citao2Char"/>
    <w:rsid w:val="00DC41DD"/>
    <w:pPr>
      <w:overflowPunct w:val="0"/>
    </w:pPr>
    <w:rPr>
      <w:szCs w:val="20"/>
    </w:rPr>
  </w:style>
  <w:style w:type="paragraph" w:customStyle="1" w:styleId="Prembulo">
    <w:name w:val="Preâmbulo"/>
    <w:basedOn w:val="Normal"/>
    <w:link w:val="PrembuloChar"/>
    <w:rsid w:val="00BB19E4"/>
    <w:pPr>
      <w:spacing w:before="480" w:after="120" w:line="360" w:lineRule="auto"/>
      <w:ind w:left="4253" w:right="-17"/>
      <w:jc w:val="both"/>
    </w:pPr>
    <w:rPr>
      <w:rFonts w:ascii="Arial" w:eastAsia="Arial" w:hAnsi="Arial" w:cs="Arial"/>
      <w:bCs/>
      <w:sz w:val="20"/>
      <w:szCs w:val="20"/>
    </w:rPr>
  </w:style>
  <w:style w:type="character" w:customStyle="1" w:styleId="PrembuloChar">
    <w:name w:val="Preâmbulo Char"/>
    <w:basedOn w:val="Fontepargpadro"/>
    <w:link w:val="Prembulo"/>
    <w:rsid w:val="00BB19E4"/>
    <w:rPr>
      <w:rFonts w:ascii="Arial" w:eastAsia="Arial" w:hAnsi="Arial" w:cs="Arial"/>
      <w:bCs/>
      <w:lang w:eastAsia="pt-BR"/>
    </w:rPr>
  </w:style>
  <w:style w:type="character" w:customStyle="1" w:styleId="MenoPendente5">
    <w:name w:val="Menção Pendente5"/>
    <w:basedOn w:val="Fontepargpadro"/>
    <w:uiPriority w:val="99"/>
    <w:semiHidden/>
    <w:unhideWhenUsed/>
    <w:rsid w:val="008D252D"/>
    <w:rPr>
      <w:color w:val="605E5C"/>
      <w:shd w:val="clear" w:color="auto" w:fill="E1DFDD"/>
    </w:rPr>
  </w:style>
  <w:style w:type="character" w:customStyle="1" w:styleId="citao2Char">
    <w:name w:val="citação 2 Char"/>
    <w:basedOn w:val="CitaoChar"/>
    <w:link w:val="citao2"/>
    <w:rsid w:val="00573B28"/>
    <w:rPr>
      <w:rFonts w:ascii="Arial" w:eastAsia="Calibri" w:hAnsi="Arial" w:cs="Tahoma"/>
      <w:i/>
      <w:iCs/>
      <w:color w:val="000000"/>
      <w:szCs w:val="24"/>
      <w:shd w:val="clear" w:color="auto" w:fill="FFFFCC"/>
    </w:rPr>
  </w:style>
  <w:style w:type="paragraph" w:customStyle="1" w:styleId="Nvel1-SemNumerao">
    <w:name w:val="Nível 1-Sem Numeração"/>
    <w:basedOn w:val="Nvel1-SemNum"/>
    <w:link w:val="Nvel1-SemNumeraoChar"/>
    <w:qFormat/>
    <w:rsid w:val="001B4143"/>
    <w:rPr>
      <w:i w:val="0"/>
      <w:color w:val="auto"/>
      <w:lang w:eastAsia="en-US"/>
    </w:rPr>
  </w:style>
  <w:style w:type="character" w:customStyle="1" w:styleId="Nvel1-SemNumeraoChar">
    <w:name w:val="Nível 1-Sem Numeração Char"/>
    <w:basedOn w:val="Nvel1-SemNumChar"/>
    <w:link w:val="Nvel1-SemNumerao"/>
    <w:rsid w:val="001B4143"/>
    <w:rPr>
      <w:rFonts w:ascii="Arial" w:eastAsia="Arial" w:hAnsi="Arial" w:cs="Arial"/>
      <w:b/>
      <w:i w:val="0"/>
      <w:iCs w:val="0"/>
      <w:color w:val="FF0000"/>
      <w:spacing w:val="5"/>
      <w:kern w:val="28"/>
      <w:sz w:val="52"/>
      <w:szCs w:val="52"/>
      <w:lang w:eastAsia="pt-BR"/>
    </w:rPr>
  </w:style>
  <w:style w:type="character" w:customStyle="1" w:styleId="MenoPendente6">
    <w:name w:val="Menção Pendente6"/>
    <w:basedOn w:val="Fontepargpadro"/>
    <w:uiPriority w:val="99"/>
    <w:semiHidden/>
    <w:unhideWhenUsed/>
    <w:rsid w:val="004B478E"/>
    <w:rPr>
      <w:color w:val="605E5C"/>
      <w:shd w:val="clear" w:color="auto" w:fill="E1DFDD"/>
    </w:rPr>
  </w:style>
  <w:style w:type="paragraph" w:customStyle="1" w:styleId="Nivel3">
    <w:name w:val="Nivel 3"/>
    <w:basedOn w:val="Normal"/>
    <w:link w:val="Nivel3Char"/>
    <w:qFormat/>
    <w:rsid w:val="00591FFE"/>
    <w:pPr>
      <w:numPr>
        <w:ilvl w:val="2"/>
        <w:numId w:val="10"/>
      </w:numPr>
      <w:spacing w:before="120" w:after="120" w:line="276" w:lineRule="auto"/>
      <w:ind w:left="284" w:firstLine="0"/>
      <w:jc w:val="both"/>
    </w:pPr>
    <w:rPr>
      <w:rFonts w:ascii="Arial" w:hAnsi="Arial"/>
      <w:sz w:val="20"/>
    </w:rPr>
  </w:style>
  <w:style w:type="paragraph" w:customStyle="1" w:styleId="Alteraes">
    <w:name w:val="Alterações"/>
    <w:basedOn w:val="Nvel02"/>
    <w:link w:val="AlteraesChar"/>
    <w:rsid w:val="00AF5DE1"/>
    <w:rPr>
      <w:color w:val="0000FF"/>
    </w:rPr>
  </w:style>
  <w:style w:type="character" w:customStyle="1" w:styleId="AlteraesChar">
    <w:name w:val="Alterações Char"/>
    <w:basedOn w:val="Nvel02Char"/>
    <w:link w:val="Alteraes"/>
    <w:rsid w:val="00AF5DE1"/>
    <w:rPr>
      <w:rFonts w:ascii="Arial" w:eastAsia="Arial" w:hAnsi="Arial" w:cs="Arial"/>
      <w:i w:val="0"/>
      <w:iCs/>
      <w:color w:val="0000FF"/>
      <w:shd w:val="clear" w:color="auto" w:fill="76923C" w:themeFill="accent3" w:themeFillShade="BF"/>
      <w:lang w:eastAsia="pt-BR"/>
    </w:rPr>
  </w:style>
  <w:style w:type="character" w:customStyle="1" w:styleId="Nivel3Char">
    <w:name w:val="Nivel 3 Char"/>
    <w:basedOn w:val="Fontepargpadro"/>
    <w:link w:val="Nivel3"/>
    <w:rsid w:val="00591FFE"/>
    <w:rPr>
      <w:rFonts w:ascii="Arial" w:hAnsi="Arial" w:cs="Tahoma"/>
      <w:szCs w:val="24"/>
      <w:lang w:eastAsia="pt-BR"/>
    </w:rPr>
  </w:style>
  <w:style w:type="paragraph" w:customStyle="1" w:styleId="TableContents">
    <w:name w:val="Table Contents"/>
    <w:basedOn w:val="Normal"/>
    <w:rsid w:val="005F7663"/>
    <w:pPr>
      <w:widowControl w:val="0"/>
      <w:suppressLineNumbers/>
      <w:suppressAutoHyphens/>
      <w:autoSpaceDN w:val="0"/>
      <w:textAlignment w:val="baseline"/>
    </w:pPr>
    <w:rPr>
      <w:rFonts w:ascii="Times New Roman" w:eastAsia="SimSun" w:hAnsi="Times New Roman"/>
      <w:kern w:val="3"/>
      <w:lang w:eastAsia="zh-CN" w:bidi="hi-IN"/>
    </w:rPr>
  </w:style>
  <w:style w:type="character" w:styleId="MenoPendente">
    <w:name w:val="Unresolved Mention"/>
    <w:basedOn w:val="Fontepargpadro"/>
    <w:uiPriority w:val="99"/>
    <w:semiHidden/>
    <w:unhideWhenUsed/>
    <w:rsid w:val="00793206"/>
    <w:rPr>
      <w:color w:val="605E5C"/>
      <w:shd w:val="clear" w:color="auto" w:fill="E1DFDD"/>
    </w:rPr>
  </w:style>
  <w:style w:type="paragraph" w:customStyle="1" w:styleId="Nivel21">
    <w:name w:val="Nivel 21"/>
    <w:basedOn w:val="Normal"/>
    <w:next w:val="Nivel2-Opcional"/>
    <w:autoRedefine/>
    <w:rsid w:val="00591FFE"/>
    <w:pPr>
      <w:shd w:val="clear" w:color="auto" w:fill="948A54" w:themeFill="background2" w:themeFillShade="80"/>
      <w:spacing w:before="120" w:after="120" w:line="276" w:lineRule="auto"/>
      <w:ind w:left="999" w:hanging="432"/>
      <w:jc w:val="both"/>
    </w:pPr>
    <w:rPr>
      <w:rFonts w:ascii="Arial" w:eastAsia="Arial" w:hAnsi="Arial" w:cs="Arial"/>
      <w:color w:val="000000" w:themeColor="text1"/>
      <w:sz w:val="20"/>
      <w:szCs w:val="20"/>
    </w:rPr>
  </w:style>
  <w:style w:type="paragraph" w:customStyle="1" w:styleId="Nvel2-Opcional">
    <w:name w:val="Nível 2-Opcional"/>
    <w:basedOn w:val="Nvel02"/>
    <w:link w:val="Nvel2-OpcionalChar"/>
    <w:qFormat/>
    <w:rsid w:val="00EE5824"/>
    <w:rPr>
      <w:i/>
      <w:color w:val="FF0000"/>
    </w:rPr>
  </w:style>
  <w:style w:type="character" w:customStyle="1" w:styleId="Nvel2-OpcionalChar">
    <w:name w:val="Nível 2-Opcional Char"/>
    <w:basedOn w:val="Nvel02Char"/>
    <w:link w:val="Nvel2-Opcional"/>
    <w:rsid w:val="00EE5824"/>
    <w:rPr>
      <w:rFonts w:ascii="Arial" w:eastAsia="Arial" w:hAnsi="Arial" w:cs="Arial"/>
      <w:i/>
      <w:iCs/>
      <w:color w:val="FF0000"/>
      <w:shd w:val="clear" w:color="auto" w:fill="76923C" w:themeFill="accent3" w:themeFillShade="BF"/>
      <w:lang w:eastAsia="pt-BR"/>
    </w:rPr>
  </w:style>
  <w:style w:type="paragraph" w:customStyle="1" w:styleId="Nvel3-Opcional">
    <w:name w:val="Nível 3-Opcional"/>
    <w:basedOn w:val="Nivel3"/>
    <w:link w:val="Nvel3-OpcionalChar"/>
    <w:qFormat/>
    <w:rsid w:val="00EE5824"/>
    <w:rPr>
      <w:i/>
      <w:color w:val="FF0000"/>
    </w:rPr>
  </w:style>
  <w:style w:type="character" w:customStyle="1" w:styleId="Nvel3-OpcionalChar">
    <w:name w:val="Nível 3-Opcional Char"/>
    <w:basedOn w:val="Nivel3Char"/>
    <w:link w:val="Nvel3-Opcional"/>
    <w:rsid w:val="00EE5824"/>
    <w:rPr>
      <w:rFonts w:ascii="Arial" w:hAnsi="Arial" w:cs="Tahoma"/>
      <w:i/>
      <w:color w:val="FF0000"/>
      <w:szCs w:val="24"/>
      <w:lang w:eastAsia="pt-BR"/>
    </w:rPr>
  </w:style>
  <w:style w:type="paragraph" w:customStyle="1" w:styleId="Nvel1-SemBlack">
    <w:name w:val="Nível 1-Sem Black"/>
    <w:basedOn w:val="Normal"/>
    <w:link w:val="Nvel1-SemBlackChar"/>
    <w:rsid w:val="00243342"/>
    <w:pPr>
      <w:keepNext/>
      <w:keepLines/>
      <w:tabs>
        <w:tab w:val="left" w:pos="567"/>
      </w:tabs>
      <w:spacing w:before="240" w:after="120" w:line="276" w:lineRule="auto"/>
      <w:jc w:val="both"/>
      <w:outlineLvl w:val="1"/>
    </w:pPr>
    <w:rPr>
      <w:rFonts w:ascii="Arial" w:eastAsiaTheme="majorEastAsia" w:hAnsi="Arial" w:cs="Arial"/>
      <w:b/>
      <w:bCs/>
      <w:sz w:val="20"/>
      <w:szCs w:val="20"/>
    </w:rPr>
  </w:style>
  <w:style w:type="character" w:customStyle="1" w:styleId="Nvel1-SemBlackChar">
    <w:name w:val="Nível 1-Sem Black Char"/>
    <w:basedOn w:val="Fontepargpadro"/>
    <w:link w:val="Nvel1-SemBlack"/>
    <w:rsid w:val="00243342"/>
    <w:rPr>
      <w:rFonts w:ascii="Arial" w:eastAsiaTheme="majorEastAsia" w:hAnsi="Arial" w:cs="Arial"/>
      <w:b/>
      <w:bCs/>
      <w:lang w:eastAsia="pt-BR"/>
    </w:rPr>
  </w:style>
  <w:style w:type="paragraph" w:customStyle="1" w:styleId="Nivel2">
    <w:name w:val="Nivel 2"/>
    <w:basedOn w:val="Normal"/>
    <w:link w:val="Nivel2Char"/>
    <w:rsid w:val="00560FC4"/>
    <w:pPr>
      <w:spacing w:before="120" w:after="120" w:line="276" w:lineRule="auto"/>
      <w:ind w:left="999" w:hanging="432"/>
      <w:jc w:val="both"/>
    </w:pPr>
    <w:rPr>
      <w:rFonts w:ascii="Arial" w:eastAsia="Arial" w:hAnsi="Arial" w:cs="Arial"/>
      <w:color w:val="000000" w:themeColor="text1"/>
      <w:sz w:val="20"/>
      <w:szCs w:val="20"/>
    </w:rPr>
  </w:style>
  <w:style w:type="character" w:customStyle="1" w:styleId="Nivel2Char">
    <w:name w:val="Nivel 2 Char"/>
    <w:basedOn w:val="Fontepargpadro"/>
    <w:link w:val="Nivel2"/>
    <w:locked/>
    <w:rsid w:val="00560FC4"/>
    <w:rPr>
      <w:rFonts w:ascii="Arial" w:eastAsia="Arial" w:hAnsi="Arial" w:cs="Arial"/>
      <w:color w:val="000000" w:themeColor="text1"/>
      <w:lang w:eastAsia="pt-BR"/>
    </w:rPr>
  </w:style>
  <w:style w:type="paragraph" w:customStyle="1" w:styleId="Estilo7">
    <w:name w:val="Estilo7"/>
    <w:basedOn w:val="Nvel02"/>
    <w:qFormat/>
    <w:rsid w:val="00E564A1"/>
  </w:style>
  <w:style w:type="paragraph" w:customStyle="1" w:styleId="Nvel2-Red">
    <w:name w:val="Nível 2 -Red"/>
    <w:basedOn w:val="Nivel2"/>
    <w:link w:val="Nvel2-RedChar"/>
    <w:qFormat/>
    <w:rsid w:val="00747886"/>
    <w:pPr>
      <w:numPr>
        <w:ilvl w:val="1"/>
        <w:numId w:val="1"/>
      </w:numPr>
      <w:tabs>
        <w:tab w:val="clear" w:pos="1492"/>
      </w:tabs>
      <w:ind w:left="0" w:firstLine="0"/>
    </w:pPr>
    <w:rPr>
      <w:i/>
      <w:iCs/>
      <w:color w:val="FF0000"/>
    </w:rPr>
  </w:style>
  <w:style w:type="character" w:customStyle="1" w:styleId="Nvel2-RedChar">
    <w:name w:val="Nível 2 -Red Char"/>
    <w:basedOn w:val="Nivel2Char"/>
    <w:link w:val="Nvel2-Red"/>
    <w:rsid w:val="00747886"/>
    <w:rPr>
      <w:rFonts w:ascii="Arial" w:eastAsia="Arial" w:hAnsi="Arial" w:cs="Arial"/>
      <w:i/>
      <w:iCs/>
      <w:color w:val="FF0000"/>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90597">
      <w:bodyDiv w:val="1"/>
      <w:marLeft w:val="0"/>
      <w:marRight w:val="0"/>
      <w:marTop w:val="0"/>
      <w:marBottom w:val="0"/>
      <w:divBdr>
        <w:top w:val="none" w:sz="0" w:space="0" w:color="auto"/>
        <w:left w:val="none" w:sz="0" w:space="0" w:color="auto"/>
        <w:bottom w:val="none" w:sz="0" w:space="0" w:color="auto"/>
        <w:right w:val="none" w:sz="0" w:space="0" w:color="auto"/>
      </w:divBdr>
    </w:div>
    <w:div w:id="17126013">
      <w:bodyDiv w:val="1"/>
      <w:marLeft w:val="0"/>
      <w:marRight w:val="0"/>
      <w:marTop w:val="0"/>
      <w:marBottom w:val="0"/>
      <w:divBdr>
        <w:top w:val="none" w:sz="0" w:space="0" w:color="auto"/>
        <w:left w:val="none" w:sz="0" w:space="0" w:color="auto"/>
        <w:bottom w:val="none" w:sz="0" w:space="0" w:color="auto"/>
        <w:right w:val="none" w:sz="0" w:space="0" w:color="auto"/>
      </w:divBdr>
      <w:divsChild>
        <w:div w:id="175465708">
          <w:marLeft w:val="0"/>
          <w:marRight w:val="0"/>
          <w:marTop w:val="0"/>
          <w:marBottom w:val="0"/>
          <w:divBdr>
            <w:top w:val="none" w:sz="0" w:space="0" w:color="auto"/>
            <w:left w:val="none" w:sz="0" w:space="0" w:color="auto"/>
            <w:bottom w:val="none" w:sz="0" w:space="0" w:color="auto"/>
            <w:right w:val="none" w:sz="0" w:space="0" w:color="auto"/>
          </w:divBdr>
        </w:div>
        <w:div w:id="186408518">
          <w:marLeft w:val="0"/>
          <w:marRight w:val="0"/>
          <w:marTop w:val="0"/>
          <w:marBottom w:val="0"/>
          <w:divBdr>
            <w:top w:val="none" w:sz="0" w:space="0" w:color="auto"/>
            <w:left w:val="none" w:sz="0" w:space="0" w:color="auto"/>
            <w:bottom w:val="none" w:sz="0" w:space="0" w:color="auto"/>
            <w:right w:val="none" w:sz="0" w:space="0" w:color="auto"/>
          </w:divBdr>
        </w:div>
        <w:div w:id="243612898">
          <w:marLeft w:val="0"/>
          <w:marRight w:val="0"/>
          <w:marTop w:val="0"/>
          <w:marBottom w:val="0"/>
          <w:divBdr>
            <w:top w:val="none" w:sz="0" w:space="0" w:color="auto"/>
            <w:left w:val="none" w:sz="0" w:space="0" w:color="auto"/>
            <w:bottom w:val="none" w:sz="0" w:space="0" w:color="auto"/>
            <w:right w:val="none" w:sz="0" w:space="0" w:color="auto"/>
          </w:divBdr>
        </w:div>
        <w:div w:id="271860742">
          <w:marLeft w:val="0"/>
          <w:marRight w:val="0"/>
          <w:marTop w:val="0"/>
          <w:marBottom w:val="0"/>
          <w:divBdr>
            <w:top w:val="none" w:sz="0" w:space="0" w:color="auto"/>
            <w:left w:val="none" w:sz="0" w:space="0" w:color="auto"/>
            <w:bottom w:val="none" w:sz="0" w:space="0" w:color="auto"/>
            <w:right w:val="none" w:sz="0" w:space="0" w:color="auto"/>
          </w:divBdr>
        </w:div>
        <w:div w:id="498424508">
          <w:marLeft w:val="0"/>
          <w:marRight w:val="0"/>
          <w:marTop w:val="0"/>
          <w:marBottom w:val="0"/>
          <w:divBdr>
            <w:top w:val="none" w:sz="0" w:space="0" w:color="auto"/>
            <w:left w:val="none" w:sz="0" w:space="0" w:color="auto"/>
            <w:bottom w:val="none" w:sz="0" w:space="0" w:color="auto"/>
            <w:right w:val="none" w:sz="0" w:space="0" w:color="auto"/>
          </w:divBdr>
        </w:div>
        <w:div w:id="560091965">
          <w:marLeft w:val="0"/>
          <w:marRight w:val="0"/>
          <w:marTop w:val="0"/>
          <w:marBottom w:val="0"/>
          <w:divBdr>
            <w:top w:val="none" w:sz="0" w:space="0" w:color="auto"/>
            <w:left w:val="none" w:sz="0" w:space="0" w:color="auto"/>
            <w:bottom w:val="none" w:sz="0" w:space="0" w:color="auto"/>
            <w:right w:val="none" w:sz="0" w:space="0" w:color="auto"/>
          </w:divBdr>
        </w:div>
        <w:div w:id="687565184">
          <w:marLeft w:val="0"/>
          <w:marRight w:val="0"/>
          <w:marTop w:val="0"/>
          <w:marBottom w:val="0"/>
          <w:divBdr>
            <w:top w:val="none" w:sz="0" w:space="0" w:color="auto"/>
            <w:left w:val="none" w:sz="0" w:space="0" w:color="auto"/>
            <w:bottom w:val="none" w:sz="0" w:space="0" w:color="auto"/>
            <w:right w:val="none" w:sz="0" w:space="0" w:color="auto"/>
          </w:divBdr>
        </w:div>
        <w:div w:id="852650899">
          <w:marLeft w:val="0"/>
          <w:marRight w:val="0"/>
          <w:marTop w:val="0"/>
          <w:marBottom w:val="0"/>
          <w:divBdr>
            <w:top w:val="none" w:sz="0" w:space="0" w:color="auto"/>
            <w:left w:val="none" w:sz="0" w:space="0" w:color="auto"/>
            <w:bottom w:val="none" w:sz="0" w:space="0" w:color="auto"/>
            <w:right w:val="none" w:sz="0" w:space="0" w:color="auto"/>
          </w:divBdr>
        </w:div>
        <w:div w:id="890460670">
          <w:marLeft w:val="0"/>
          <w:marRight w:val="0"/>
          <w:marTop w:val="0"/>
          <w:marBottom w:val="0"/>
          <w:divBdr>
            <w:top w:val="none" w:sz="0" w:space="0" w:color="auto"/>
            <w:left w:val="none" w:sz="0" w:space="0" w:color="auto"/>
            <w:bottom w:val="none" w:sz="0" w:space="0" w:color="auto"/>
            <w:right w:val="none" w:sz="0" w:space="0" w:color="auto"/>
          </w:divBdr>
        </w:div>
        <w:div w:id="966088428">
          <w:marLeft w:val="0"/>
          <w:marRight w:val="0"/>
          <w:marTop w:val="0"/>
          <w:marBottom w:val="0"/>
          <w:divBdr>
            <w:top w:val="none" w:sz="0" w:space="0" w:color="auto"/>
            <w:left w:val="none" w:sz="0" w:space="0" w:color="auto"/>
            <w:bottom w:val="none" w:sz="0" w:space="0" w:color="auto"/>
            <w:right w:val="none" w:sz="0" w:space="0" w:color="auto"/>
          </w:divBdr>
        </w:div>
        <w:div w:id="1065107424">
          <w:marLeft w:val="0"/>
          <w:marRight w:val="0"/>
          <w:marTop w:val="0"/>
          <w:marBottom w:val="0"/>
          <w:divBdr>
            <w:top w:val="none" w:sz="0" w:space="0" w:color="auto"/>
            <w:left w:val="none" w:sz="0" w:space="0" w:color="auto"/>
            <w:bottom w:val="none" w:sz="0" w:space="0" w:color="auto"/>
            <w:right w:val="none" w:sz="0" w:space="0" w:color="auto"/>
          </w:divBdr>
        </w:div>
        <w:div w:id="1072196534">
          <w:marLeft w:val="0"/>
          <w:marRight w:val="0"/>
          <w:marTop w:val="0"/>
          <w:marBottom w:val="0"/>
          <w:divBdr>
            <w:top w:val="none" w:sz="0" w:space="0" w:color="auto"/>
            <w:left w:val="none" w:sz="0" w:space="0" w:color="auto"/>
            <w:bottom w:val="none" w:sz="0" w:space="0" w:color="auto"/>
            <w:right w:val="none" w:sz="0" w:space="0" w:color="auto"/>
          </w:divBdr>
        </w:div>
        <w:div w:id="1157376618">
          <w:marLeft w:val="0"/>
          <w:marRight w:val="0"/>
          <w:marTop w:val="0"/>
          <w:marBottom w:val="0"/>
          <w:divBdr>
            <w:top w:val="none" w:sz="0" w:space="0" w:color="auto"/>
            <w:left w:val="none" w:sz="0" w:space="0" w:color="auto"/>
            <w:bottom w:val="none" w:sz="0" w:space="0" w:color="auto"/>
            <w:right w:val="none" w:sz="0" w:space="0" w:color="auto"/>
          </w:divBdr>
        </w:div>
        <w:div w:id="1165055455">
          <w:marLeft w:val="0"/>
          <w:marRight w:val="0"/>
          <w:marTop w:val="0"/>
          <w:marBottom w:val="0"/>
          <w:divBdr>
            <w:top w:val="none" w:sz="0" w:space="0" w:color="auto"/>
            <w:left w:val="none" w:sz="0" w:space="0" w:color="auto"/>
            <w:bottom w:val="none" w:sz="0" w:space="0" w:color="auto"/>
            <w:right w:val="none" w:sz="0" w:space="0" w:color="auto"/>
          </w:divBdr>
        </w:div>
        <w:div w:id="1682512375">
          <w:marLeft w:val="0"/>
          <w:marRight w:val="0"/>
          <w:marTop w:val="0"/>
          <w:marBottom w:val="0"/>
          <w:divBdr>
            <w:top w:val="none" w:sz="0" w:space="0" w:color="auto"/>
            <w:left w:val="none" w:sz="0" w:space="0" w:color="auto"/>
            <w:bottom w:val="none" w:sz="0" w:space="0" w:color="auto"/>
            <w:right w:val="none" w:sz="0" w:space="0" w:color="auto"/>
          </w:divBdr>
        </w:div>
        <w:div w:id="1732923114">
          <w:marLeft w:val="0"/>
          <w:marRight w:val="0"/>
          <w:marTop w:val="0"/>
          <w:marBottom w:val="0"/>
          <w:divBdr>
            <w:top w:val="none" w:sz="0" w:space="0" w:color="auto"/>
            <w:left w:val="none" w:sz="0" w:space="0" w:color="auto"/>
            <w:bottom w:val="none" w:sz="0" w:space="0" w:color="auto"/>
            <w:right w:val="none" w:sz="0" w:space="0" w:color="auto"/>
          </w:divBdr>
        </w:div>
        <w:div w:id="2120952302">
          <w:marLeft w:val="0"/>
          <w:marRight w:val="0"/>
          <w:marTop w:val="0"/>
          <w:marBottom w:val="0"/>
          <w:divBdr>
            <w:top w:val="none" w:sz="0" w:space="0" w:color="auto"/>
            <w:left w:val="none" w:sz="0" w:space="0" w:color="auto"/>
            <w:bottom w:val="none" w:sz="0" w:space="0" w:color="auto"/>
            <w:right w:val="none" w:sz="0" w:space="0" w:color="auto"/>
          </w:divBdr>
        </w:div>
        <w:div w:id="2131507158">
          <w:marLeft w:val="0"/>
          <w:marRight w:val="0"/>
          <w:marTop w:val="0"/>
          <w:marBottom w:val="0"/>
          <w:divBdr>
            <w:top w:val="none" w:sz="0" w:space="0" w:color="auto"/>
            <w:left w:val="none" w:sz="0" w:space="0" w:color="auto"/>
            <w:bottom w:val="none" w:sz="0" w:space="0" w:color="auto"/>
            <w:right w:val="none" w:sz="0" w:space="0" w:color="auto"/>
          </w:divBdr>
        </w:div>
      </w:divsChild>
    </w:div>
    <w:div w:id="33234477">
      <w:bodyDiv w:val="1"/>
      <w:marLeft w:val="0"/>
      <w:marRight w:val="0"/>
      <w:marTop w:val="0"/>
      <w:marBottom w:val="0"/>
      <w:divBdr>
        <w:top w:val="none" w:sz="0" w:space="0" w:color="auto"/>
        <w:left w:val="none" w:sz="0" w:space="0" w:color="auto"/>
        <w:bottom w:val="none" w:sz="0" w:space="0" w:color="auto"/>
        <w:right w:val="none" w:sz="0" w:space="0" w:color="auto"/>
      </w:divBdr>
    </w:div>
    <w:div w:id="51514118">
      <w:bodyDiv w:val="1"/>
      <w:marLeft w:val="0"/>
      <w:marRight w:val="0"/>
      <w:marTop w:val="0"/>
      <w:marBottom w:val="0"/>
      <w:divBdr>
        <w:top w:val="none" w:sz="0" w:space="0" w:color="auto"/>
        <w:left w:val="none" w:sz="0" w:space="0" w:color="auto"/>
        <w:bottom w:val="none" w:sz="0" w:space="0" w:color="auto"/>
        <w:right w:val="none" w:sz="0" w:space="0" w:color="auto"/>
      </w:divBdr>
    </w:div>
    <w:div w:id="55786899">
      <w:bodyDiv w:val="1"/>
      <w:marLeft w:val="0"/>
      <w:marRight w:val="0"/>
      <w:marTop w:val="0"/>
      <w:marBottom w:val="0"/>
      <w:divBdr>
        <w:top w:val="none" w:sz="0" w:space="0" w:color="auto"/>
        <w:left w:val="none" w:sz="0" w:space="0" w:color="auto"/>
        <w:bottom w:val="none" w:sz="0" w:space="0" w:color="auto"/>
        <w:right w:val="none" w:sz="0" w:space="0" w:color="auto"/>
      </w:divBdr>
      <w:divsChild>
        <w:div w:id="324365076">
          <w:marLeft w:val="0"/>
          <w:marRight w:val="0"/>
          <w:marTop w:val="0"/>
          <w:marBottom w:val="0"/>
          <w:divBdr>
            <w:top w:val="none" w:sz="0" w:space="0" w:color="auto"/>
            <w:left w:val="none" w:sz="0" w:space="0" w:color="auto"/>
            <w:bottom w:val="none" w:sz="0" w:space="0" w:color="auto"/>
            <w:right w:val="none" w:sz="0" w:space="0" w:color="auto"/>
          </w:divBdr>
        </w:div>
      </w:divsChild>
    </w:div>
    <w:div w:id="58672450">
      <w:bodyDiv w:val="1"/>
      <w:marLeft w:val="0"/>
      <w:marRight w:val="0"/>
      <w:marTop w:val="0"/>
      <w:marBottom w:val="0"/>
      <w:divBdr>
        <w:top w:val="none" w:sz="0" w:space="0" w:color="auto"/>
        <w:left w:val="none" w:sz="0" w:space="0" w:color="auto"/>
        <w:bottom w:val="none" w:sz="0" w:space="0" w:color="auto"/>
        <w:right w:val="none" w:sz="0" w:space="0" w:color="auto"/>
      </w:divBdr>
      <w:divsChild>
        <w:div w:id="260526096">
          <w:marLeft w:val="0"/>
          <w:marRight w:val="0"/>
          <w:marTop w:val="0"/>
          <w:marBottom w:val="0"/>
          <w:divBdr>
            <w:top w:val="none" w:sz="0" w:space="0" w:color="auto"/>
            <w:left w:val="none" w:sz="0" w:space="0" w:color="auto"/>
            <w:bottom w:val="none" w:sz="0" w:space="0" w:color="auto"/>
            <w:right w:val="none" w:sz="0" w:space="0" w:color="auto"/>
          </w:divBdr>
        </w:div>
        <w:div w:id="437605969">
          <w:marLeft w:val="0"/>
          <w:marRight w:val="0"/>
          <w:marTop w:val="0"/>
          <w:marBottom w:val="0"/>
          <w:divBdr>
            <w:top w:val="none" w:sz="0" w:space="0" w:color="auto"/>
            <w:left w:val="none" w:sz="0" w:space="0" w:color="auto"/>
            <w:bottom w:val="none" w:sz="0" w:space="0" w:color="auto"/>
            <w:right w:val="none" w:sz="0" w:space="0" w:color="auto"/>
          </w:divBdr>
        </w:div>
        <w:div w:id="691683516">
          <w:marLeft w:val="0"/>
          <w:marRight w:val="0"/>
          <w:marTop w:val="0"/>
          <w:marBottom w:val="0"/>
          <w:divBdr>
            <w:top w:val="none" w:sz="0" w:space="0" w:color="auto"/>
            <w:left w:val="none" w:sz="0" w:space="0" w:color="auto"/>
            <w:bottom w:val="none" w:sz="0" w:space="0" w:color="auto"/>
            <w:right w:val="none" w:sz="0" w:space="0" w:color="auto"/>
          </w:divBdr>
        </w:div>
        <w:div w:id="854851621">
          <w:marLeft w:val="0"/>
          <w:marRight w:val="0"/>
          <w:marTop w:val="0"/>
          <w:marBottom w:val="0"/>
          <w:divBdr>
            <w:top w:val="none" w:sz="0" w:space="0" w:color="auto"/>
            <w:left w:val="none" w:sz="0" w:space="0" w:color="auto"/>
            <w:bottom w:val="none" w:sz="0" w:space="0" w:color="auto"/>
            <w:right w:val="none" w:sz="0" w:space="0" w:color="auto"/>
          </w:divBdr>
        </w:div>
        <w:div w:id="2105490494">
          <w:marLeft w:val="0"/>
          <w:marRight w:val="0"/>
          <w:marTop w:val="0"/>
          <w:marBottom w:val="0"/>
          <w:divBdr>
            <w:top w:val="none" w:sz="0" w:space="0" w:color="auto"/>
            <w:left w:val="none" w:sz="0" w:space="0" w:color="auto"/>
            <w:bottom w:val="none" w:sz="0" w:space="0" w:color="auto"/>
            <w:right w:val="none" w:sz="0" w:space="0" w:color="auto"/>
          </w:divBdr>
        </w:div>
      </w:divsChild>
    </w:div>
    <w:div w:id="75133221">
      <w:bodyDiv w:val="1"/>
      <w:marLeft w:val="0"/>
      <w:marRight w:val="0"/>
      <w:marTop w:val="0"/>
      <w:marBottom w:val="0"/>
      <w:divBdr>
        <w:top w:val="none" w:sz="0" w:space="0" w:color="auto"/>
        <w:left w:val="none" w:sz="0" w:space="0" w:color="auto"/>
        <w:bottom w:val="none" w:sz="0" w:space="0" w:color="auto"/>
        <w:right w:val="none" w:sz="0" w:space="0" w:color="auto"/>
      </w:divBdr>
    </w:div>
    <w:div w:id="91242416">
      <w:bodyDiv w:val="1"/>
      <w:marLeft w:val="0"/>
      <w:marRight w:val="0"/>
      <w:marTop w:val="0"/>
      <w:marBottom w:val="0"/>
      <w:divBdr>
        <w:top w:val="none" w:sz="0" w:space="0" w:color="auto"/>
        <w:left w:val="none" w:sz="0" w:space="0" w:color="auto"/>
        <w:bottom w:val="none" w:sz="0" w:space="0" w:color="auto"/>
        <w:right w:val="none" w:sz="0" w:space="0" w:color="auto"/>
      </w:divBdr>
    </w:div>
    <w:div w:id="93937323">
      <w:bodyDiv w:val="1"/>
      <w:marLeft w:val="0"/>
      <w:marRight w:val="0"/>
      <w:marTop w:val="0"/>
      <w:marBottom w:val="0"/>
      <w:divBdr>
        <w:top w:val="none" w:sz="0" w:space="0" w:color="auto"/>
        <w:left w:val="none" w:sz="0" w:space="0" w:color="auto"/>
        <w:bottom w:val="none" w:sz="0" w:space="0" w:color="auto"/>
        <w:right w:val="none" w:sz="0" w:space="0" w:color="auto"/>
      </w:divBdr>
      <w:divsChild>
        <w:div w:id="880020242">
          <w:marLeft w:val="0"/>
          <w:marRight w:val="0"/>
          <w:marTop w:val="0"/>
          <w:marBottom w:val="0"/>
          <w:divBdr>
            <w:top w:val="none" w:sz="0" w:space="0" w:color="auto"/>
            <w:left w:val="none" w:sz="0" w:space="0" w:color="auto"/>
            <w:bottom w:val="none" w:sz="0" w:space="0" w:color="auto"/>
            <w:right w:val="none" w:sz="0" w:space="0" w:color="auto"/>
          </w:divBdr>
        </w:div>
        <w:div w:id="1313633999">
          <w:marLeft w:val="0"/>
          <w:marRight w:val="0"/>
          <w:marTop w:val="0"/>
          <w:marBottom w:val="0"/>
          <w:divBdr>
            <w:top w:val="none" w:sz="0" w:space="0" w:color="auto"/>
            <w:left w:val="none" w:sz="0" w:space="0" w:color="auto"/>
            <w:bottom w:val="none" w:sz="0" w:space="0" w:color="auto"/>
            <w:right w:val="none" w:sz="0" w:space="0" w:color="auto"/>
          </w:divBdr>
        </w:div>
      </w:divsChild>
    </w:div>
    <w:div w:id="110445230">
      <w:bodyDiv w:val="1"/>
      <w:marLeft w:val="0"/>
      <w:marRight w:val="0"/>
      <w:marTop w:val="0"/>
      <w:marBottom w:val="0"/>
      <w:divBdr>
        <w:top w:val="none" w:sz="0" w:space="0" w:color="auto"/>
        <w:left w:val="none" w:sz="0" w:space="0" w:color="auto"/>
        <w:bottom w:val="none" w:sz="0" w:space="0" w:color="auto"/>
        <w:right w:val="none" w:sz="0" w:space="0" w:color="auto"/>
      </w:divBdr>
    </w:div>
    <w:div w:id="114174833">
      <w:bodyDiv w:val="1"/>
      <w:marLeft w:val="0"/>
      <w:marRight w:val="0"/>
      <w:marTop w:val="0"/>
      <w:marBottom w:val="0"/>
      <w:divBdr>
        <w:top w:val="none" w:sz="0" w:space="0" w:color="auto"/>
        <w:left w:val="none" w:sz="0" w:space="0" w:color="auto"/>
        <w:bottom w:val="none" w:sz="0" w:space="0" w:color="auto"/>
        <w:right w:val="none" w:sz="0" w:space="0" w:color="auto"/>
      </w:divBdr>
    </w:div>
    <w:div w:id="114831466">
      <w:bodyDiv w:val="1"/>
      <w:marLeft w:val="0"/>
      <w:marRight w:val="0"/>
      <w:marTop w:val="0"/>
      <w:marBottom w:val="0"/>
      <w:divBdr>
        <w:top w:val="none" w:sz="0" w:space="0" w:color="auto"/>
        <w:left w:val="none" w:sz="0" w:space="0" w:color="auto"/>
        <w:bottom w:val="none" w:sz="0" w:space="0" w:color="auto"/>
        <w:right w:val="none" w:sz="0" w:space="0" w:color="auto"/>
      </w:divBdr>
      <w:divsChild>
        <w:div w:id="1091198542">
          <w:marLeft w:val="0"/>
          <w:marRight w:val="0"/>
          <w:marTop w:val="0"/>
          <w:marBottom w:val="0"/>
          <w:divBdr>
            <w:top w:val="none" w:sz="0" w:space="0" w:color="auto"/>
            <w:left w:val="none" w:sz="0" w:space="0" w:color="auto"/>
            <w:bottom w:val="none" w:sz="0" w:space="0" w:color="auto"/>
            <w:right w:val="none" w:sz="0" w:space="0" w:color="auto"/>
          </w:divBdr>
        </w:div>
      </w:divsChild>
    </w:div>
    <w:div w:id="147136449">
      <w:bodyDiv w:val="1"/>
      <w:marLeft w:val="0"/>
      <w:marRight w:val="0"/>
      <w:marTop w:val="0"/>
      <w:marBottom w:val="0"/>
      <w:divBdr>
        <w:top w:val="none" w:sz="0" w:space="0" w:color="auto"/>
        <w:left w:val="none" w:sz="0" w:space="0" w:color="auto"/>
        <w:bottom w:val="none" w:sz="0" w:space="0" w:color="auto"/>
        <w:right w:val="none" w:sz="0" w:space="0" w:color="auto"/>
      </w:divBdr>
    </w:div>
    <w:div w:id="197787983">
      <w:bodyDiv w:val="1"/>
      <w:marLeft w:val="0"/>
      <w:marRight w:val="0"/>
      <w:marTop w:val="0"/>
      <w:marBottom w:val="0"/>
      <w:divBdr>
        <w:top w:val="none" w:sz="0" w:space="0" w:color="auto"/>
        <w:left w:val="none" w:sz="0" w:space="0" w:color="auto"/>
        <w:bottom w:val="none" w:sz="0" w:space="0" w:color="auto"/>
        <w:right w:val="none" w:sz="0" w:space="0" w:color="auto"/>
      </w:divBdr>
    </w:div>
    <w:div w:id="198200837">
      <w:bodyDiv w:val="1"/>
      <w:marLeft w:val="0"/>
      <w:marRight w:val="0"/>
      <w:marTop w:val="0"/>
      <w:marBottom w:val="0"/>
      <w:divBdr>
        <w:top w:val="none" w:sz="0" w:space="0" w:color="auto"/>
        <w:left w:val="none" w:sz="0" w:space="0" w:color="auto"/>
        <w:bottom w:val="none" w:sz="0" w:space="0" w:color="auto"/>
        <w:right w:val="none" w:sz="0" w:space="0" w:color="auto"/>
      </w:divBdr>
    </w:div>
    <w:div w:id="207180391">
      <w:bodyDiv w:val="1"/>
      <w:marLeft w:val="0"/>
      <w:marRight w:val="0"/>
      <w:marTop w:val="0"/>
      <w:marBottom w:val="0"/>
      <w:divBdr>
        <w:top w:val="none" w:sz="0" w:space="0" w:color="auto"/>
        <w:left w:val="none" w:sz="0" w:space="0" w:color="auto"/>
        <w:bottom w:val="none" w:sz="0" w:space="0" w:color="auto"/>
        <w:right w:val="none" w:sz="0" w:space="0" w:color="auto"/>
      </w:divBdr>
    </w:div>
    <w:div w:id="215820827">
      <w:bodyDiv w:val="1"/>
      <w:marLeft w:val="0"/>
      <w:marRight w:val="0"/>
      <w:marTop w:val="0"/>
      <w:marBottom w:val="0"/>
      <w:divBdr>
        <w:top w:val="none" w:sz="0" w:space="0" w:color="auto"/>
        <w:left w:val="none" w:sz="0" w:space="0" w:color="auto"/>
        <w:bottom w:val="none" w:sz="0" w:space="0" w:color="auto"/>
        <w:right w:val="none" w:sz="0" w:space="0" w:color="auto"/>
      </w:divBdr>
    </w:div>
    <w:div w:id="224342292">
      <w:bodyDiv w:val="1"/>
      <w:marLeft w:val="0"/>
      <w:marRight w:val="0"/>
      <w:marTop w:val="0"/>
      <w:marBottom w:val="0"/>
      <w:divBdr>
        <w:top w:val="none" w:sz="0" w:space="0" w:color="auto"/>
        <w:left w:val="none" w:sz="0" w:space="0" w:color="auto"/>
        <w:bottom w:val="none" w:sz="0" w:space="0" w:color="auto"/>
        <w:right w:val="none" w:sz="0" w:space="0" w:color="auto"/>
      </w:divBdr>
      <w:divsChild>
        <w:div w:id="18818001">
          <w:marLeft w:val="0"/>
          <w:marRight w:val="0"/>
          <w:marTop w:val="0"/>
          <w:marBottom w:val="0"/>
          <w:divBdr>
            <w:top w:val="none" w:sz="0" w:space="0" w:color="auto"/>
            <w:left w:val="none" w:sz="0" w:space="0" w:color="auto"/>
            <w:bottom w:val="none" w:sz="0" w:space="0" w:color="auto"/>
            <w:right w:val="none" w:sz="0" w:space="0" w:color="auto"/>
          </w:divBdr>
        </w:div>
      </w:divsChild>
    </w:div>
    <w:div w:id="238250443">
      <w:bodyDiv w:val="1"/>
      <w:marLeft w:val="0"/>
      <w:marRight w:val="0"/>
      <w:marTop w:val="0"/>
      <w:marBottom w:val="0"/>
      <w:divBdr>
        <w:top w:val="none" w:sz="0" w:space="0" w:color="auto"/>
        <w:left w:val="none" w:sz="0" w:space="0" w:color="auto"/>
        <w:bottom w:val="none" w:sz="0" w:space="0" w:color="auto"/>
        <w:right w:val="none" w:sz="0" w:space="0" w:color="auto"/>
      </w:divBdr>
    </w:div>
    <w:div w:id="241717728">
      <w:bodyDiv w:val="1"/>
      <w:marLeft w:val="0"/>
      <w:marRight w:val="0"/>
      <w:marTop w:val="0"/>
      <w:marBottom w:val="0"/>
      <w:divBdr>
        <w:top w:val="none" w:sz="0" w:space="0" w:color="auto"/>
        <w:left w:val="none" w:sz="0" w:space="0" w:color="auto"/>
        <w:bottom w:val="none" w:sz="0" w:space="0" w:color="auto"/>
        <w:right w:val="none" w:sz="0" w:space="0" w:color="auto"/>
      </w:divBdr>
      <w:divsChild>
        <w:div w:id="1179276111">
          <w:marLeft w:val="0"/>
          <w:marRight w:val="0"/>
          <w:marTop w:val="0"/>
          <w:marBottom w:val="0"/>
          <w:divBdr>
            <w:top w:val="none" w:sz="0" w:space="0" w:color="auto"/>
            <w:left w:val="none" w:sz="0" w:space="0" w:color="auto"/>
            <w:bottom w:val="none" w:sz="0" w:space="0" w:color="auto"/>
            <w:right w:val="none" w:sz="0" w:space="0" w:color="auto"/>
          </w:divBdr>
        </w:div>
      </w:divsChild>
    </w:div>
    <w:div w:id="246185376">
      <w:bodyDiv w:val="1"/>
      <w:marLeft w:val="0"/>
      <w:marRight w:val="0"/>
      <w:marTop w:val="0"/>
      <w:marBottom w:val="0"/>
      <w:divBdr>
        <w:top w:val="none" w:sz="0" w:space="0" w:color="auto"/>
        <w:left w:val="none" w:sz="0" w:space="0" w:color="auto"/>
        <w:bottom w:val="none" w:sz="0" w:space="0" w:color="auto"/>
        <w:right w:val="none" w:sz="0" w:space="0" w:color="auto"/>
      </w:divBdr>
    </w:div>
    <w:div w:id="257951027">
      <w:bodyDiv w:val="1"/>
      <w:marLeft w:val="0"/>
      <w:marRight w:val="0"/>
      <w:marTop w:val="0"/>
      <w:marBottom w:val="0"/>
      <w:divBdr>
        <w:top w:val="none" w:sz="0" w:space="0" w:color="auto"/>
        <w:left w:val="none" w:sz="0" w:space="0" w:color="auto"/>
        <w:bottom w:val="none" w:sz="0" w:space="0" w:color="auto"/>
        <w:right w:val="none" w:sz="0" w:space="0" w:color="auto"/>
      </w:divBdr>
    </w:div>
    <w:div w:id="312293010">
      <w:bodyDiv w:val="1"/>
      <w:marLeft w:val="0"/>
      <w:marRight w:val="0"/>
      <w:marTop w:val="0"/>
      <w:marBottom w:val="0"/>
      <w:divBdr>
        <w:top w:val="none" w:sz="0" w:space="0" w:color="auto"/>
        <w:left w:val="none" w:sz="0" w:space="0" w:color="auto"/>
        <w:bottom w:val="none" w:sz="0" w:space="0" w:color="auto"/>
        <w:right w:val="none" w:sz="0" w:space="0" w:color="auto"/>
      </w:divBdr>
      <w:divsChild>
        <w:div w:id="898370881">
          <w:marLeft w:val="0"/>
          <w:marRight w:val="0"/>
          <w:marTop w:val="0"/>
          <w:marBottom w:val="0"/>
          <w:divBdr>
            <w:top w:val="none" w:sz="0" w:space="0" w:color="auto"/>
            <w:left w:val="none" w:sz="0" w:space="0" w:color="auto"/>
            <w:bottom w:val="none" w:sz="0" w:space="0" w:color="auto"/>
            <w:right w:val="none" w:sz="0" w:space="0" w:color="auto"/>
          </w:divBdr>
        </w:div>
      </w:divsChild>
    </w:div>
    <w:div w:id="318656217">
      <w:bodyDiv w:val="1"/>
      <w:marLeft w:val="0"/>
      <w:marRight w:val="0"/>
      <w:marTop w:val="0"/>
      <w:marBottom w:val="0"/>
      <w:divBdr>
        <w:top w:val="none" w:sz="0" w:space="0" w:color="auto"/>
        <w:left w:val="none" w:sz="0" w:space="0" w:color="auto"/>
        <w:bottom w:val="none" w:sz="0" w:space="0" w:color="auto"/>
        <w:right w:val="none" w:sz="0" w:space="0" w:color="auto"/>
      </w:divBdr>
    </w:div>
    <w:div w:id="335572782">
      <w:bodyDiv w:val="1"/>
      <w:marLeft w:val="0"/>
      <w:marRight w:val="0"/>
      <w:marTop w:val="0"/>
      <w:marBottom w:val="0"/>
      <w:divBdr>
        <w:top w:val="none" w:sz="0" w:space="0" w:color="auto"/>
        <w:left w:val="none" w:sz="0" w:space="0" w:color="auto"/>
        <w:bottom w:val="none" w:sz="0" w:space="0" w:color="auto"/>
        <w:right w:val="none" w:sz="0" w:space="0" w:color="auto"/>
      </w:divBdr>
    </w:div>
    <w:div w:id="347827848">
      <w:bodyDiv w:val="1"/>
      <w:marLeft w:val="0"/>
      <w:marRight w:val="0"/>
      <w:marTop w:val="0"/>
      <w:marBottom w:val="0"/>
      <w:divBdr>
        <w:top w:val="none" w:sz="0" w:space="0" w:color="auto"/>
        <w:left w:val="none" w:sz="0" w:space="0" w:color="auto"/>
        <w:bottom w:val="none" w:sz="0" w:space="0" w:color="auto"/>
        <w:right w:val="none" w:sz="0" w:space="0" w:color="auto"/>
      </w:divBdr>
      <w:divsChild>
        <w:div w:id="1657413231">
          <w:marLeft w:val="0"/>
          <w:marRight w:val="0"/>
          <w:marTop w:val="0"/>
          <w:marBottom w:val="0"/>
          <w:divBdr>
            <w:top w:val="none" w:sz="0" w:space="0" w:color="auto"/>
            <w:left w:val="none" w:sz="0" w:space="0" w:color="auto"/>
            <w:bottom w:val="none" w:sz="0" w:space="0" w:color="auto"/>
            <w:right w:val="none" w:sz="0" w:space="0" w:color="auto"/>
          </w:divBdr>
        </w:div>
      </w:divsChild>
    </w:div>
    <w:div w:id="366177369">
      <w:bodyDiv w:val="1"/>
      <w:marLeft w:val="0"/>
      <w:marRight w:val="0"/>
      <w:marTop w:val="0"/>
      <w:marBottom w:val="0"/>
      <w:divBdr>
        <w:top w:val="none" w:sz="0" w:space="0" w:color="auto"/>
        <w:left w:val="none" w:sz="0" w:space="0" w:color="auto"/>
        <w:bottom w:val="none" w:sz="0" w:space="0" w:color="auto"/>
        <w:right w:val="none" w:sz="0" w:space="0" w:color="auto"/>
      </w:divBdr>
    </w:div>
    <w:div w:id="396705525">
      <w:bodyDiv w:val="1"/>
      <w:marLeft w:val="0"/>
      <w:marRight w:val="0"/>
      <w:marTop w:val="0"/>
      <w:marBottom w:val="0"/>
      <w:divBdr>
        <w:top w:val="none" w:sz="0" w:space="0" w:color="auto"/>
        <w:left w:val="none" w:sz="0" w:space="0" w:color="auto"/>
        <w:bottom w:val="none" w:sz="0" w:space="0" w:color="auto"/>
        <w:right w:val="none" w:sz="0" w:space="0" w:color="auto"/>
      </w:divBdr>
    </w:div>
    <w:div w:id="415903481">
      <w:bodyDiv w:val="1"/>
      <w:marLeft w:val="0"/>
      <w:marRight w:val="0"/>
      <w:marTop w:val="0"/>
      <w:marBottom w:val="0"/>
      <w:divBdr>
        <w:top w:val="none" w:sz="0" w:space="0" w:color="auto"/>
        <w:left w:val="none" w:sz="0" w:space="0" w:color="auto"/>
        <w:bottom w:val="none" w:sz="0" w:space="0" w:color="auto"/>
        <w:right w:val="none" w:sz="0" w:space="0" w:color="auto"/>
      </w:divBdr>
      <w:divsChild>
        <w:div w:id="278335924">
          <w:marLeft w:val="0"/>
          <w:marRight w:val="0"/>
          <w:marTop w:val="0"/>
          <w:marBottom w:val="0"/>
          <w:divBdr>
            <w:top w:val="none" w:sz="0" w:space="0" w:color="auto"/>
            <w:left w:val="none" w:sz="0" w:space="0" w:color="auto"/>
            <w:bottom w:val="none" w:sz="0" w:space="0" w:color="auto"/>
            <w:right w:val="none" w:sz="0" w:space="0" w:color="auto"/>
          </w:divBdr>
        </w:div>
        <w:div w:id="746466001">
          <w:marLeft w:val="0"/>
          <w:marRight w:val="0"/>
          <w:marTop w:val="0"/>
          <w:marBottom w:val="0"/>
          <w:divBdr>
            <w:top w:val="none" w:sz="0" w:space="0" w:color="auto"/>
            <w:left w:val="none" w:sz="0" w:space="0" w:color="auto"/>
            <w:bottom w:val="none" w:sz="0" w:space="0" w:color="auto"/>
            <w:right w:val="none" w:sz="0" w:space="0" w:color="auto"/>
          </w:divBdr>
        </w:div>
        <w:div w:id="869534904">
          <w:marLeft w:val="0"/>
          <w:marRight w:val="0"/>
          <w:marTop w:val="0"/>
          <w:marBottom w:val="0"/>
          <w:divBdr>
            <w:top w:val="none" w:sz="0" w:space="0" w:color="auto"/>
            <w:left w:val="none" w:sz="0" w:space="0" w:color="auto"/>
            <w:bottom w:val="none" w:sz="0" w:space="0" w:color="auto"/>
            <w:right w:val="none" w:sz="0" w:space="0" w:color="auto"/>
          </w:divBdr>
        </w:div>
        <w:div w:id="1258905983">
          <w:marLeft w:val="0"/>
          <w:marRight w:val="0"/>
          <w:marTop w:val="0"/>
          <w:marBottom w:val="0"/>
          <w:divBdr>
            <w:top w:val="none" w:sz="0" w:space="0" w:color="auto"/>
            <w:left w:val="none" w:sz="0" w:space="0" w:color="auto"/>
            <w:bottom w:val="none" w:sz="0" w:space="0" w:color="auto"/>
            <w:right w:val="none" w:sz="0" w:space="0" w:color="auto"/>
          </w:divBdr>
        </w:div>
        <w:div w:id="1675649045">
          <w:marLeft w:val="0"/>
          <w:marRight w:val="0"/>
          <w:marTop w:val="0"/>
          <w:marBottom w:val="0"/>
          <w:divBdr>
            <w:top w:val="none" w:sz="0" w:space="0" w:color="auto"/>
            <w:left w:val="none" w:sz="0" w:space="0" w:color="auto"/>
            <w:bottom w:val="none" w:sz="0" w:space="0" w:color="auto"/>
            <w:right w:val="none" w:sz="0" w:space="0" w:color="auto"/>
          </w:divBdr>
        </w:div>
        <w:div w:id="1819615363">
          <w:marLeft w:val="0"/>
          <w:marRight w:val="0"/>
          <w:marTop w:val="0"/>
          <w:marBottom w:val="0"/>
          <w:divBdr>
            <w:top w:val="none" w:sz="0" w:space="0" w:color="auto"/>
            <w:left w:val="none" w:sz="0" w:space="0" w:color="auto"/>
            <w:bottom w:val="none" w:sz="0" w:space="0" w:color="auto"/>
            <w:right w:val="none" w:sz="0" w:space="0" w:color="auto"/>
          </w:divBdr>
        </w:div>
      </w:divsChild>
    </w:div>
    <w:div w:id="420566710">
      <w:bodyDiv w:val="1"/>
      <w:marLeft w:val="0"/>
      <w:marRight w:val="0"/>
      <w:marTop w:val="0"/>
      <w:marBottom w:val="0"/>
      <w:divBdr>
        <w:top w:val="none" w:sz="0" w:space="0" w:color="auto"/>
        <w:left w:val="none" w:sz="0" w:space="0" w:color="auto"/>
        <w:bottom w:val="none" w:sz="0" w:space="0" w:color="auto"/>
        <w:right w:val="none" w:sz="0" w:space="0" w:color="auto"/>
      </w:divBdr>
    </w:div>
    <w:div w:id="429468569">
      <w:bodyDiv w:val="1"/>
      <w:marLeft w:val="0"/>
      <w:marRight w:val="0"/>
      <w:marTop w:val="0"/>
      <w:marBottom w:val="0"/>
      <w:divBdr>
        <w:top w:val="none" w:sz="0" w:space="0" w:color="auto"/>
        <w:left w:val="none" w:sz="0" w:space="0" w:color="auto"/>
        <w:bottom w:val="none" w:sz="0" w:space="0" w:color="auto"/>
        <w:right w:val="none" w:sz="0" w:space="0" w:color="auto"/>
      </w:divBdr>
      <w:divsChild>
        <w:div w:id="982471309">
          <w:marLeft w:val="0"/>
          <w:marRight w:val="0"/>
          <w:marTop w:val="0"/>
          <w:marBottom w:val="0"/>
          <w:divBdr>
            <w:top w:val="none" w:sz="0" w:space="0" w:color="auto"/>
            <w:left w:val="none" w:sz="0" w:space="0" w:color="auto"/>
            <w:bottom w:val="none" w:sz="0" w:space="0" w:color="auto"/>
            <w:right w:val="none" w:sz="0" w:space="0" w:color="auto"/>
          </w:divBdr>
        </w:div>
      </w:divsChild>
    </w:div>
    <w:div w:id="479541749">
      <w:bodyDiv w:val="1"/>
      <w:marLeft w:val="0"/>
      <w:marRight w:val="0"/>
      <w:marTop w:val="0"/>
      <w:marBottom w:val="0"/>
      <w:divBdr>
        <w:top w:val="none" w:sz="0" w:space="0" w:color="auto"/>
        <w:left w:val="none" w:sz="0" w:space="0" w:color="auto"/>
        <w:bottom w:val="none" w:sz="0" w:space="0" w:color="auto"/>
        <w:right w:val="none" w:sz="0" w:space="0" w:color="auto"/>
      </w:divBdr>
      <w:divsChild>
        <w:div w:id="24328789">
          <w:marLeft w:val="0"/>
          <w:marRight w:val="0"/>
          <w:marTop w:val="0"/>
          <w:marBottom w:val="0"/>
          <w:divBdr>
            <w:top w:val="none" w:sz="0" w:space="0" w:color="auto"/>
            <w:left w:val="none" w:sz="0" w:space="0" w:color="auto"/>
            <w:bottom w:val="none" w:sz="0" w:space="0" w:color="auto"/>
            <w:right w:val="none" w:sz="0" w:space="0" w:color="auto"/>
          </w:divBdr>
        </w:div>
        <w:div w:id="51738728">
          <w:marLeft w:val="0"/>
          <w:marRight w:val="0"/>
          <w:marTop w:val="0"/>
          <w:marBottom w:val="0"/>
          <w:divBdr>
            <w:top w:val="none" w:sz="0" w:space="0" w:color="auto"/>
            <w:left w:val="none" w:sz="0" w:space="0" w:color="auto"/>
            <w:bottom w:val="none" w:sz="0" w:space="0" w:color="auto"/>
            <w:right w:val="none" w:sz="0" w:space="0" w:color="auto"/>
          </w:divBdr>
        </w:div>
        <w:div w:id="73550122">
          <w:marLeft w:val="0"/>
          <w:marRight w:val="0"/>
          <w:marTop w:val="0"/>
          <w:marBottom w:val="0"/>
          <w:divBdr>
            <w:top w:val="none" w:sz="0" w:space="0" w:color="auto"/>
            <w:left w:val="none" w:sz="0" w:space="0" w:color="auto"/>
            <w:bottom w:val="none" w:sz="0" w:space="0" w:color="auto"/>
            <w:right w:val="none" w:sz="0" w:space="0" w:color="auto"/>
          </w:divBdr>
        </w:div>
        <w:div w:id="121964661">
          <w:marLeft w:val="0"/>
          <w:marRight w:val="0"/>
          <w:marTop w:val="0"/>
          <w:marBottom w:val="0"/>
          <w:divBdr>
            <w:top w:val="none" w:sz="0" w:space="0" w:color="auto"/>
            <w:left w:val="none" w:sz="0" w:space="0" w:color="auto"/>
            <w:bottom w:val="none" w:sz="0" w:space="0" w:color="auto"/>
            <w:right w:val="none" w:sz="0" w:space="0" w:color="auto"/>
          </w:divBdr>
        </w:div>
        <w:div w:id="169954538">
          <w:marLeft w:val="0"/>
          <w:marRight w:val="0"/>
          <w:marTop w:val="0"/>
          <w:marBottom w:val="0"/>
          <w:divBdr>
            <w:top w:val="none" w:sz="0" w:space="0" w:color="auto"/>
            <w:left w:val="none" w:sz="0" w:space="0" w:color="auto"/>
            <w:bottom w:val="none" w:sz="0" w:space="0" w:color="auto"/>
            <w:right w:val="none" w:sz="0" w:space="0" w:color="auto"/>
          </w:divBdr>
        </w:div>
        <w:div w:id="348459313">
          <w:marLeft w:val="0"/>
          <w:marRight w:val="0"/>
          <w:marTop w:val="0"/>
          <w:marBottom w:val="0"/>
          <w:divBdr>
            <w:top w:val="none" w:sz="0" w:space="0" w:color="auto"/>
            <w:left w:val="none" w:sz="0" w:space="0" w:color="auto"/>
            <w:bottom w:val="none" w:sz="0" w:space="0" w:color="auto"/>
            <w:right w:val="none" w:sz="0" w:space="0" w:color="auto"/>
          </w:divBdr>
        </w:div>
        <w:div w:id="374307387">
          <w:marLeft w:val="0"/>
          <w:marRight w:val="0"/>
          <w:marTop w:val="0"/>
          <w:marBottom w:val="0"/>
          <w:divBdr>
            <w:top w:val="none" w:sz="0" w:space="0" w:color="auto"/>
            <w:left w:val="none" w:sz="0" w:space="0" w:color="auto"/>
            <w:bottom w:val="none" w:sz="0" w:space="0" w:color="auto"/>
            <w:right w:val="none" w:sz="0" w:space="0" w:color="auto"/>
          </w:divBdr>
        </w:div>
        <w:div w:id="417093938">
          <w:marLeft w:val="0"/>
          <w:marRight w:val="0"/>
          <w:marTop w:val="0"/>
          <w:marBottom w:val="0"/>
          <w:divBdr>
            <w:top w:val="none" w:sz="0" w:space="0" w:color="auto"/>
            <w:left w:val="none" w:sz="0" w:space="0" w:color="auto"/>
            <w:bottom w:val="none" w:sz="0" w:space="0" w:color="auto"/>
            <w:right w:val="none" w:sz="0" w:space="0" w:color="auto"/>
          </w:divBdr>
        </w:div>
        <w:div w:id="437725017">
          <w:marLeft w:val="0"/>
          <w:marRight w:val="0"/>
          <w:marTop w:val="0"/>
          <w:marBottom w:val="0"/>
          <w:divBdr>
            <w:top w:val="none" w:sz="0" w:space="0" w:color="auto"/>
            <w:left w:val="none" w:sz="0" w:space="0" w:color="auto"/>
            <w:bottom w:val="none" w:sz="0" w:space="0" w:color="auto"/>
            <w:right w:val="none" w:sz="0" w:space="0" w:color="auto"/>
          </w:divBdr>
        </w:div>
        <w:div w:id="484126775">
          <w:marLeft w:val="0"/>
          <w:marRight w:val="0"/>
          <w:marTop w:val="0"/>
          <w:marBottom w:val="0"/>
          <w:divBdr>
            <w:top w:val="none" w:sz="0" w:space="0" w:color="auto"/>
            <w:left w:val="none" w:sz="0" w:space="0" w:color="auto"/>
            <w:bottom w:val="none" w:sz="0" w:space="0" w:color="auto"/>
            <w:right w:val="none" w:sz="0" w:space="0" w:color="auto"/>
          </w:divBdr>
        </w:div>
        <w:div w:id="491605773">
          <w:marLeft w:val="0"/>
          <w:marRight w:val="0"/>
          <w:marTop w:val="0"/>
          <w:marBottom w:val="0"/>
          <w:divBdr>
            <w:top w:val="none" w:sz="0" w:space="0" w:color="auto"/>
            <w:left w:val="none" w:sz="0" w:space="0" w:color="auto"/>
            <w:bottom w:val="none" w:sz="0" w:space="0" w:color="auto"/>
            <w:right w:val="none" w:sz="0" w:space="0" w:color="auto"/>
          </w:divBdr>
        </w:div>
        <w:div w:id="516776432">
          <w:marLeft w:val="0"/>
          <w:marRight w:val="0"/>
          <w:marTop w:val="0"/>
          <w:marBottom w:val="0"/>
          <w:divBdr>
            <w:top w:val="none" w:sz="0" w:space="0" w:color="auto"/>
            <w:left w:val="none" w:sz="0" w:space="0" w:color="auto"/>
            <w:bottom w:val="none" w:sz="0" w:space="0" w:color="auto"/>
            <w:right w:val="none" w:sz="0" w:space="0" w:color="auto"/>
          </w:divBdr>
        </w:div>
        <w:div w:id="666788215">
          <w:marLeft w:val="0"/>
          <w:marRight w:val="0"/>
          <w:marTop w:val="0"/>
          <w:marBottom w:val="0"/>
          <w:divBdr>
            <w:top w:val="none" w:sz="0" w:space="0" w:color="auto"/>
            <w:left w:val="none" w:sz="0" w:space="0" w:color="auto"/>
            <w:bottom w:val="none" w:sz="0" w:space="0" w:color="auto"/>
            <w:right w:val="none" w:sz="0" w:space="0" w:color="auto"/>
          </w:divBdr>
        </w:div>
        <w:div w:id="732118577">
          <w:marLeft w:val="0"/>
          <w:marRight w:val="0"/>
          <w:marTop w:val="0"/>
          <w:marBottom w:val="0"/>
          <w:divBdr>
            <w:top w:val="none" w:sz="0" w:space="0" w:color="auto"/>
            <w:left w:val="none" w:sz="0" w:space="0" w:color="auto"/>
            <w:bottom w:val="none" w:sz="0" w:space="0" w:color="auto"/>
            <w:right w:val="none" w:sz="0" w:space="0" w:color="auto"/>
          </w:divBdr>
        </w:div>
        <w:div w:id="759909779">
          <w:marLeft w:val="0"/>
          <w:marRight w:val="0"/>
          <w:marTop w:val="0"/>
          <w:marBottom w:val="0"/>
          <w:divBdr>
            <w:top w:val="none" w:sz="0" w:space="0" w:color="auto"/>
            <w:left w:val="none" w:sz="0" w:space="0" w:color="auto"/>
            <w:bottom w:val="none" w:sz="0" w:space="0" w:color="auto"/>
            <w:right w:val="none" w:sz="0" w:space="0" w:color="auto"/>
          </w:divBdr>
        </w:div>
        <w:div w:id="932279319">
          <w:marLeft w:val="0"/>
          <w:marRight w:val="0"/>
          <w:marTop w:val="0"/>
          <w:marBottom w:val="0"/>
          <w:divBdr>
            <w:top w:val="none" w:sz="0" w:space="0" w:color="auto"/>
            <w:left w:val="none" w:sz="0" w:space="0" w:color="auto"/>
            <w:bottom w:val="none" w:sz="0" w:space="0" w:color="auto"/>
            <w:right w:val="none" w:sz="0" w:space="0" w:color="auto"/>
          </w:divBdr>
        </w:div>
        <w:div w:id="1011571731">
          <w:marLeft w:val="0"/>
          <w:marRight w:val="0"/>
          <w:marTop w:val="0"/>
          <w:marBottom w:val="0"/>
          <w:divBdr>
            <w:top w:val="none" w:sz="0" w:space="0" w:color="auto"/>
            <w:left w:val="none" w:sz="0" w:space="0" w:color="auto"/>
            <w:bottom w:val="none" w:sz="0" w:space="0" w:color="auto"/>
            <w:right w:val="none" w:sz="0" w:space="0" w:color="auto"/>
          </w:divBdr>
        </w:div>
        <w:div w:id="1041781249">
          <w:marLeft w:val="0"/>
          <w:marRight w:val="0"/>
          <w:marTop w:val="0"/>
          <w:marBottom w:val="0"/>
          <w:divBdr>
            <w:top w:val="none" w:sz="0" w:space="0" w:color="auto"/>
            <w:left w:val="none" w:sz="0" w:space="0" w:color="auto"/>
            <w:bottom w:val="none" w:sz="0" w:space="0" w:color="auto"/>
            <w:right w:val="none" w:sz="0" w:space="0" w:color="auto"/>
          </w:divBdr>
        </w:div>
        <w:div w:id="1057052078">
          <w:marLeft w:val="0"/>
          <w:marRight w:val="0"/>
          <w:marTop w:val="0"/>
          <w:marBottom w:val="0"/>
          <w:divBdr>
            <w:top w:val="none" w:sz="0" w:space="0" w:color="auto"/>
            <w:left w:val="none" w:sz="0" w:space="0" w:color="auto"/>
            <w:bottom w:val="none" w:sz="0" w:space="0" w:color="auto"/>
            <w:right w:val="none" w:sz="0" w:space="0" w:color="auto"/>
          </w:divBdr>
        </w:div>
        <w:div w:id="1106920725">
          <w:marLeft w:val="0"/>
          <w:marRight w:val="0"/>
          <w:marTop w:val="0"/>
          <w:marBottom w:val="0"/>
          <w:divBdr>
            <w:top w:val="none" w:sz="0" w:space="0" w:color="auto"/>
            <w:left w:val="none" w:sz="0" w:space="0" w:color="auto"/>
            <w:bottom w:val="none" w:sz="0" w:space="0" w:color="auto"/>
            <w:right w:val="none" w:sz="0" w:space="0" w:color="auto"/>
          </w:divBdr>
        </w:div>
        <w:div w:id="1215659505">
          <w:marLeft w:val="0"/>
          <w:marRight w:val="0"/>
          <w:marTop w:val="0"/>
          <w:marBottom w:val="0"/>
          <w:divBdr>
            <w:top w:val="none" w:sz="0" w:space="0" w:color="auto"/>
            <w:left w:val="none" w:sz="0" w:space="0" w:color="auto"/>
            <w:bottom w:val="none" w:sz="0" w:space="0" w:color="auto"/>
            <w:right w:val="none" w:sz="0" w:space="0" w:color="auto"/>
          </w:divBdr>
        </w:div>
        <w:div w:id="1254973793">
          <w:marLeft w:val="0"/>
          <w:marRight w:val="0"/>
          <w:marTop w:val="0"/>
          <w:marBottom w:val="0"/>
          <w:divBdr>
            <w:top w:val="none" w:sz="0" w:space="0" w:color="auto"/>
            <w:left w:val="none" w:sz="0" w:space="0" w:color="auto"/>
            <w:bottom w:val="none" w:sz="0" w:space="0" w:color="auto"/>
            <w:right w:val="none" w:sz="0" w:space="0" w:color="auto"/>
          </w:divBdr>
        </w:div>
        <w:div w:id="1386103443">
          <w:marLeft w:val="0"/>
          <w:marRight w:val="0"/>
          <w:marTop w:val="0"/>
          <w:marBottom w:val="0"/>
          <w:divBdr>
            <w:top w:val="none" w:sz="0" w:space="0" w:color="auto"/>
            <w:left w:val="none" w:sz="0" w:space="0" w:color="auto"/>
            <w:bottom w:val="none" w:sz="0" w:space="0" w:color="auto"/>
            <w:right w:val="none" w:sz="0" w:space="0" w:color="auto"/>
          </w:divBdr>
        </w:div>
        <w:div w:id="1479104629">
          <w:marLeft w:val="0"/>
          <w:marRight w:val="0"/>
          <w:marTop w:val="0"/>
          <w:marBottom w:val="0"/>
          <w:divBdr>
            <w:top w:val="none" w:sz="0" w:space="0" w:color="auto"/>
            <w:left w:val="none" w:sz="0" w:space="0" w:color="auto"/>
            <w:bottom w:val="none" w:sz="0" w:space="0" w:color="auto"/>
            <w:right w:val="none" w:sz="0" w:space="0" w:color="auto"/>
          </w:divBdr>
        </w:div>
        <w:div w:id="1495104940">
          <w:marLeft w:val="0"/>
          <w:marRight w:val="0"/>
          <w:marTop w:val="0"/>
          <w:marBottom w:val="0"/>
          <w:divBdr>
            <w:top w:val="none" w:sz="0" w:space="0" w:color="auto"/>
            <w:left w:val="none" w:sz="0" w:space="0" w:color="auto"/>
            <w:bottom w:val="none" w:sz="0" w:space="0" w:color="auto"/>
            <w:right w:val="none" w:sz="0" w:space="0" w:color="auto"/>
          </w:divBdr>
        </w:div>
        <w:div w:id="1600602134">
          <w:marLeft w:val="0"/>
          <w:marRight w:val="0"/>
          <w:marTop w:val="0"/>
          <w:marBottom w:val="0"/>
          <w:divBdr>
            <w:top w:val="none" w:sz="0" w:space="0" w:color="auto"/>
            <w:left w:val="none" w:sz="0" w:space="0" w:color="auto"/>
            <w:bottom w:val="none" w:sz="0" w:space="0" w:color="auto"/>
            <w:right w:val="none" w:sz="0" w:space="0" w:color="auto"/>
          </w:divBdr>
        </w:div>
        <w:div w:id="1610965074">
          <w:marLeft w:val="0"/>
          <w:marRight w:val="0"/>
          <w:marTop w:val="0"/>
          <w:marBottom w:val="0"/>
          <w:divBdr>
            <w:top w:val="none" w:sz="0" w:space="0" w:color="auto"/>
            <w:left w:val="none" w:sz="0" w:space="0" w:color="auto"/>
            <w:bottom w:val="none" w:sz="0" w:space="0" w:color="auto"/>
            <w:right w:val="none" w:sz="0" w:space="0" w:color="auto"/>
          </w:divBdr>
        </w:div>
        <w:div w:id="1618104859">
          <w:marLeft w:val="0"/>
          <w:marRight w:val="0"/>
          <w:marTop w:val="0"/>
          <w:marBottom w:val="0"/>
          <w:divBdr>
            <w:top w:val="none" w:sz="0" w:space="0" w:color="auto"/>
            <w:left w:val="none" w:sz="0" w:space="0" w:color="auto"/>
            <w:bottom w:val="none" w:sz="0" w:space="0" w:color="auto"/>
            <w:right w:val="none" w:sz="0" w:space="0" w:color="auto"/>
          </w:divBdr>
        </w:div>
        <w:div w:id="1780904569">
          <w:marLeft w:val="0"/>
          <w:marRight w:val="0"/>
          <w:marTop w:val="0"/>
          <w:marBottom w:val="0"/>
          <w:divBdr>
            <w:top w:val="none" w:sz="0" w:space="0" w:color="auto"/>
            <w:left w:val="none" w:sz="0" w:space="0" w:color="auto"/>
            <w:bottom w:val="none" w:sz="0" w:space="0" w:color="auto"/>
            <w:right w:val="none" w:sz="0" w:space="0" w:color="auto"/>
          </w:divBdr>
        </w:div>
        <w:div w:id="1866291430">
          <w:marLeft w:val="0"/>
          <w:marRight w:val="0"/>
          <w:marTop w:val="0"/>
          <w:marBottom w:val="0"/>
          <w:divBdr>
            <w:top w:val="none" w:sz="0" w:space="0" w:color="auto"/>
            <w:left w:val="none" w:sz="0" w:space="0" w:color="auto"/>
            <w:bottom w:val="none" w:sz="0" w:space="0" w:color="auto"/>
            <w:right w:val="none" w:sz="0" w:space="0" w:color="auto"/>
          </w:divBdr>
        </w:div>
        <w:div w:id="2088917373">
          <w:marLeft w:val="0"/>
          <w:marRight w:val="0"/>
          <w:marTop w:val="0"/>
          <w:marBottom w:val="0"/>
          <w:divBdr>
            <w:top w:val="none" w:sz="0" w:space="0" w:color="auto"/>
            <w:left w:val="none" w:sz="0" w:space="0" w:color="auto"/>
            <w:bottom w:val="none" w:sz="0" w:space="0" w:color="auto"/>
            <w:right w:val="none" w:sz="0" w:space="0" w:color="auto"/>
          </w:divBdr>
        </w:div>
        <w:div w:id="2104375351">
          <w:marLeft w:val="0"/>
          <w:marRight w:val="0"/>
          <w:marTop w:val="0"/>
          <w:marBottom w:val="0"/>
          <w:divBdr>
            <w:top w:val="none" w:sz="0" w:space="0" w:color="auto"/>
            <w:left w:val="none" w:sz="0" w:space="0" w:color="auto"/>
            <w:bottom w:val="none" w:sz="0" w:space="0" w:color="auto"/>
            <w:right w:val="none" w:sz="0" w:space="0" w:color="auto"/>
          </w:divBdr>
        </w:div>
        <w:div w:id="2116320416">
          <w:marLeft w:val="0"/>
          <w:marRight w:val="0"/>
          <w:marTop w:val="0"/>
          <w:marBottom w:val="0"/>
          <w:divBdr>
            <w:top w:val="none" w:sz="0" w:space="0" w:color="auto"/>
            <w:left w:val="none" w:sz="0" w:space="0" w:color="auto"/>
            <w:bottom w:val="none" w:sz="0" w:space="0" w:color="auto"/>
            <w:right w:val="none" w:sz="0" w:space="0" w:color="auto"/>
          </w:divBdr>
        </w:div>
      </w:divsChild>
    </w:div>
    <w:div w:id="491680305">
      <w:bodyDiv w:val="1"/>
      <w:marLeft w:val="0"/>
      <w:marRight w:val="0"/>
      <w:marTop w:val="0"/>
      <w:marBottom w:val="0"/>
      <w:divBdr>
        <w:top w:val="none" w:sz="0" w:space="0" w:color="auto"/>
        <w:left w:val="none" w:sz="0" w:space="0" w:color="auto"/>
        <w:bottom w:val="none" w:sz="0" w:space="0" w:color="auto"/>
        <w:right w:val="none" w:sz="0" w:space="0" w:color="auto"/>
      </w:divBdr>
    </w:div>
    <w:div w:id="525366250">
      <w:bodyDiv w:val="1"/>
      <w:marLeft w:val="0"/>
      <w:marRight w:val="0"/>
      <w:marTop w:val="0"/>
      <w:marBottom w:val="0"/>
      <w:divBdr>
        <w:top w:val="none" w:sz="0" w:space="0" w:color="auto"/>
        <w:left w:val="none" w:sz="0" w:space="0" w:color="auto"/>
        <w:bottom w:val="none" w:sz="0" w:space="0" w:color="auto"/>
        <w:right w:val="none" w:sz="0" w:space="0" w:color="auto"/>
      </w:divBdr>
    </w:div>
    <w:div w:id="547885578">
      <w:bodyDiv w:val="1"/>
      <w:marLeft w:val="0"/>
      <w:marRight w:val="0"/>
      <w:marTop w:val="0"/>
      <w:marBottom w:val="0"/>
      <w:divBdr>
        <w:top w:val="none" w:sz="0" w:space="0" w:color="auto"/>
        <w:left w:val="none" w:sz="0" w:space="0" w:color="auto"/>
        <w:bottom w:val="none" w:sz="0" w:space="0" w:color="auto"/>
        <w:right w:val="none" w:sz="0" w:space="0" w:color="auto"/>
      </w:divBdr>
    </w:div>
    <w:div w:id="548421773">
      <w:bodyDiv w:val="1"/>
      <w:marLeft w:val="0"/>
      <w:marRight w:val="0"/>
      <w:marTop w:val="0"/>
      <w:marBottom w:val="0"/>
      <w:divBdr>
        <w:top w:val="none" w:sz="0" w:space="0" w:color="auto"/>
        <w:left w:val="none" w:sz="0" w:space="0" w:color="auto"/>
        <w:bottom w:val="none" w:sz="0" w:space="0" w:color="auto"/>
        <w:right w:val="none" w:sz="0" w:space="0" w:color="auto"/>
      </w:divBdr>
    </w:div>
    <w:div w:id="549804732">
      <w:bodyDiv w:val="1"/>
      <w:marLeft w:val="0"/>
      <w:marRight w:val="0"/>
      <w:marTop w:val="0"/>
      <w:marBottom w:val="0"/>
      <w:divBdr>
        <w:top w:val="none" w:sz="0" w:space="0" w:color="auto"/>
        <w:left w:val="none" w:sz="0" w:space="0" w:color="auto"/>
        <w:bottom w:val="none" w:sz="0" w:space="0" w:color="auto"/>
        <w:right w:val="none" w:sz="0" w:space="0" w:color="auto"/>
      </w:divBdr>
      <w:divsChild>
        <w:div w:id="1827745025">
          <w:marLeft w:val="0"/>
          <w:marRight w:val="0"/>
          <w:marTop w:val="0"/>
          <w:marBottom w:val="0"/>
          <w:divBdr>
            <w:top w:val="none" w:sz="0" w:space="0" w:color="auto"/>
            <w:left w:val="none" w:sz="0" w:space="0" w:color="auto"/>
            <w:bottom w:val="none" w:sz="0" w:space="0" w:color="auto"/>
            <w:right w:val="none" w:sz="0" w:space="0" w:color="auto"/>
          </w:divBdr>
        </w:div>
      </w:divsChild>
    </w:div>
    <w:div w:id="566498414">
      <w:bodyDiv w:val="1"/>
      <w:marLeft w:val="0"/>
      <w:marRight w:val="0"/>
      <w:marTop w:val="0"/>
      <w:marBottom w:val="0"/>
      <w:divBdr>
        <w:top w:val="none" w:sz="0" w:space="0" w:color="auto"/>
        <w:left w:val="none" w:sz="0" w:space="0" w:color="auto"/>
        <w:bottom w:val="none" w:sz="0" w:space="0" w:color="auto"/>
        <w:right w:val="none" w:sz="0" w:space="0" w:color="auto"/>
      </w:divBdr>
    </w:div>
    <w:div w:id="585119041">
      <w:bodyDiv w:val="1"/>
      <w:marLeft w:val="0"/>
      <w:marRight w:val="0"/>
      <w:marTop w:val="0"/>
      <w:marBottom w:val="0"/>
      <w:divBdr>
        <w:top w:val="none" w:sz="0" w:space="0" w:color="auto"/>
        <w:left w:val="none" w:sz="0" w:space="0" w:color="auto"/>
        <w:bottom w:val="none" w:sz="0" w:space="0" w:color="auto"/>
        <w:right w:val="none" w:sz="0" w:space="0" w:color="auto"/>
      </w:divBdr>
    </w:div>
    <w:div w:id="613751083">
      <w:bodyDiv w:val="1"/>
      <w:marLeft w:val="0"/>
      <w:marRight w:val="0"/>
      <w:marTop w:val="0"/>
      <w:marBottom w:val="0"/>
      <w:divBdr>
        <w:top w:val="none" w:sz="0" w:space="0" w:color="auto"/>
        <w:left w:val="none" w:sz="0" w:space="0" w:color="auto"/>
        <w:bottom w:val="none" w:sz="0" w:space="0" w:color="auto"/>
        <w:right w:val="none" w:sz="0" w:space="0" w:color="auto"/>
      </w:divBdr>
    </w:div>
    <w:div w:id="627514908">
      <w:bodyDiv w:val="1"/>
      <w:marLeft w:val="0"/>
      <w:marRight w:val="0"/>
      <w:marTop w:val="0"/>
      <w:marBottom w:val="0"/>
      <w:divBdr>
        <w:top w:val="none" w:sz="0" w:space="0" w:color="auto"/>
        <w:left w:val="none" w:sz="0" w:space="0" w:color="auto"/>
        <w:bottom w:val="none" w:sz="0" w:space="0" w:color="auto"/>
        <w:right w:val="none" w:sz="0" w:space="0" w:color="auto"/>
      </w:divBdr>
    </w:div>
    <w:div w:id="639968248">
      <w:bodyDiv w:val="1"/>
      <w:marLeft w:val="0"/>
      <w:marRight w:val="0"/>
      <w:marTop w:val="0"/>
      <w:marBottom w:val="0"/>
      <w:divBdr>
        <w:top w:val="none" w:sz="0" w:space="0" w:color="auto"/>
        <w:left w:val="none" w:sz="0" w:space="0" w:color="auto"/>
        <w:bottom w:val="none" w:sz="0" w:space="0" w:color="auto"/>
        <w:right w:val="none" w:sz="0" w:space="0" w:color="auto"/>
      </w:divBdr>
    </w:div>
    <w:div w:id="655719659">
      <w:bodyDiv w:val="1"/>
      <w:marLeft w:val="0"/>
      <w:marRight w:val="0"/>
      <w:marTop w:val="0"/>
      <w:marBottom w:val="0"/>
      <w:divBdr>
        <w:top w:val="none" w:sz="0" w:space="0" w:color="auto"/>
        <w:left w:val="none" w:sz="0" w:space="0" w:color="auto"/>
        <w:bottom w:val="none" w:sz="0" w:space="0" w:color="auto"/>
        <w:right w:val="none" w:sz="0" w:space="0" w:color="auto"/>
      </w:divBdr>
    </w:div>
    <w:div w:id="658004893">
      <w:bodyDiv w:val="1"/>
      <w:marLeft w:val="0"/>
      <w:marRight w:val="0"/>
      <w:marTop w:val="0"/>
      <w:marBottom w:val="0"/>
      <w:divBdr>
        <w:top w:val="none" w:sz="0" w:space="0" w:color="auto"/>
        <w:left w:val="none" w:sz="0" w:space="0" w:color="auto"/>
        <w:bottom w:val="none" w:sz="0" w:space="0" w:color="auto"/>
        <w:right w:val="none" w:sz="0" w:space="0" w:color="auto"/>
      </w:divBdr>
      <w:divsChild>
        <w:div w:id="23530919">
          <w:blockQuote w:val="1"/>
          <w:marLeft w:val="720"/>
          <w:marRight w:val="0"/>
          <w:marTop w:val="0"/>
          <w:marBottom w:val="48"/>
          <w:divBdr>
            <w:top w:val="none" w:sz="0" w:space="0" w:color="auto"/>
            <w:left w:val="none" w:sz="0" w:space="0" w:color="auto"/>
            <w:bottom w:val="none" w:sz="0" w:space="0" w:color="auto"/>
            <w:right w:val="none" w:sz="0" w:space="0" w:color="auto"/>
          </w:divBdr>
        </w:div>
        <w:div w:id="1161237573">
          <w:blockQuote w:val="1"/>
          <w:marLeft w:val="720"/>
          <w:marRight w:val="0"/>
          <w:marTop w:val="0"/>
          <w:marBottom w:val="48"/>
          <w:divBdr>
            <w:top w:val="none" w:sz="0" w:space="0" w:color="auto"/>
            <w:left w:val="none" w:sz="0" w:space="0" w:color="auto"/>
            <w:bottom w:val="none" w:sz="0" w:space="0" w:color="auto"/>
            <w:right w:val="none" w:sz="0" w:space="0" w:color="auto"/>
          </w:divBdr>
        </w:div>
      </w:divsChild>
    </w:div>
    <w:div w:id="694312572">
      <w:bodyDiv w:val="1"/>
      <w:marLeft w:val="0"/>
      <w:marRight w:val="0"/>
      <w:marTop w:val="0"/>
      <w:marBottom w:val="0"/>
      <w:divBdr>
        <w:top w:val="none" w:sz="0" w:space="0" w:color="auto"/>
        <w:left w:val="none" w:sz="0" w:space="0" w:color="auto"/>
        <w:bottom w:val="none" w:sz="0" w:space="0" w:color="auto"/>
        <w:right w:val="none" w:sz="0" w:space="0" w:color="auto"/>
      </w:divBdr>
      <w:divsChild>
        <w:div w:id="1546060985">
          <w:marLeft w:val="0"/>
          <w:marRight w:val="0"/>
          <w:marTop w:val="0"/>
          <w:marBottom w:val="0"/>
          <w:divBdr>
            <w:top w:val="none" w:sz="0" w:space="0" w:color="auto"/>
            <w:left w:val="none" w:sz="0" w:space="0" w:color="auto"/>
            <w:bottom w:val="none" w:sz="0" w:space="0" w:color="auto"/>
            <w:right w:val="none" w:sz="0" w:space="0" w:color="auto"/>
          </w:divBdr>
        </w:div>
      </w:divsChild>
    </w:div>
    <w:div w:id="695347986">
      <w:bodyDiv w:val="1"/>
      <w:marLeft w:val="0"/>
      <w:marRight w:val="0"/>
      <w:marTop w:val="0"/>
      <w:marBottom w:val="0"/>
      <w:divBdr>
        <w:top w:val="none" w:sz="0" w:space="0" w:color="auto"/>
        <w:left w:val="none" w:sz="0" w:space="0" w:color="auto"/>
        <w:bottom w:val="none" w:sz="0" w:space="0" w:color="auto"/>
        <w:right w:val="none" w:sz="0" w:space="0" w:color="auto"/>
      </w:divBdr>
    </w:div>
    <w:div w:id="699743979">
      <w:bodyDiv w:val="1"/>
      <w:marLeft w:val="0"/>
      <w:marRight w:val="0"/>
      <w:marTop w:val="0"/>
      <w:marBottom w:val="0"/>
      <w:divBdr>
        <w:top w:val="none" w:sz="0" w:space="0" w:color="auto"/>
        <w:left w:val="none" w:sz="0" w:space="0" w:color="auto"/>
        <w:bottom w:val="none" w:sz="0" w:space="0" w:color="auto"/>
        <w:right w:val="none" w:sz="0" w:space="0" w:color="auto"/>
      </w:divBdr>
    </w:div>
    <w:div w:id="722757486">
      <w:bodyDiv w:val="1"/>
      <w:marLeft w:val="0"/>
      <w:marRight w:val="0"/>
      <w:marTop w:val="0"/>
      <w:marBottom w:val="0"/>
      <w:divBdr>
        <w:top w:val="none" w:sz="0" w:space="0" w:color="auto"/>
        <w:left w:val="none" w:sz="0" w:space="0" w:color="auto"/>
        <w:bottom w:val="none" w:sz="0" w:space="0" w:color="auto"/>
        <w:right w:val="none" w:sz="0" w:space="0" w:color="auto"/>
      </w:divBdr>
    </w:div>
    <w:div w:id="723066727">
      <w:bodyDiv w:val="1"/>
      <w:marLeft w:val="0"/>
      <w:marRight w:val="0"/>
      <w:marTop w:val="0"/>
      <w:marBottom w:val="0"/>
      <w:divBdr>
        <w:top w:val="none" w:sz="0" w:space="0" w:color="auto"/>
        <w:left w:val="none" w:sz="0" w:space="0" w:color="auto"/>
        <w:bottom w:val="none" w:sz="0" w:space="0" w:color="auto"/>
        <w:right w:val="none" w:sz="0" w:space="0" w:color="auto"/>
      </w:divBdr>
    </w:div>
    <w:div w:id="735590624">
      <w:bodyDiv w:val="1"/>
      <w:marLeft w:val="0"/>
      <w:marRight w:val="0"/>
      <w:marTop w:val="0"/>
      <w:marBottom w:val="0"/>
      <w:divBdr>
        <w:top w:val="none" w:sz="0" w:space="0" w:color="auto"/>
        <w:left w:val="none" w:sz="0" w:space="0" w:color="auto"/>
        <w:bottom w:val="none" w:sz="0" w:space="0" w:color="auto"/>
        <w:right w:val="none" w:sz="0" w:space="0" w:color="auto"/>
      </w:divBdr>
    </w:div>
    <w:div w:id="767310610">
      <w:bodyDiv w:val="1"/>
      <w:marLeft w:val="0"/>
      <w:marRight w:val="0"/>
      <w:marTop w:val="0"/>
      <w:marBottom w:val="0"/>
      <w:divBdr>
        <w:top w:val="none" w:sz="0" w:space="0" w:color="auto"/>
        <w:left w:val="none" w:sz="0" w:space="0" w:color="auto"/>
        <w:bottom w:val="none" w:sz="0" w:space="0" w:color="auto"/>
        <w:right w:val="none" w:sz="0" w:space="0" w:color="auto"/>
      </w:divBdr>
    </w:div>
    <w:div w:id="778184858">
      <w:bodyDiv w:val="1"/>
      <w:marLeft w:val="0"/>
      <w:marRight w:val="0"/>
      <w:marTop w:val="0"/>
      <w:marBottom w:val="0"/>
      <w:divBdr>
        <w:top w:val="none" w:sz="0" w:space="0" w:color="auto"/>
        <w:left w:val="none" w:sz="0" w:space="0" w:color="auto"/>
        <w:bottom w:val="none" w:sz="0" w:space="0" w:color="auto"/>
        <w:right w:val="none" w:sz="0" w:space="0" w:color="auto"/>
      </w:divBdr>
    </w:div>
    <w:div w:id="784620463">
      <w:bodyDiv w:val="1"/>
      <w:marLeft w:val="0"/>
      <w:marRight w:val="0"/>
      <w:marTop w:val="0"/>
      <w:marBottom w:val="0"/>
      <w:divBdr>
        <w:top w:val="none" w:sz="0" w:space="0" w:color="auto"/>
        <w:left w:val="none" w:sz="0" w:space="0" w:color="auto"/>
        <w:bottom w:val="none" w:sz="0" w:space="0" w:color="auto"/>
        <w:right w:val="none" w:sz="0" w:space="0" w:color="auto"/>
      </w:divBdr>
      <w:divsChild>
        <w:div w:id="237793134">
          <w:marLeft w:val="0"/>
          <w:marRight w:val="0"/>
          <w:marTop w:val="0"/>
          <w:marBottom w:val="0"/>
          <w:divBdr>
            <w:top w:val="none" w:sz="0" w:space="0" w:color="auto"/>
            <w:left w:val="none" w:sz="0" w:space="0" w:color="auto"/>
            <w:bottom w:val="none" w:sz="0" w:space="0" w:color="auto"/>
            <w:right w:val="none" w:sz="0" w:space="0" w:color="auto"/>
          </w:divBdr>
        </w:div>
        <w:div w:id="369382622">
          <w:marLeft w:val="0"/>
          <w:marRight w:val="0"/>
          <w:marTop w:val="0"/>
          <w:marBottom w:val="0"/>
          <w:divBdr>
            <w:top w:val="none" w:sz="0" w:space="0" w:color="auto"/>
            <w:left w:val="none" w:sz="0" w:space="0" w:color="auto"/>
            <w:bottom w:val="none" w:sz="0" w:space="0" w:color="auto"/>
            <w:right w:val="none" w:sz="0" w:space="0" w:color="auto"/>
          </w:divBdr>
        </w:div>
        <w:div w:id="500051577">
          <w:marLeft w:val="0"/>
          <w:marRight w:val="0"/>
          <w:marTop w:val="0"/>
          <w:marBottom w:val="0"/>
          <w:divBdr>
            <w:top w:val="none" w:sz="0" w:space="0" w:color="auto"/>
            <w:left w:val="none" w:sz="0" w:space="0" w:color="auto"/>
            <w:bottom w:val="none" w:sz="0" w:space="0" w:color="auto"/>
            <w:right w:val="none" w:sz="0" w:space="0" w:color="auto"/>
          </w:divBdr>
        </w:div>
        <w:div w:id="548106110">
          <w:marLeft w:val="0"/>
          <w:marRight w:val="0"/>
          <w:marTop w:val="0"/>
          <w:marBottom w:val="0"/>
          <w:divBdr>
            <w:top w:val="none" w:sz="0" w:space="0" w:color="auto"/>
            <w:left w:val="none" w:sz="0" w:space="0" w:color="auto"/>
            <w:bottom w:val="none" w:sz="0" w:space="0" w:color="auto"/>
            <w:right w:val="none" w:sz="0" w:space="0" w:color="auto"/>
          </w:divBdr>
        </w:div>
        <w:div w:id="553472618">
          <w:marLeft w:val="0"/>
          <w:marRight w:val="0"/>
          <w:marTop w:val="0"/>
          <w:marBottom w:val="0"/>
          <w:divBdr>
            <w:top w:val="none" w:sz="0" w:space="0" w:color="auto"/>
            <w:left w:val="none" w:sz="0" w:space="0" w:color="auto"/>
            <w:bottom w:val="none" w:sz="0" w:space="0" w:color="auto"/>
            <w:right w:val="none" w:sz="0" w:space="0" w:color="auto"/>
          </w:divBdr>
        </w:div>
        <w:div w:id="621812195">
          <w:marLeft w:val="0"/>
          <w:marRight w:val="0"/>
          <w:marTop w:val="0"/>
          <w:marBottom w:val="0"/>
          <w:divBdr>
            <w:top w:val="none" w:sz="0" w:space="0" w:color="auto"/>
            <w:left w:val="none" w:sz="0" w:space="0" w:color="auto"/>
            <w:bottom w:val="none" w:sz="0" w:space="0" w:color="auto"/>
            <w:right w:val="none" w:sz="0" w:space="0" w:color="auto"/>
          </w:divBdr>
        </w:div>
        <w:div w:id="827331070">
          <w:marLeft w:val="0"/>
          <w:marRight w:val="0"/>
          <w:marTop w:val="0"/>
          <w:marBottom w:val="0"/>
          <w:divBdr>
            <w:top w:val="none" w:sz="0" w:space="0" w:color="auto"/>
            <w:left w:val="none" w:sz="0" w:space="0" w:color="auto"/>
            <w:bottom w:val="none" w:sz="0" w:space="0" w:color="auto"/>
            <w:right w:val="none" w:sz="0" w:space="0" w:color="auto"/>
          </w:divBdr>
        </w:div>
        <w:div w:id="903755544">
          <w:marLeft w:val="0"/>
          <w:marRight w:val="0"/>
          <w:marTop w:val="0"/>
          <w:marBottom w:val="0"/>
          <w:divBdr>
            <w:top w:val="none" w:sz="0" w:space="0" w:color="auto"/>
            <w:left w:val="none" w:sz="0" w:space="0" w:color="auto"/>
            <w:bottom w:val="none" w:sz="0" w:space="0" w:color="auto"/>
            <w:right w:val="none" w:sz="0" w:space="0" w:color="auto"/>
          </w:divBdr>
        </w:div>
        <w:div w:id="984354039">
          <w:marLeft w:val="0"/>
          <w:marRight w:val="0"/>
          <w:marTop w:val="0"/>
          <w:marBottom w:val="0"/>
          <w:divBdr>
            <w:top w:val="none" w:sz="0" w:space="0" w:color="auto"/>
            <w:left w:val="none" w:sz="0" w:space="0" w:color="auto"/>
            <w:bottom w:val="none" w:sz="0" w:space="0" w:color="auto"/>
            <w:right w:val="none" w:sz="0" w:space="0" w:color="auto"/>
          </w:divBdr>
        </w:div>
        <w:div w:id="1147235922">
          <w:marLeft w:val="0"/>
          <w:marRight w:val="0"/>
          <w:marTop w:val="0"/>
          <w:marBottom w:val="0"/>
          <w:divBdr>
            <w:top w:val="none" w:sz="0" w:space="0" w:color="auto"/>
            <w:left w:val="none" w:sz="0" w:space="0" w:color="auto"/>
            <w:bottom w:val="none" w:sz="0" w:space="0" w:color="auto"/>
            <w:right w:val="none" w:sz="0" w:space="0" w:color="auto"/>
          </w:divBdr>
        </w:div>
        <w:div w:id="1230920361">
          <w:marLeft w:val="0"/>
          <w:marRight w:val="0"/>
          <w:marTop w:val="0"/>
          <w:marBottom w:val="0"/>
          <w:divBdr>
            <w:top w:val="none" w:sz="0" w:space="0" w:color="auto"/>
            <w:left w:val="none" w:sz="0" w:space="0" w:color="auto"/>
            <w:bottom w:val="none" w:sz="0" w:space="0" w:color="auto"/>
            <w:right w:val="none" w:sz="0" w:space="0" w:color="auto"/>
          </w:divBdr>
        </w:div>
        <w:div w:id="1304195754">
          <w:marLeft w:val="0"/>
          <w:marRight w:val="0"/>
          <w:marTop w:val="0"/>
          <w:marBottom w:val="0"/>
          <w:divBdr>
            <w:top w:val="none" w:sz="0" w:space="0" w:color="auto"/>
            <w:left w:val="none" w:sz="0" w:space="0" w:color="auto"/>
            <w:bottom w:val="none" w:sz="0" w:space="0" w:color="auto"/>
            <w:right w:val="none" w:sz="0" w:space="0" w:color="auto"/>
          </w:divBdr>
        </w:div>
        <w:div w:id="1340891829">
          <w:marLeft w:val="0"/>
          <w:marRight w:val="0"/>
          <w:marTop w:val="0"/>
          <w:marBottom w:val="0"/>
          <w:divBdr>
            <w:top w:val="none" w:sz="0" w:space="0" w:color="auto"/>
            <w:left w:val="none" w:sz="0" w:space="0" w:color="auto"/>
            <w:bottom w:val="none" w:sz="0" w:space="0" w:color="auto"/>
            <w:right w:val="none" w:sz="0" w:space="0" w:color="auto"/>
          </w:divBdr>
        </w:div>
        <w:div w:id="1501693665">
          <w:marLeft w:val="0"/>
          <w:marRight w:val="0"/>
          <w:marTop w:val="0"/>
          <w:marBottom w:val="0"/>
          <w:divBdr>
            <w:top w:val="none" w:sz="0" w:space="0" w:color="auto"/>
            <w:left w:val="none" w:sz="0" w:space="0" w:color="auto"/>
            <w:bottom w:val="none" w:sz="0" w:space="0" w:color="auto"/>
            <w:right w:val="none" w:sz="0" w:space="0" w:color="auto"/>
          </w:divBdr>
        </w:div>
        <w:div w:id="1609506183">
          <w:marLeft w:val="0"/>
          <w:marRight w:val="0"/>
          <w:marTop w:val="0"/>
          <w:marBottom w:val="0"/>
          <w:divBdr>
            <w:top w:val="none" w:sz="0" w:space="0" w:color="auto"/>
            <w:left w:val="none" w:sz="0" w:space="0" w:color="auto"/>
            <w:bottom w:val="none" w:sz="0" w:space="0" w:color="auto"/>
            <w:right w:val="none" w:sz="0" w:space="0" w:color="auto"/>
          </w:divBdr>
        </w:div>
        <w:div w:id="1614481207">
          <w:marLeft w:val="0"/>
          <w:marRight w:val="0"/>
          <w:marTop w:val="0"/>
          <w:marBottom w:val="0"/>
          <w:divBdr>
            <w:top w:val="none" w:sz="0" w:space="0" w:color="auto"/>
            <w:left w:val="none" w:sz="0" w:space="0" w:color="auto"/>
            <w:bottom w:val="none" w:sz="0" w:space="0" w:color="auto"/>
            <w:right w:val="none" w:sz="0" w:space="0" w:color="auto"/>
          </w:divBdr>
        </w:div>
        <w:div w:id="1640455960">
          <w:marLeft w:val="0"/>
          <w:marRight w:val="0"/>
          <w:marTop w:val="0"/>
          <w:marBottom w:val="0"/>
          <w:divBdr>
            <w:top w:val="none" w:sz="0" w:space="0" w:color="auto"/>
            <w:left w:val="none" w:sz="0" w:space="0" w:color="auto"/>
            <w:bottom w:val="none" w:sz="0" w:space="0" w:color="auto"/>
            <w:right w:val="none" w:sz="0" w:space="0" w:color="auto"/>
          </w:divBdr>
        </w:div>
        <w:div w:id="1894150166">
          <w:marLeft w:val="0"/>
          <w:marRight w:val="0"/>
          <w:marTop w:val="0"/>
          <w:marBottom w:val="0"/>
          <w:divBdr>
            <w:top w:val="none" w:sz="0" w:space="0" w:color="auto"/>
            <w:left w:val="none" w:sz="0" w:space="0" w:color="auto"/>
            <w:bottom w:val="none" w:sz="0" w:space="0" w:color="auto"/>
            <w:right w:val="none" w:sz="0" w:space="0" w:color="auto"/>
          </w:divBdr>
        </w:div>
        <w:div w:id="1969122668">
          <w:marLeft w:val="0"/>
          <w:marRight w:val="0"/>
          <w:marTop w:val="0"/>
          <w:marBottom w:val="0"/>
          <w:divBdr>
            <w:top w:val="none" w:sz="0" w:space="0" w:color="auto"/>
            <w:left w:val="none" w:sz="0" w:space="0" w:color="auto"/>
            <w:bottom w:val="none" w:sz="0" w:space="0" w:color="auto"/>
            <w:right w:val="none" w:sz="0" w:space="0" w:color="auto"/>
          </w:divBdr>
        </w:div>
        <w:div w:id="1978871250">
          <w:marLeft w:val="0"/>
          <w:marRight w:val="0"/>
          <w:marTop w:val="0"/>
          <w:marBottom w:val="0"/>
          <w:divBdr>
            <w:top w:val="none" w:sz="0" w:space="0" w:color="auto"/>
            <w:left w:val="none" w:sz="0" w:space="0" w:color="auto"/>
            <w:bottom w:val="none" w:sz="0" w:space="0" w:color="auto"/>
            <w:right w:val="none" w:sz="0" w:space="0" w:color="auto"/>
          </w:divBdr>
        </w:div>
        <w:div w:id="1988362554">
          <w:marLeft w:val="0"/>
          <w:marRight w:val="0"/>
          <w:marTop w:val="0"/>
          <w:marBottom w:val="0"/>
          <w:divBdr>
            <w:top w:val="none" w:sz="0" w:space="0" w:color="auto"/>
            <w:left w:val="none" w:sz="0" w:space="0" w:color="auto"/>
            <w:bottom w:val="none" w:sz="0" w:space="0" w:color="auto"/>
            <w:right w:val="none" w:sz="0" w:space="0" w:color="auto"/>
          </w:divBdr>
        </w:div>
        <w:div w:id="1996908755">
          <w:marLeft w:val="0"/>
          <w:marRight w:val="0"/>
          <w:marTop w:val="0"/>
          <w:marBottom w:val="0"/>
          <w:divBdr>
            <w:top w:val="none" w:sz="0" w:space="0" w:color="auto"/>
            <w:left w:val="none" w:sz="0" w:space="0" w:color="auto"/>
            <w:bottom w:val="none" w:sz="0" w:space="0" w:color="auto"/>
            <w:right w:val="none" w:sz="0" w:space="0" w:color="auto"/>
          </w:divBdr>
        </w:div>
        <w:div w:id="2012947510">
          <w:marLeft w:val="0"/>
          <w:marRight w:val="0"/>
          <w:marTop w:val="0"/>
          <w:marBottom w:val="0"/>
          <w:divBdr>
            <w:top w:val="none" w:sz="0" w:space="0" w:color="auto"/>
            <w:left w:val="none" w:sz="0" w:space="0" w:color="auto"/>
            <w:bottom w:val="none" w:sz="0" w:space="0" w:color="auto"/>
            <w:right w:val="none" w:sz="0" w:space="0" w:color="auto"/>
          </w:divBdr>
        </w:div>
      </w:divsChild>
    </w:div>
    <w:div w:id="790243983">
      <w:bodyDiv w:val="1"/>
      <w:marLeft w:val="0"/>
      <w:marRight w:val="0"/>
      <w:marTop w:val="0"/>
      <w:marBottom w:val="0"/>
      <w:divBdr>
        <w:top w:val="none" w:sz="0" w:space="0" w:color="auto"/>
        <w:left w:val="none" w:sz="0" w:space="0" w:color="auto"/>
        <w:bottom w:val="none" w:sz="0" w:space="0" w:color="auto"/>
        <w:right w:val="none" w:sz="0" w:space="0" w:color="auto"/>
      </w:divBdr>
      <w:divsChild>
        <w:div w:id="11733203">
          <w:marLeft w:val="0"/>
          <w:marRight w:val="0"/>
          <w:marTop w:val="0"/>
          <w:marBottom w:val="0"/>
          <w:divBdr>
            <w:top w:val="none" w:sz="0" w:space="0" w:color="auto"/>
            <w:left w:val="none" w:sz="0" w:space="0" w:color="auto"/>
            <w:bottom w:val="none" w:sz="0" w:space="0" w:color="auto"/>
            <w:right w:val="none" w:sz="0" w:space="0" w:color="auto"/>
          </w:divBdr>
          <w:divsChild>
            <w:div w:id="1594902002">
              <w:marLeft w:val="0"/>
              <w:marRight w:val="0"/>
              <w:marTop w:val="0"/>
              <w:marBottom w:val="0"/>
              <w:divBdr>
                <w:top w:val="none" w:sz="0" w:space="0" w:color="auto"/>
                <w:left w:val="none" w:sz="0" w:space="0" w:color="auto"/>
                <w:bottom w:val="none" w:sz="0" w:space="0" w:color="auto"/>
                <w:right w:val="none" w:sz="0" w:space="0" w:color="auto"/>
              </w:divBdr>
            </w:div>
          </w:divsChild>
        </w:div>
        <w:div w:id="481195359">
          <w:marLeft w:val="0"/>
          <w:marRight w:val="0"/>
          <w:marTop w:val="0"/>
          <w:marBottom w:val="0"/>
          <w:divBdr>
            <w:top w:val="none" w:sz="0" w:space="0" w:color="auto"/>
            <w:left w:val="none" w:sz="0" w:space="0" w:color="auto"/>
            <w:bottom w:val="none" w:sz="0" w:space="0" w:color="auto"/>
            <w:right w:val="none" w:sz="0" w:space="0" w:color="auto"/>
          </w:divBdr>
          <w:divsChild>
            <w:div w:id="160396961">
              <w:marLeft w:val="0"/>
              <w:marRight w:val="0"/>
              <w:marTop w:val="0"/>
              <w:marBottom w:val="0"/>
              <w:divBdr>
                <w:top w:val="none" w:sz="0" w:space="0" w:color="auto"/>
                <w:left w:val="none" w:sz="0" w:space="0" w:color="auto"/>
                <w:bottom w:val="none" w:sz="0" w:space="0" w:color="auto"/>
                <w:right w:val="none" w:sz="0" w:space="0" w:color="auto"/>
              </w:divBdr>
            </w:div>
          </w:divsChild>
        </w:div>
        <w:div w:id="923563838">
          <w:marLeft w:val="0"/>
          <w:marRight w:val="0"/>
          <w:marTop w:val="0"/>
          <w:marBottom w:val="0"/>
          <w:divBdr>
            <w:top w:val="none" w:sz="0" w:space="0" w:color="auto"/>
            <w:left w:val="none" w:sz="0" w:space="0" w:color="auto"/>
            <w:bottom w:val="none" w:sz="0" w:space="0" w:color="auto"/>
            <w:right w:val="none" w:sz="0" w:space="0" w:color="auto"/>
          </w:divBdr>
          <w:divsChild>
            <w:div w:id="1477259532">
              <w:marLeft w:val="0"/>
              <w:marRight w:val="0"/>
              <w:marTop w:val="0"/>
              <w:marBottom w:val="0"/>
              <w:divBdr>
                <w:top w:val="none" w:sz="0" w:space="0" w:color="auto"/>
                <w:left w:val="none" w:sz="0" w:space="0" w:color="auto"/>
                <w:bottom w:val="none" w:sz="0" w:space="0" w:color="auto"/>
                <w:right w:val="none" w:sz="0" w:space="0" w:color="auto"/>
              </w:divBdr>
            </w:div>
          </w:divsChild>
        </w:div>
        <w:div w:id="1902860109">
          <w:marLeft w:val="0"/>
          <w:marRight w:val="0"/>
          <w:marTop w:val="0"/>
          <w:marBottom w:val="0"/>
          <w:divBdr>
            <w:top w:val="none" w:sz="0" w:space="0" w:color="auto"/>
            <w:left w:val="none" w:sz="0" w:space="0" w:color="auto"/>
            <w:bottom w:val="none" w:sz="0" w:space="0" w:color="auto"/>
            <w:right w:val="none" w:sz="0" w:space="0" w:color="auto"/>
          </w:divBdr>
          <w:divsChild>
            <w:div w:id="173069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057080">
      <w:bodyDiv w:val="1"/>
      <w:marLeft w:val="0"/>
      <w:marRight w:val="0"/>
      <w:marTop w:val="0"/>
      <w:marBottom w:val="0"/>
      <w:divBdr>
        <w:top w:val="none" w:sz="0" w:space="0" w:color="auto"/>
        <w:left w:val="none" w:sz="0" w:space="0" w:color="auto"/>
        <w:bottom w:val="none" w:sz="0" w:space="0" w:color="auto"/>
        <w:right w:val="none" w:sz="0" w:space="0" w:color="auto"/>
      </w:divBdr>
    </w:div>
    <w:div w:id="809396627">
      <w:bodyDiv w:val="1"/>
      <w:marLeft w:val="0"/>
      <w:marRight w:val="0"/>
      <w:marTop w:val="0"/>
      <w:marBottom w:val="0"/>
      <w:divBdr>
        <w:top w:val="none" w:sz="0" w:space="0" w:color="auto"/>
        <w:left w:val="none" w:sz="0" w:space="0" w:color="auto"/>
        <w:bottom w:val="none" w:sz="0" w:space="0" w:color="auto"/>
        <w:right w:val="none" w:sz="0" w:space="0" w:color="auto"/>
      </w:divBdr>
      <w:divsChild>
        <w:div w:id="271133176">
          <w:marLeft w:val="0"/>
          <w:marRight w:val="0"/>
          <w:marTop w:val="0"/>
          <w:marBottom w:val="0"/>
          <w:divBdr>
            <w:top w:val="none" w:sz="0" w:space="0" w:color="auto"/>
            <w:left w:val="none" w:sz="0" w:space="0" w:color="auto"/>
            <w:bottom w:val="none" w:sz="0" w:space="0" w:color="auto"/>
            <w:right w:val="none" w:sz="0" w:space="0" w:color="auto"/>
          </w:divBdr>
        </w:div>
        <w:div w:id="851533074">
          <w:marLeft w:val="0"/>
          <w:marRight w:val="0"/>
          <w:marTop w:val="0"/>
          <w:marBottom w:val="0"/>
          <w:divBdr>
            <w:top w:val="none" w:sz="0" w:space="0" w:color="auto"/>
            <w:left w:val="none" w:sz="0" w:space="0" w:color="auto"/>
            <w:bottom w:val="none" w:sz="0" w:space="0" w:color="auto"/>
            <w:right w:val="none" w:sz="0" w:space="0" w:color="auto"/>
          </w:divBdr>
        </w:div>
      </w:divsChild>
    </w:div>
    <w:div w:id="811143068">
      <w:bodyDiv w:val="1"/>
      <w:marLeft w:val="0"/>
      <w:marRight w:val="0"/>
      <w:marTop w:val="0"/>
      <w:marBottom w:val="0"/>
      <w:divBdr>
        <w:top w:val="none" w:sz="0" w:space="0" w:color="auto"/>
        <w:left w:val="none" w:sz="0" w:space="0" w:color="auto"/>
        <w:bottom w:val="none" w:sz="0" w:space="0" w:color="auto"/>
        <w:right w:val="none" w:sz="0" w:space="0" w:color="auto"/>
      </w:divBdr>
    </w:div>
    <w:div w:id="831994124">
      <w:bodyDiv w:val="1"/>
      <w:marLeft w:val="0"/>
      <w:marRight w:val="0"/>
      <w:marTop w:val="0"/>
      <w:marBottom w:val="0"/>
      <w:divBdr>
        <w:top w:val="none" w:sz="0" w:space="0" w:color="auto"/>
        <w:left w:val="none" w:sz="0" w:space="0" w:color="auto"/>
        <w:bottom w:val="none" w:sz="0" w:space="0" w:color="auto"/>
        <w:right w:val="none" w:sz="0" w:space="0" w:color="auto"/>
      </w:divBdr>
    </w:div>
    <w:div w:id="836381346">
      <w:bodyDiv w:val="1"/>
      <w:marLeft w:val="0"/>
      <w:marRight w:val="0"/>
      <w:marTop w:val="0"/>
      <w:marBottom w:val="0"/>
      <w:divBdr>
        <w:top w:val="none" w:sz="0" w:space="0" w:color="auto"/>
        <w:left w:val="none" w:sz="0" w:space="0" w:color="auto"/>
        <w:bottom w:val="none" w:sz="0" w:space="0" w:color="auto"/>
        <w:right w:val="none" w:sz="0" w:space="0" w:color="auto"/>
      </w:divBdr>
    </w:div>
    <w:div w:id="851846434">
      <w:bodyDiv w:val="1"/>
      <w:marLeft w:val="0"/>
      <w:marRight w:val="0"/>
      <w:marTop w:val="0"/>
      <w:marBottom w:val="0"/>
      <w:divBdr>
        <w:top w:val="none" w:sz="0" w:space="0" w:color="auto"/>
        <w:left w:val="none" w:sz="0" w:space="0" w:color="auto"/>
        <w:bottom w:val="none" w:sz="0" w:space="0" w:color="auto"/>
        <w:right w:val="none" w:sz="0" w:space="0" w:color="auto"/>
      </w:divBdr>
    </w:div>
    <w:div w:id="879365069">
      <w:bodyDiv w:val="1"/>
      <w:marLeft w:val="0"/>
      <w:marRight w:val="0"/>
      <w:marTop w:val="0"/>
      <w:marBottom w:val="0"/>
      <w:divBdr>
        <w:top w:val="none" w:sz="0" w:space="0" w:color="auto"/>
        <w:left w:val="none" w:sz="0" w:space="0" w:color="auto"/>
        <w:bottom w:val="none" w:sz="0" w:space="0" w:color="auto"/>
        <w:right w:val="none" w:sz="0" w:space="0" w:color="auto"/>
      </w:divBdr>
    </w:div>
    <w:div w:id="879515663">
      <w:bodyDiv w:val="1"/>
      <w:marLeft w:val="0"/>
      <w:marRight w:val="0"/>
      <w:marTop w:val="0"/>
      <w:marBottom w:val="0"/>
      <w:divBdr>
        <w:top w:val="none" w:sz="0" w:space="0" w:color="auto"/>
        <w:left w:val="none" w:sz="0" w:space="0" w:color="auto"/>
        <w:bottom w:val="none" w:sz="0" w:space="0" w:color="auto"/>
        <w:right w:val="none" w:sz="0" w:space="0" w:color="auto"/>
      </w:divBdr>
      <w:divsChild>
        <w:div w:id="1522359948">
          <w:marLeft w:val="0"/>
          <w:marRight w:val="0"/>
          <w:marTop w:val="0"/>
          <w:marBottom w:val="0"/>
          <w:divBdr>
            <w:top w:val="none" w:sz="0" w:space="0" w:color="auto"/>
            <w:left w:val="none" w:sz="0" w:space="0" w:color="auto"/>
            <w:bottom w:val="none" w:sz="0" w:space="0" w:color="auto"/>
            <w:right w:val="none" w:sz="0" w:space="0" w:color="auto"/>
          </w:divBdr>
        </w:div>
      </w:divsChild>
    </w:div>
    <w:div w:id="891619255">
      <w:bodyDiv w:val="1"/>
      <w:marLeft w:val="0"/>
      <w:marRight w:val="0"/>
      <w:marTop w:val="0"/>
      <w:marBottom w:val="0"/>
      <w:divBdr>
        <w:top w:val="none" w:sz="0" w:space="0" w:color="auto"/>
        <w:left w:val="none" w:sz="0" w:space="0" w:color="auto"/>
        <w:bottom w:val="none" w:sz="0" w:space="0" w:color="auto"/>
        <w:right w:val="none" w:sz="0" w:space="0" w:color="auto"/>
      </w:divBdr>
    </w:div>
    <w:div w:id="920915788">
      <w:bodyDiv w:val="1"/>
      <w:marLeft w:val="0"/>
      <w:marRight w:val="0"/>
      <w:marTop w:val="0"/>
      <w:marBottom w:val="0"/>
      <w:divBdr>
        <w:top w:val="none" w:sz="0" w:space="0" w:color="auto"/>
        <w:left w:val="none" w:sz="0" w:space="0" w:color="auto"/>
        <w:bottom w:val="none" w:sz="0" w:space="0" w:color="auto"/>
        <w:right w:val="none" w:sz="0" w:space="0" w:color="auto"/>
      </w:divBdr>
    </w:div>
    <w:div w:id="926691639">
      <w:bodyDiv w:val="1"/>
      <w:marLeft w:val="0"/>
      <w:marRight w:val="0"/>
      <w:marTop w:val="0"/>
      <w:marBottom w:val="0"/>
      <w:divBdr>
        <w:top w:val="none" w:sz="0" w:space="0" w:color="auto"/>
        <w:left w:val="none" w:sz="0" w:space="0" w:color="auto"/>
        <w:bottom w:val="none" w:sz="0" w:space="0" w:color="auto"/>
        <w:right w:val="none" w:sz="0" w:space="0" w:color="auto"/>
      </w:divBdr>
    </w:div>
    <w:div w:id="933320726">
      <w:bodyDiv w:val="1"/>
      <w:marLeft w:val="0"/>
      <w:marRight w:val="0"/>
      <w:marTop w:val="0"/>
      <w:marBottom w:val="0"/>
      <w:divBdr>
        <w:top w:val="none" w:sz="0" w:space="0" w:color="auto"/>
        <w:left w:val="none" w:sz="0" w:space="0" w:color="auto"/>
        <w:bottom w:val="none" w:sz="0" w:space="0" w:color="auto"/>
        <w:right w:val="none" w:sz="0" w:space="0" w:color="auto"/>
      </w:divBdr>
    </w:div>
    <w:div w:id="963970527">
      <w:bodyDiv w:val="1"/>
      <w:marLeft w:val="0"/>
      <w:marRight w:val="0"/>
      <w:marTop w:val="0"/>
      <w:marBottom w:val="0"/>
      <w:divBdr>
        <w:top w:val="none" w:sz="0" w:space="0" w:color="auto"/>
        <w:left w:val="none" w:sz="0" w:space="0" w:color="auto"/>
        <w:bottom w:val="none" w:sz="0" w:space="0" w:color="auto"/>
        <w:right w:val="none" w:sz="0" w:space="0" w:color="auto"/>
      </w:divBdr>
    </w:div>
    <w:div w:id="964580602">
      <w:bodyDiv w:val="1"/>
      <w:marLeft w:val="0"/>
      <w:marRight w:val="0"/>
      <w:marTop w:val="0"/>
      <w:marBottom w:val="0"/>
      <w:divBdr>
        <w:top w:val="none" w:sz="0" w:space="0" w:color="auto"/>
        <w:left w:val="none" w:sz="0" w:space="0" w:color="auto"/>
        <w:bottom w:val="none" w:sz="0" w:space="0" w:color="auto"/>
        <w:right w:val="none" w:sz="0" w:space="0" w:color="auto"/>
      </w:divBdr>
      <w:divsChild>
        <w:div w:id="978539411">
          <w:marLeft w:val="0"/>
          <w:marRight w:val="0"/>
          <w:marTop w:val="0"/>
          <w:marBottom w:val="0"/>
          <w:divBdr>
            <w:top w:val="none" w:sz="0" w:space="0" w:color="auto"/>
            <w:left w:val="none" w:sz="0" w:space="0" w:color="auto"/>
            <w:bottom w:val="none" w:sz="0" w:space="0" w:color="auto"/>
            <w:right w:val="none" w:sz="0" w:space="0" w:color="auto"/>
          </w:divBdr>
        </w:div>
        <w:div w:id="1159809791">
          <w:marLeft w:val="0"/>
          <w:marRight w:val="0"/>
          <w:marTop w:val="0"/>
          <w:marBottom w:val="0"/>
          <w:divBdr>
            <w:top w:val="none" w:sz="0" w:space="0" w:color="auto"/>
            <w:left w:val="none" w:sz="0" w:space="0" w:color="auto"/>
            <w:bottom w:val="none" w:sz="0" w:space="0" w:color="auto"/>
            <w:right w:val="none" w:sz="0" w:space="0" w:color="auto"/>
          </w:divBdr>
        </w:div>
        <w:div w:id="1541669163">
          <w:marLeft w:val="0"/>
          <w:marRight w:val="0"/>
          <w:marTop w:val="0"/>
          <w:marBottom w:val="0"/>
          <w:divBdr>
            <w:top w:val="none" w:sz="0" w:space="0" w:color="auto"/>
            <w:left w:val="none" w:sz="0" w:space="0" w:color="auto"/>
            <w:bottom w:val="none" w:sz="0" w:space="0" w:color="auto"/>
            <w:right w:val="none" w:sz="0" w:space="0" w:color="auto"/>
          </w:divBdr>
        </w:div>
      </w:divsChild>
    </w:div>
    <w:div w:id="988677016">
      <w:bodyDiv w:val="1"/>
      <w:marLeft w:val="0"/>
      <w:marRight w:val="0"/>
      <w:marTop w:val="0"/>
      <w:marBottom w:val="0"/>
      <w:divBdr>
        <w:top w:val="none" w:sz="0" w:space="0" w:color="auto"/>
        <w:left w:val="none" w:sz="0" w:space="0" w:color="auto"/>
        <w:bottom w:val="none" w:sz="0" w:space="0" w:color="auto"/>
        <w:right w:val="none" w:sz="0" w:space="0" w:color="auto"/>
      </w:divBdr>
      <w:divsChild>
        <w:div w:id="269165359">
          <w:marLeft w:val="0"/>
          <w:marRight w:val="0"/>
          <w:marTop w:val="0"/>
          <w:marBottom w:val="0"/>
          <w:divBdr>
            <w:top w:val="none" w:sz="0" w:space="0" w:color="auto"/>
            <w:left w:val="none" w:sz="0" w:space="0" w:color="auto"/>
            <w:bottom w:val="none" w:sz="0" w:space="0" w:color="auto"/>
            <w:right w:val="none" w:sz="0" w:space="0" w:color="auto"/>
          </w:divBdr>
        </w:div>
        <w:div w:id="629095549">
          <w:marLeft w:val="0"/>
          <w:marRight w:val="0"/>
          <w:marTop w:val="0"/>
          <w:marBottom w:val="0"/>
          <w:divBdr>
            <w:top w:val="none" w:sz="0" w:space="0" w:color="auto"/>
            <w:left w:val="none" w:sz="0" w:space="0" w:color="auto"/>
            <w:bottom w:val="none" w:sz="0" w:space="0" w:color="auto"/>
            <w:right w:val="none" w:sz="0" w:space="0" w:color="auto"/>
          </w:divBdr>
        </w:div>
        <w:div w:id="715198283">
          <w:marLeft w:val="0"/>
          <w:marRight w:val="0"/>
          <w:marTop w:val="0"/>
          <w:marBottom w:val="0"/>
          <w:divBdr>
            <w:top w:val="none" w:sz="0" w:space="0" w:color="auto"/>
            <w:left w:val="none" w:sz="0" w:space="0" w:color="auto"/>
            <w:bottom w:val="none" w:sz="0" w:space="0" w:color="auto"/>
            <w:right w:val="none" w:sz="0" w:space="0" w:color="auto"/>
          </w:divBdr>
        </w:div>
        <w:div w:id="907767001">
          <w:marLeft w:val="0"/>
          <w:marRight w:val="0"/>
          <w:marTop w:val="0"/>
          <w:marBottom w:val="0"/>
          <w:divBdr>
            <w:top w:val="none" w:sz="0" w:space="0" w:color="auto"/>
            <w:left w:val="none" w:sz="0" w:space="0" w:color="auto"/>
            <w:bottom w:val="none" w:sz="0" w:space="0" w:color="auto"/>
            <w:right w:val="none" w:sz="0" w:space="0" w:color="auto"/>
          </w:divBdr>
        </w:div>
        <w:div w:id="1636181511">
          <w:marLeft w:val="0"/>
          <w:marRight w:val="0"/>
          <w:marTop w:val="0"/>
          <w:marBottom w:val="0"/>
          <w:divBdr>
            <w:top w:val="none" w:sz="0" w:space="0" w:color="auto"/>
            <w:left w:val="none" w:sz="0" w:space="0" w:color="auto"/>
            <w:bottom w:val="none" w:sz="0" w:space="0" w:color="auto"/>
            <w:right w:val="none" w:sz="0" w:space="0" w:color="auto"/>
          </w:divBdr>
        </w:div>
        <w:div w:id="1681200576">
          <w:marLeft w:val="0"/>
          <w:marRight w:val="0"/>
          <w:marTop w:val="0"/>
          <w:marBottom w:val="0"/>
          <w:divBdr>
            <w:top w:val="none" w:sz="0" w:space="0" w:color="auto"/>
            <w:left w:val="none" w:sz="0" w:space="0" w:color="auto"/>
            <w:bottom w:val="none" w:sz="0" w:space="0" w:color="auto"/>
            <w:right w:val="none" w:sz="0" w:space="0" w:color="auto"/>
          </w:divBdr>
        </w:div>
        <w:div w:id="1692487839">
          <w:marLeft w:val="0"/>
          <w:marRight w:val="0"/>
          <w:marTop w:val="0"/>
          <w:marBottom w:val="0"/>
          <w:divBdr>
            <w:top w:val="none" w:sz="0" w:space="0" w:color="auto"/>
            <w:left w:val="none" w:sz="0" w:space="0" w:color="auto"/>
            <w:bottom w:val="none" w:sz="0" w:space="0" w:color="auto"/>
            <w:right w:val="none" w:sz="0" w:space="0" w:color="auto"/>
          </w:divBdr>
        </w:div>
        <w:div w:id="1718358632">
          <w:marLeft w:val="0"/>
          <w:marRight w:val="0"/>
          <w:marTop w:val="0"/>
          <w:marBottom w:val="0"/>
          <w:divBdr>
            <w:top w:val="none" w:sz="0" w:space="0" w:color="auto"/>
            <w:left w:val="none" w:sz="0" w:space="0" w:color="auto"/>
            <w:bottom w:val="none" w:sz="0" w:space="0" w:color="auto"/>
            <w:right w:val="none" w:sz="0" w:space="0" w:color="auto"/>
          </w:divBdr>
        </w:div>
        <w:div w:id="1836261631">
          <w:marLeft w:val="0"/>
          <w:marRight w:val="0"/>
          <w:marTop w:val="0"/>
          <w:marBottom w:val="0"/>
          <w:divBdr>
            <w:top w:val="none" w:sz="0" w:space="0" w:color="auto"/>
            <w:left w:val="none" w:sz="0" w:space="0" w:color="auto"/>
            <w:bottom w:val="none" w:sz="0" w:space="0" w:color="auto"/>
            <w:right w:val="none" w:sz="0" w:space="0" w:color="auto"/>
          </w:divBdr>
        </w:div>
        <w:div w:id="1920094827">
          <w:marLeft w:val="0"/>
          <w:marRight w:val="0"/>
          <w:marTop w:val="0"/>
          <w:marBottom w:val="0"/>
          <w:divBdr>
            <w:top w:val="none" w:sz="0" w:space="0" w:color="auto"/>
            <w:left w:val="none" w:sz="0" w:space="0" w:color="auto"/>
            <w:bottom w:val="none" w:sz="0" w:space="0" w:color="auto"/>
            <w:right w:val="none" w:sz="0" w:space="0" w:color="auto"/>
          </w:divBdr>
        </w:div>
        <w:div w:id="1932736790">
          <w:marLeft w:val="0"/>
          <w:marRight w:val="0"/>
          <w:marTop w:val="0"/>
          <w:marBottom w:val="0"/>
          <w:divBdr>
            <w:top w:val="none" w:sz="0" w:space="0" w:color="auto"/>
            <w:left w:val="none" w:sz="0" w:space="0" w:color="auto"/>
            <w:bottom w:val="none" w:sz="0" w:space="0" w:color="auto"/>
            <w:right w:val="none" w:sz="0" w:space="0" w:color="auto"/>
          </w:divBdr>
        </w:div>
        <w:div w:id="2022317579">
          <w:marLeft w:val="0"/>
          <w:marRight w:val="0"/>
          <w:marTop w:val="0"/>
          <w:marBottom w:val="0"/>
          <w:divBdr>
            <w:top w:val="none" w:sz="0" w:space="0" w:color="auto"/>
            <w:left w:val="none" w:sz="0" w:space="0" w:color="auto"/>
            <w:bottom w:val="none" w:sz="0" w:space="0" w:color="auto"/>
            <w:right w:val="none" w:sz="0" w:space="0" w:color="auto"/>
          </w:divBdr>
        </w:div>
        <w:div w:id="2137018873">
          <w:marLeft w:val="0"/>
          <w:marRight w:val="0"/>
          <w:marTop w:val="0"/>
          <w:marBottom w:val="0"/>
          <w:divBdr>
            <w:top w:val="none" w:sz="0" w:space="0" w:color="auto"/>
            <w:left w:val="none" w:sz="0" w:space="0" w:color="auto"/>
            <w:bottom w:val="none" w:sz="0" w:space="0" w:color="auto"/>
            <w:right w:val="none" w:sz="0" w:space="0" w:color="auto"/>
          </w:divBdr>
        </w:div>
      </w:divsChild>
    </w:div>
    <w:div w:id="1012219056">
      <w:bodyDiv w:val="1"/>
      <w:marLeft w:val="0"/>
      <w:marRight w:val="0"/>
      <w:marTop w:val="0"/>
      <w:marBottom w:val="0"/>
      <w:divBdr>
        <w:top w:val="none" w:sz="0" w:space="0" w:color="auto"/>
        <w:left w:val="none" w:sz="0" w:space="0" w:color="auto"/>
        <w:bottom w:val="none" w:sz="0" w:space="0" w:color="auto"/>
        <w:right w:val="none" w:sz="0" w:space="0" w:color="auto"/>
      </w:divBdr>
    </w:div>
    <w:div w:id="1019041227">
      <w:bodyDiv w:val="1"/>
      <w:marLeft w:val="0"/>
      <w:marRight w:val="0"/>
      <w:marTop w:val="0"/>
      <w:marBottom w:val="0"/>
      <w:divBdr>
        <w:top w:val="none" w:sz="0" w:space="0" w:color="auto"/>
        <w:left w:val="none" w:sz="0" w:space="0" w:color="auto"/>
        <w:bottom w:val="none" w:sz="0" w:space="0" w:color="auto"/>
        <w:right w:val="none" w:sz="0" w:space="0" w:color="auto"/>
      </w:divBdr>
      <w:divsChild>
        <w:div w:id="332270013">
          <w:marLeft w:val="0"/>
          <w:marRight w:val="0"/>
          <w:marTop w:val="0"/>
          <w:marBottom w:val="0"/>
          <w:divBdr>
            <w:top w:val="none" w:sz="0" w:space="0" w:color="auto"/>
            <w:left w:val="none" w:sz="0" w:space="0" w:color="auto"/>
            <w:bottom w:val="none" w:sz="0" w:space="0" w:color="auto"/>
            <w:right w:val="none" w:sz="0" w:space="0" w:color="auto"/>
          </w:divBdr>
        </w:div>
        <w:div w:id="646278176">
          <w:marLeft w:val="0"/>
          <w:marRight w:val="0"/>
          <w:marTop w:val="0"/>
          <w:marBottom w:val="0"/>
          <w:divBdr>
            <w:top w:val="none" w:sz="0" w:space="0" w:color="auto"/>
            <w:left w:val="none" w:sz="0" w:space="0" w:color="auto"/>
            <w:bottom w:val="none" w:sz="0" w:space="0" w:color="auto"/>
            <w:right w:val="none" w:sz="0" w:space="0" w:color="auto"/>
          </w:divBdr>
        </w:div>
        <w:div w:id="672800198">
          <w:marLeft w:val="0"/>
          <w:marRight w:val="0"/>
          <w:marTop w:val="0"/>
          <w:marBottom w:val="0"/>
          <w:divBdr>
            <w:top w:val="none" w:sz="0" w:space="0" w:color="auto"/>
            <w:left w:val="none" w:sz="0" w:space="0" w:color="auto"/>
            <w:bottom w:val="none" w:sz="0" w:space="0" w:color="auto"/>
            <w:right w:val="none" w:sz="0" w:space="0" w:color="auto"/>
          </w:divBdr>
        </w:div>
        <w:div w:id="716515220">
          <w:marLeft w:val="0"/>
          <w:marRight w:val="0"/>
          <w:marTop w:val="0"/>
          <w:marBottom w:val="0"/>
          <w:divBdr>
            <w:top w:val="none" w:sz="0" w:space="0" w:color="auto"/>
            <w:left w:val="none" w:sz="0" w:space="0" w:color="auto"/>
            <w:bottom w:val="none" w:sz="0" w:space="0" w:color="auto"/>
            <w:right w:val="none" w:sz="0" w:space="0" w:color="auto"/>
          </w:divBdr>
        </w:div>
        <w:div w:id="743990859">
          <w:marLeft w:val="0"/>
          <w:marRight w:val="0"/>
          <w:marTop w:val="0"/>
          <w:marBottom w:val="0"/>
          <w:divBdr>
            <w:top w:val="none" w:sz="0" w:space="0" w:color="auto"/>
            <w:left w:val="none" w:sz="0" w:space="0" w:color="auto"/>
            <w:bottom w:val="none" w:sz="0" w:space="0" w:color="auto"/>
            <w:right w:val="none" w:sz="0" w:space="0" w:color="auto"/>
          </w:divBdr>
        </w:div>
        <w:div w:id="1766534802">
          <w:marLeft w:val="0"/>
          <w:marRight w:val="0"/>
          <w:marTop w:val="0"/>
          <w:marBottom w:val="0"/>
          <w:divBdr>
            <w:top w:val="none" w:sz="0" w:space="0" w:color="auto"/>
            <w:left w:val="none" w:sz="0" w:space="0" w:color="auto"/>
            <w:bottom w:val="none" w:sz="0" w:space="0" w:color="auto"/>
            <w:right w:val="none" w:sz="0" w:space="0" w:color="auto"/>
          </w:divBdr>
        </w:div>
        <w:div w:id="1826966217">
          <w:marLeft w:val="0"/>
          <w:marRight w:val="0"/>
          <w:marTop w:val="0"/>
          <w:marBottom w:val="0"/>
          <w:divBdr>
            <w:top w:val="none" w:sz="0" w:space="0" w:color="auto"/>
            <w:left w:val="none" w:sz="0" w:space="0" w:color="auto"/>
            <w:bottom w:val="none" w:sz="0" w:space="0" w:color="auto"/>
            <w:right w:val="none" w:sz="0" w:space="0" w:color="auto"/>
          </w:divBdr>
        </w:div>
        <w:div w:id="2147162451">
          <w:marLeft w:val="0"/>
          <w:marRight w:val="0"/>
          <w:marTop w:val="0"/>
          <w:marBottom w:val="0"/>
          <w:divBdr>
            <w:top w:val="none" w:sz="0" w:space="0" w:color="auto"/>
            <w:left w:val="none" w:sz="0" w:space="0" w:color="auto"/>
            <w:bottom w:val="none" w:sz="0" w:space="0" w:color="auto"/>
            <w:right w:val="none" w:sz="0" w:space="0" w:color="auto"/>
          </w:divBdr>
        </w:div>
      </w:divsChild>
    </w:div>
    <w:div w:id="1023557395">
      <w:bodyDiv w:val="1"/>
      <w:marLeft w:val="0"/>
      <w:marRight w:val="0"/>
      <w:marTop w:val="0"/>
      <w:marBottom w:val="0"/>
      <w:divBdr>
        <w:top w:val="none" w:sz="0" w:space="0" w:color="auto"/>
        <w:left w:val="none" w:sz="0" w:space="0" w:color="auto"/>
        <w:bottom w:val="none" w:sz="0" w:space="0" w:color="auto"/>
        <w:right w:val="none" w:sz="0" w:space="0" w:color="auto"/>
      </w:divBdr>
    </w:div>
    <w:div w:id="1034774779">
      <w:bodyDiv w:val="1"/>
      <w:marLeft w:val="0"/>
      <w:marRight w:val="0"/>
      <w:marTop w:val="0"/>
      <w:marBottom w:val="0"/>
      <w:divBdr>
        <w:top w:val="none" w:sz="0" w:space="0" w:color="auto"/>
        <w:left w:val="none" w:sz="0" w:space="0" w:color="auto"/>
        <w:bottom w:val="none" w:sz="0" w:space="0" w:color="auto"/>
        <w:right w:val="none" w:sz="0" w:space="0" w:color="auto"/>
      </w:divBdr>
    </w:div>
    <w:div w:id="1075205096">
      <w:bodyDiv w:val="1"/>
      <w:marLeft w:val="0"/>
      <w:marRight w:val="0"/>
      <w:marTop w:val="0"/>
      <w:marBottom w:val="0"/>
      <w:divBdr>
        <w:top w:val="none" w:sz="0" w:space="0" w:color="auto"/>
        <w:left w:val="none" w:sz="0" w:space="0" w:color="auto"/>
        <w:bottom w:val="none" w:sz="0" w:space="0" w:color="auto"/>
        <w:right w:val="none" w:sz="0" w:space="0" w:color="auto"/>
      </w:divBdr>
    </w:div>
    <w:div w:id="1100837074">
      <w:bodyDiv w:val="1"/>
      <w:marLeft w:val="0"/>
      <w:marRight w:val="0"/>
      <w:marTop w:val="0"/>
      <w:marBottom w:val="0"/>
      <w:divBdr>
        <w:top w:val="none" w:sz="0" w:space="0" w:color="auto"/>
        <w:left w:val="none" w:sz="0" w:space="0" w:color="auto"/>
        <w:bottom w:val="none" w:sz="0" w:space="0" w:color="auto"/>
        <w:right w:val="none" w:sz="0" w:space="0" w:color="auto"/>
      </w:divBdr>
      <w:divsChild>
        <w:div w:id="8607276">
          <w:marLeft w:val="0"/>
          <w:marRight w:val="0"/>
          <w:marTop w:val="0"/>
          <w:marBottom w:val="0"/>
          <w:divBdr>
            <w:top w:val="none" w:sz="0" w:space="0" w:color="auto"/>
            <w:left w:val="none" w:sz="0" w:space="0" w:color="auto"/>
            <w:bottom w:val="none" w:sz="0" w:space="0" w:color="auto"/>
            <w:right w:val="none" w:sz="0" w:space="0" w:color="auto"/>
          </w:divBdr>
        </w:div>
        <w:div w:id="51394363">
          <w:marLeft w:val="0"/>
          <w:marRight w:val="0"/>
          <w:marTop w:val="0"/>
          <w:marBottom w:val="0"/>
          <w:divBdr>
            <w:top w:val="none" w:sz="0" w:space="0" w:color="auto"/>
            <w:left w:val="none" w:sz="0" w:space="0" w:color="auto"/>
            <w:bottom w:val="none" w:sz="0" w:space="0" w:color="auto"/>
            <w:right w:val="none" w:sz="0" w:space="0" w:color="auto"/>
          </w:divBdr>
        </w:div>
        <w:div w:id="88351555">
          <w:marLeft w:val="0"/>
          <w:marRight w:val="0"/>
          <w:marTop w:val="0"/>
          <w:marBottom w:val="0"/>
          <w:divBdr>
            <w:top w:val="none" w:sz="0" w:space="0" w:color="auto"/>
            <w:left w:val="none" w:sz="0" w:space="0" w:color="auto"/>
            <w:bottom w:val="none" w:sz="0" w:space="0" w:color="auto"/>
            <w:right w:val="none" w:sz="0" w:space="0" w:color="auto"/>
          </w:divBdr>
        </w:div>
        <w:div w:id="159659677">
          <w:marLeft w:val="0"/>
          <w:marRight w:val="0"/>
          <w:marTop w:val="0"/>
          <w:marBottom w:val="0"/>
          <w:divBdr>
            <w:top w:val="none" w:sz="0" w:space="0" w:color="auto"/>
            <w:left w:val="none" w:sz="0" w:space="0" w:color="auto"/>
            <w:bottom w:val="none" w:sz="0" w:space="0" w:color="auto"/>
            <w:right w:val="none" w:sz="0" w:space="0" w:color="auto"/>
          </w:divBdr>
        </w:div>
        <w:div w:id="651373007">
          <w:marLeft w:val="0"/>
          <w:marRight w:val="0"/>
          <w:marTop w:val="0"/>
          <w:marBottom w:val="0"/>
          <w:divBdr>
            <w:top w:val="none" w:sz="0" w:space="0" w:color="auto"/>
            <w:left w:val="none" w:sz="0" w:space="0" w:color="auto"/>
            <w:bottom w:val="none" w:sz="0" w:space="0" w:color="auto"/>
            <w:right w:val="none" w:sz="0" w:space="0" w:color="auto"/>
          </w:divBdr>
        </w:div>
        <w:div w:id="716316243">
          <w:marLeft w:val="0"/>
          <w:marRight w:val="0"/>
          <w:marTop w:val="0"/>
          <w:marBottom w:val="0"/>
          <w:divBdr>
            <w:top w:val="none" w:sz="0" w:space="0" w:color="auto"/>
            <w:left w:val="none" w:sz="0" w:space="0" w:color="auto"/>
            <w:bottom w:val="none" w:sz="0" w:space="0" w:color="auto"/>
            <w:right w:val="none" w:sz="0" w:space="0" w:color="auto"/>
          </w:divBdr>
        </w:div>
        <w:div w:id="1022823815">
          <w:marLeft w:val="0"/>
          <w:marRight w:val="0"/>
          <w:marTop w:val="0"/>
          <w:marBottom w:val="0"/>
          <w:divBdr>
            <w:top w:val="none" w:sz="0" w:space="0" w:color="auto"/>
            <w:left w:val="none" w:sz="0" w:space="0" w:color="auto"/>
            <w:bottom w:val="none" w:sz="0" w:space="0" w:color="auto"/>
            <w:right w:val="none" w:sz="0" w:space="0" w:color="auto"/>
          </w:divBdr>
        </w:div>
        <w:div w:id="1039353672">
          <w:marLeft w:val="0"/>
          <w:marRight w:val="0"/>
          <w:marTop w:val="0"/>
          <w:marBottom w:val="0"/>
          <w:divBdr>
            <w:top w:val="none" w:sz="0" w:space="0" w:color="auto"/>
            <w:left w:val="none" w:sz="0" w:space="0" w:color="auto"/>
            <w:bottom w:val="none" w:sz="0" w:space="0" w:color="auto"/>
            <w:right w:val="none" w:sz="0" w:space="0" w:color="auto"/>
          </w:divBdr>
        </w:div>
        <w:div w:id="1053428032">
          <w:marLeft w:val="0"/>
          <w:marRight w:val="0"/>
          <w:marTop w:val="0"/>
          <w:marBottom w:val="0"/>
          <w:divBdr>
            <w:top w:val="none" w:sz="0" w:space="0" w:color="auto"/>
            <w:left w:val="none" w:sz="0" w:space="0" w:color="auto"/>
            <w:bottom w:val="none" w:sz="0" w:space="0" w:color="auto"/>
            <w:right w:val="none" w:sz="0" w:space="0" w:color="auto"/>
          </w:divBdr>
        </w:div>
        <w:div w:id="1151949386">
          <w:marLeft w:val="0"/>
          <w:marRight w:val="0"/>
          <w:marTop w:val="0"/>
          <w:marBottom w:val="0"/>
          <w:divBdr>
            <w:top w:val="none" w:sz="0" w:space="0" w:color="auto"/>
            <w:left w:val="none" w:sz="0" w:space="0" w:color="auto"/>
            <w:bottom w:val="none" w:sz="0" w:space="0" w:color="auto"/>
            <w:right w:val="none" w:sz="0" w:space="0" w:color="auto"/>
          </w:divBdr>
        </w:div>
        <w:div w:id="1352679231">
          <w:marLeft w:val="0"/>
          <w:marRight w:val="0"/>
          <w:marTop w:val="0"/>
          <w:marBottom w:val="0"/>
          <w:divBdr>
            <w:top w:val="none" w:sz="0" w:space="0" w:color="auto"/>
            <w:left w:val="none" w:sz="0" w:space="0" w:color="auto"/>
            <w:bottom w:val="none" w:sz="0" w:space="0" w:color="auto"/>
            <w:right w:val="none" w:sz="0" w:space="0" w:color="auto"/>
          </w:divBdr>
        </w:div>
        <w:div w:id="1479421490">
          <w:marLeft w:val="0"/>
          <w:marRight w:val="0"/>
          <w:marTop w:val="0"/>
          <w:marBottom w:val="0"/>
          <w:divBdr>
            <w:top w:val="none" w:sz="0" w:space="0" w:color="auto"/>
            <w:left w:val="none" w:sz="0" w:space="0" w:color="auto"/>
            <w:bottom w:val="none" w:sz="0" w:space="0" w:color="auto"/>
            <w:right w:val="none" w:sz="0" w:space="0" w:color="auto"/>
          </w:divBdr>
        </w:div>
        <w:div w:id="1512179360">
          <w:marLeft w:val="0"/>
          <w:marRight w:val="0"/>
          <w:marTop w:val="0"/>
          <w:marBottom w:val="0"/>
          <w:divBdr>
            <w:top w:val="none" w:sz="0" w:space="0" w:color="auto"/>
            <w:left w:val="none" w:sz="0" w:space="0" w:color="auto"/>
            <w:bottom w:val="none" w:sz="0" w:space="0" w:color="auto"/>
            <w:right w:val="none" w:sz="0" w:space="0" w:color="auto"/>
          </w:divBdr>
        </w:div>
        <w:div w:id="1720275471">
          <w:marLeft w:val="0"/>
          <w:marRight w:val="0"/>
          <w:marTop w:val="0"/>
          <w:marBottom w:val="0"/>
          <w:divBdr>
            <w:top w:val="none" w:sz="0" w:space="0" w:color="auto"/>
            <w:left w:val="none" w:sz="0" w:space="0" w:color="auto"/>
            <w:bottom w:val="none" w:sz="0" w:space="0" w:color="auto"/>
            <w:right w:val="none" w:sz="0" w:space="0" w:color="auto"/>
          </w:divBdr>
        </w:div>
        <w:div w:id="1802846518">
          <w:marLeft w:val="0"/>
          <w:marRight w:val="0"/>
          <w:marTop w:val="0"/>
          <w:marBottom w:val="0"/>
          <w:divBdr>
            <w:top w:val="none" w:sz="0" w:space="0" w:color="auto"/>
            <w:left w:val="none" w:sz="0" w:space="0" w:color="auto"/>
            <w:bottom w:val="none" w:sz="0" w:space="0" w:color="auto"/>
            <w:right w:val="none" w:sz="0" w:space="0" w:color="auto"/>
          </w:divBdr>
        </w:div>
        <w:div w:id="1899974650">
          <w:marLeft w:val="0"/>
          <w:marRight w:val="0"/>
          <w:marTop w:val="0"/>
          <w:marBottom w:val="0"/>
          <w:divBdr>
            <w:top w:val="none" w:sz="0" w:space="0" w:color="auto"/>
            <w:left w:val="none" w:sz="0" w:space="0" w:color="auto"/>
            <w:bottom w:val="none" w:sz="0" w:space="0" w:color="auto"/>
            <w:right w:val="none" w:sz="0" w:space="0" w:color="auto"/>
          </w:divBdr>
        </w:div>
        <w:div w:id="2047945664">
          <w:marLeft w:val="0"/>
          <w:marRight w:val="0"/>
          <w:marTop w:val="0"/>
          <w:marBottom w:val="0"/>
          <w:divBdr>
            <w:top w:val="none" w:sz="0" w:space="0" w:color="auto"/>
            <w:left w:val="none" w:sz="0" w:space="0" w:color="auto"/>
            <w:bottom w:val="none" w:sz="0" w:space="0" w:color="auto"/>
            <w:right w:val="none" w:sz="0" w:space="0" w:color="auto"/>
          </w:divBdr>
        </w:div>
        <w:div w:id="2090033543">
          <w:marLeft w:val="0"/>
          <w:marRight w:val="0"/>
          <w:marTop w:val="0"/>
          <w:marBottom w:val="0"/>
          <w:divBdr>
            <w:top w:val="none" w:sz="0" w:space="0" w:color="auto"/>
            <w:left w:val="none" w:sz="0" w:space="0" w:color="auto"/>
            <w:bottom w:val="none" w:sz="0" w:space="0" w:color="auto"/>
            <w:right w:val="none" w:sz="0" w:space="0" w:color="auto"/>
          </w:divBdr>
        </w:div>
      </w:divsChild>
    </w:div>
    <w:div w:id="1110201840">
      <w:bodyDiv w:val="1"/>
      <w:marLeft w:val="0"/>
      <w:marRight w:val="0"/>
      <w:marTop w:val="0"/>
      <w:marBottom w:val="0"/>
      <w:divBdr>
        <w:top w:val="none" w:sz="0" w:space="0" w:color="auto"/>
        <w:left w:val="none" w:sz="0" w:space="0" w:color="auto"/>
        <w:bottom w:val="none" w:sz="0" w:space="0" w:color="auto"/>
        <w:right w:val="none" w:sz="0" w:space="0" w:color="auto"/>
      </w:divBdr>
      <w:divsChild>
        <w:div w:id="1862621692">
          <w:marLeft w:val="0"/>
          <w:marRight w:val="0"/>
          <w:marTop w:val="0"/>
          <w:marBottom w:val="0"/>
          <w:divBdr>
            <w:top w:val="none" w:sz="0" w:space="0" w:color="auto"/>
            <w:left w:val="none" w:sz="0" w:space="0" w:color="auto"/>
            <w:bottom w:val="none" w:sz="0" w:space="0" w:color="auto"/>
            <w:right w:val="none" w:sz="0" w:space="0" w:color="auto"/>
          </w:divBdr>
        </w:div>
      </w:divsChild>
    </w:div>
    <w:div w:id="1124470488">
      <w:bodyDiv w:val="1"/>
      <w:marLeft w:val="0"/>
      <w:marRight w:val="0"/>
      <w:marTop w:val="0"/>
      <w:marBottom w:val="0"/>
      <w:divBdr>
        <w:top w:val="none" w:sz="0" w:space="0" w:color="auto"/>
        <w:left w:val="none" w:sz="0" w:space="0" w:color="auto"/>
        <w:bottom w:val="none" w:sz="0" w:space="0" w:color="auto"/>
        <w:right w:val="none" w:sz="0" w:space="0" w:color="auto"/>
      </w:divBdr>
    </w:div>
    <w:div w:id="1158887661">
      <w:bodyDiv w:val="1"/>
      <w:marLeft w:val="0"/>
      <w:marRight w:val="0"/>
      <w:marTop w:val="0"/>
      <w:marBottom w:val="0"/>
      <w:divBdr>
        <w:top w:val="none" w:sz="0" w:space="0" w:color="auto"/>
        <w:left w:val="none" w:sz="0" w:space="0" w:color="auto"/>
        <w:bottom w:val="none" w:sz="0" w:space="0" w:color="auto"/>
        <w:right w:val="none" w:sz="0" w:space="0" w:color="auto"/>
      </w:divBdr>
      <w:divsChild>
        <w:div w:id="1595279222">
          <w:marLeft w:val="0"/>
          <w:marRight w:val="0"/>
          <w:marTop w:val="0"/>
          <w:marBottom w:val="0"/>
          <w:divBdr>
            <w:top w:val="none" w:sz="0" w:space="0" w:color="auto"/>
            <w:left w:val="none" w:sz="0" w:space="0" w:color="auto"/>
            <w:bottom w:val="none" w:sz="0" w:space="0" w:color="auto"/>
            <w:right w:val="none" w:sz="0" w:space="0" w:color="auto"/>
          </w:divBdr>
        </w:div>
      </w:divsChild>
    </w:div>
    <w:div w:id="1176379637">
      <w:bodyDiv w:val="1"/>
      <w:marLeft w:val="0"/>
      <w:marRight w:val="0"/>
      <w:marTop w:val="0"/>
      <w:marBottom w:val="0"/>
      <w:divBdr>
        <w:top w:val="none" w:sz="0" w:space="0" w:color="auto"/>
        <w:left w:val="none" w:sz="0" w:space="0" w:color="auto"/>
        <w:bottom w:val="none" w:sz="0" w:space="0" w:color="auto"/>
        <w:right w:val="none" w:sz="0" w:space="0" w:color="auto"/>
      </w:divBdr>
      <w:divsChild>
        <w:div w:id="246310860">
          <w:marLeft w:val="0"/>
          <w:marRight w:val="0"/>
          <w:marTop w:val="0"/>
          <w:marBottom w:val="0"/>
          <w:divBdr>
            <w:top w:val="none" w:sz="0" w:space="0" w:color="auto"/>
            <w:left w:val="none" w:sz="0" w:space="0" w:color="auto"/>
            <w:bottom w:val="none" w:sz="0" w:space="0" w:color="auto"/>
            <w:right w:val="none" w:sz="0" w:space="0" w:color="auto"/>
          </w:divBdr>
        </w:div>
        <w:div w:id="261843399">
          <w:marLeft w:val="0"/>
          <w:marRight w:val="0"/>
          <w:marTop w:val="0"/>
          <w:marBottom w:val="0"/>
          <w:divBdr>
            <w:top w:val="none" w:sz="0" w:space="0" w:color="auto"/>
            <w:left w:val="none" w:sz="0" w:space="0" w:color="auto"/>
            <w:bottom w:val="none" w:sz="0" w:space="0" w:color="auto"/>
            <w:right w:val="none" w:sz="0" w:space="0" w:color="auto"/>
          </w:divBdr>
        </w:div>
        <w:div w:id="415438785">
          <w:marLeft w:val="0"/>
          <w:marRight w:val="0"/>
          <w:marTop w:val="0"/>
          <w:marBottom w:val="0"/>
          <w:divBdr>
            <w:top w:val="none" w:sz="0" w:space="0" w:color="auto"/>
            <w:left w:val="none" w:sz="0" w:space="0" w:color="auto"/>
            <w:bottom w:val="none" w:sz="0" w:space="0" w:color="auto"/>
            <w:right w:val="none" w:sz="0" w:space="0" w:color="auto"/>
          </w:divBdr>
        </w:div>
        <w:div w:id="927157958">
          <w:marLeft w:val="0"/>
          <w:marRight w:val="0"/>
          <w:marTop w:val="0"/>
          <w:marBottom w:val="0"/>
          <w:divBdr>
            <w:top w:val="none" w:sz="0" w:space="0" w:color="auto"/>
            <w:left w:val="none" w:sz="0" w:space="0" w:color="auto"/>
            <w:bottom w:val="none" w:sz="0" w:space="0" w:color="auto"/>
            <w:right w:val="none" w:sz="0" w:space="0" w:color="auto"/>
          </w:divBdr>
        </w:div>
        <w:div w:id="1009604594">
          <w:marLeft w:val="0"/>
          <w:marRight w:val="0"/>
          <w:marTop w:val="0"/>
          <w:marBottom w:val="0"/>
          <w:divBdr>
            <w:top w:val="none" w:sz="0" w:space="0" w:color="auto"/>
            <w:left w:val="none" w:sz="0" w:space="0" w:color="auto"/>
            <w:bottom w:val="none" w:sz="0" w:space="0" w:color="auto"/>
            <w:right w:val="none" w:sz="0" w:space="0" w:color="auto"/>
          </w:divBdr>
        </w:div>
      </w:divsChild>
    </w:div>
    <w:div w:id="1179468829">
      <w:bodyDiv w:val="1"/>
      <w:marLeft w:val="0"/>
      <w:marRight w:val="0"/>
      <w:marTop w:val="0"/>
      <w:marBottom w:val="0"/>
      <w:divBdr>
        <w:top w:val="none" w:sz="0" w:space="0" w:color="auto"/>
        <w:left w:val="none" w:sz="0" w:space="0" w:color="auto"/>
        <w:bottom w:val="none" w:sz="0" w:space="0" w:color="auto"/>
        <w:right w:val="none" w:sz="0" w:space="0" w:color="auto"/>
      </w:divBdr>
    </w:div>
    <w:div w:id="1200508973">
      <w:bodyDiv w:val="1"/>
      <w:marLeft w:val="0"/>
      <w:marRight w:val="0"/>
      <w:marTop w:val="0"/>
      <w:marBottom w:val="0"/>
      <w:divBdr>
        <w:top w:val="none" w:sz="0" w:space="0" w:color="auto"/>
        <w:left w:val="none" w:sz="0" w:space="0" w:color="auto"/>
        <w:bottom w:val="none" w:sz="0" w:space="0" w:color="auto"/>
        <w:right w:val="none" w:sz="0" w:space="0" w:color="auto"/>
      </w:divBdr>
      <w:divsChild>
        <w:div w:id="1833568171">
          <w:marLeft w:val="0"/>
          <w:marRight w:val="0"/>
          <w:marTop w:val="0"/>
          <w:marBottom w:val="0"/>
          <w:divBdr>
            <w:top w:val="none" w:sz="0" w:space="0" w:color="auto"/>
            <w:left w:val="none" w:sz="0" w:space="0" w:color="auto"/>
            <w:bottom w:val="none" w:sz="0" w:space="0" w:color="auto"/>
            <w:right w:val="none" w:sz="0" w:space="0" w:color="auto"/>
          </w:divBdr>
        </w:div>
      </w:divsChild>
    </w:div>
    <w:div w:id="1202933459">
      <w:bodyDiv w:val="1"/>
      <w:marLeft w:val="0"/>
      <w:marRight w:val="0"/>
      <w:marTop w:val="0"/>
      <w:marBottom w:val="0"/>
      <w:divBdr>
        <w:top w:val="none" w:sz="0" w:space="0" w:color="auto"/>
        <w:left w:val="none" w:sz="0" w:space="0" w:color="auto"/>
        <w:bottom w:val="none" w:sz="0" w:space="0" w:color="auto"/>
        <w:right w:val="none" w:sz="0" w:space="0" w:color="auto"/>
      </w:divBdr>
    </w:div>
    <w:div w:id="1225221066">
      <w:bodyDiv w:val="1"/>
      <w:marLeft w:val="0"/>
      <w:marRight w:val="0"/>
      <w:marTop w:val="0"/>
      <w:marBottom w:val="0"/>
      <w:divBdr>
        <w:top w:val="none" w:sz="0" w:space="0" w:color="auto"/>
        <w:left w:val="none" w:sz="0" w:space="0" w:color="auto"/>
        <w:bottom w:val="none" w:sz="0" w:space="0" w:color="auto"/>
        <w:right w:val="none" w:sz="0" w:space="0" w:color="auto"/>
      </w:divBdr>
      <w:divsChild>
        <w:div w:id="18170523">
          <w:marLeft w:val="0"/>
          <w:marRight w:val="0"/>
          <w:marTop w:val="0"/>
          <w:marBottom w:val="0"/>
          <w:divBdr>
            <w:top w:val="none" w:sz="0" w:space="0" w:color="auto"/>
            <w:left w:val="none" w:sz="0" w:space="0" w:color="auto"/>
            <w:bottom w:val="none" w:sz="0" w:space="0" w:color="auto"/>
            <w:right w:val="none" w:sz="0" w:space="0" w:color="auto"/>
          </w:divBdr>
        </w:div>
        <w:div w:id="315955958">
          <w:marLeft w:val="0"/>
          <w:marRight w:val="0"/>
          <w:marTop w:val="0"/>
          <w:marBottom w:val="0"/>
          <w:divBdr>
            <w:top w:val="none" w:sz="0" w:space="0" w:color="auto"/>
            <w:left w:val="none" w:sz="0" w:space="0" w:color="auto"/>
            <w:bottom w:val="none" w:sz="0" w:space="0" w:color="auto"/>
            <w:right w:val="none" w:sz="0" w:space="0" w:color="auto"/>
          </w:divBdr>
        </w:div>
        <w:div w:id="495151278">
          <w:marLeft w:val="0"/>
          <w:marRight w:val="0"/>
          <w:marTop w:val="0"/>
          <w:marBottom w:val="0"/>
          <w:divBdr>
            <w:top w:val="none" w:sz="0" w:space="0" w:color="auto"/>
            <w:left w:val="none" w:sz="0" w:space="0" w:color="auto"/>
            <w:bottom w:val="none" w:sz="0" w:space="0" w:color="auto"/>
            <w:right w:val="none" w:sz="0" w:space="0" w:color="auto"/>
          </w:divBdr>
        </w:div>
        <w:div w:id="594442087">
          <w:marLeft w:val="0"/>
          <w:marRight w:val="0"/>
          <w:marTop w:val="0"/>
          <w:marBottom w:val="0"/>
          <w:divBdr>
            <w:top w:val="none" w:sz="0" w:space="0" w:color="auto"/>
            <w:left w:val="none" w:sz="0" w:space="0" w:color="auto"/>
            <w:bottom w:val="none" w:sz="0" w:space="0" w:color="auto"/>
            <w:right w:val="none" w:sz="0" w:space="0" w:color="auto"/>
          </w:divBdr>
        </w:div>
        <w:div w:id="724374822">
          <w:marLeft w:val="0"/>
          <w:marRight w:val="0"/>
          <w:marTop w:val="0"/>
          <w:marBottom w:val="0"/>
          <w:divBdr>
            <w:top w:val="none" w:sz="0" w:space="0" w:color="auto"/>
            <w:left w:val="none" w:sz="0" w:space="0" w:color="auto"/>
            <w:bottom w:val="none" w:sz="0" w:space="0" w:color="auto"/>
            <w:right w:val="none" w:sz="0" w:space="0" w:color="auto"/>
          </w:divBdr>
        </w:div>
        <w:div w:id="930241355">
          <w:marLeft w:val="0"/>
          <w:marRight w:val="0"/>
          <w:marTop w:val="0"/>
          <w:marBottom w:val="0"/>
          <w:divBdr>
            <w:top w:val="none" w:sz="0" w:space="0" w:color="auto"/>
            <w:left w:val="none" w:sz="0" w:space="0" w:color="auto"/>
            <w:bottom w:val="none" w:sz="0" w:space="0" w:color="auto"/>
            <w:right w:val="none" w:sz="0" w:space="0" w:color="auto"/>
          </w:divBdr>
        </w:div>
        <w:div w:id="1212620900">
          <w:marLeft w:val="0"/>
          <w:marRight w:val="0"/>
          <w:marTop w:val="0"/>
          <w:marBottom w:val="0"/>
          <w:divBdr>
            <w:top w:val="none" w:sz="0" w:space="0" w:color="auto"/>
            <w:left w:val="none" w:sz="0" w:space="0" w:color="auto"/>
            <w:bottom w:val="none" w:sz="0" w:space="0" w:color="auto"/>
            <w:right w:val="none" w:sz="0" w:space="0" w:color="auto"/>
          </w:divBdr>
        </w:div>
        <w:div w:id="1404134338">
          <w:marLeft w:val="0"/>
          <w:marRight w:val="0"/>
          <w:marTop w:val="0"/>
          <w:marBottom w:val="0"/>
          <w:divBdr>
            <w:top w:val="none" w:sz="0" w:space="0" w:color="auto"/>
            <w:left w:val="none" w:sz="0" w:space="0" w:color="auto"/>
            <w:bottom w:val="none" w:sz="0" w:space="0" w:color="auto"/>
            <w:right w:val="none" w:sz="0" w:space="0" w:color="auto"/>
          </w:divBdr>
        </w:div>
        <w:div w:id="1410228430">
          <w:marLeft w:val="0"/>
          <w:marRight w:val="0"/>
          <w:marTop w:val="0"/>
          <w:marBottom w:val="0"/>
          <w:divBdr>
            <w:top w:val="none" w:sz="0" w:space="0" w:color="auto"/>
            <w:left w:val="none" w:sz="0" w:space="0" w:color="auto"/>
            <w:bottom w:val="none" w:sz="0" w:space="0" w:color="auto"/>
            <w:right w:val="none" w:sz="0" w:space="0" w:color="auto"/>
          </w:divBdr>
        </w:div>
        <w:div w:id="1437406346">
          <w:marLeft w:val="0"/>
          <w:marRight w:val="0"/>
          <w:marTop w:val="0"/>
          <w:marBottom w:val="0"/>
          <w:divBdr>
            <w:top w:val="none" w:sz="0" w:space="0" w:color="auto"/>
            <w:left w:val="none" w:sz="0" w:space="0" w:color="auto"/>
            <w:bottom w:val="none" w:sz="0" w:space="0" w:color="auto"/>
            <w:right w:val="none" w:sz="0" w:space="0" w:color="auto"/>
          </w:divBdr>
        </w:div>
        <w:div w:id="1522746909">
          <w:marLeft w:val="0"/>
          <w:marRight w:val="0"/>
          <w:marTop w:val="0"/>
          <w:marBottom w:val="0"/>
          <w:divBdr>
            <w:top w:val="none" w:sz="0" w:space="0" w:color="auto"/>
            <w:left w:val="none" w:sz="0" w:space="0" w:color="auto"/>
            <w:bottom w:val="none" w:sz="0" w:space="0" w:color="auto"/>
            <w:right w:val="none" w:sz="0" w:space="0" w:color="auto"/>
          </w:divBdr>
        </w:div>
        <w:div w:id="1546410301">
          <w:marLeft w:val="0"/>
          <w:marRight w:val="0"/>
          <w:marTop w:val="0"/>
          <w:marBottom w:val="0"/>
          <w:divBdr>
            <w:top w:val="none" w:sz="0" w:space="0" w:color="auto"/>
            <w:left w:val="none" w:sz="0" w:space="0" w:color="auto"/>
            <w:bottom w:val="none" w:sz="0" w:space="0" w:color="auto"/>
            <w:right w:val="none" w:sz="0" w:space="0" w:color="auto"/>
          </w:divBdr>
        </w:div>
        <w:div w:id="1568304709">
          <w:marLeft w:val="0"/>
          <w:marRight w:val="0"/>
          <w:marTop w:val="0"/>
          <w:marBottom w:val="0"/>
          <w:divBdr>
            <w:top w:val="none" w:sz="0" w:space="0" w:color="auto"/>
            <w:left w:val="none" w:sz="0" w:space="0" w:color="auto"/>
            <w:bottom w:val="none" w:sz="0" w:space="0" w:color="auto"/>
            <w:right w:val="none" w:sz="0" w:space="0" w:color="auto"/>
          </w:divBdr>
        </w:div>
        <w:div w:id="1686205447">
          <w:marLeft w:val="0"/>
          <w:marRight w:val="0"/>
          <w:marTop w:val="0"/>
          <w:marBottom w:val="0"/>
          <w:divBdr>
            <w:top w:val="none" w:sz="0" w:space="0" w:color="auto"/>
            <w:left w:val="none" w:sz="0" w:space="0" w:color="auto"/>
            <w:bottom w:val="none" w:sz="0" w:space="0" w:color="auto"/>
            <w:right w:val="none" w:sz="0" w:space="0" w:color="auto"/>
          </w:divBdr>
        </w:div>
        <w:div w:id="1693989674">
          <w:marLeft w:val="0"/>
          <w:marRight w:val="0"/>
          <w:marTop w:val="0"/>
          <w:marBottom w:val="0"/>
          <w:divBdr>
            <w:top w:val="none" w:sz="0" w:space="0" w:color="auto"/>
            <w:left w:val="none" w:sz="0" w:space="0" w:color="auto"/>
            <w:bottom w:val="none" w:sz="0" w:space="0" w:color="auto"/>
            <w:right w:val="none" w:sz="0" w:space="0" w:color="auto"/>
          </w:divBdr>
        </w:div>
        <w:div w:id="1695690598">
          <w:marLeft w:val="0"/>
          <w:marRight w:val="0"/>
          <w:marTop w:val="0"/>
          <w:marBottom w:val="0"/>
          <w:divBdr>
            <w:top w:val="none" w:sz="0" w:space="0" w:color="auto"/>
            <w:left w:val="none" w:sz="0" w:space="0" w:color="auto"/>
            <w:bottom w:val="none" w:sz="0" w:space="0" w:color="auto"/>
            <w:right w:val="none" w:sz="0" w:space="0" w:color="auto"/>
          </w:divBdr>
        </w:div>
        <w:div w:id="1859539838">
          <w:marLeft w:val="0"/>
          <w:marRight w:val="0"/>
          <w:marTop w:val="0"/>
          <w:marBottom w:val="0"/>
          <w:divBdr>
            <w:top w:val="none" w:sz="0" w:space="0" w:color="auto"/>
            <w:left w:val="none" w:sz="0" w:space="0" w:color="auto"/>
            <w:bottom w:val="none" w:sz="0" w:space="0" w:color="auto"/>
            <w:right w:val="none" w:sz="0" w:space="0" w:color="auto"/>
          </w:divBdr>
        </w:div>
        <w:div w:id="2009362335">
          <w:marLeft w:val="0"/>
          <w:marRight w:val="0"/>
          <w:marTop w:val="0"/>
          <w:marBottom w:val="0"/>
          <w:divBdr>
            <w:top w:val="none" w:sz="0" w:space="0" w:color="auto"/>
            <w:left w:val="none" w:sz="0" w:space="0" w:color="auto"/>
            <w:bottom w:val="none" w:sz="0" w:space="0" w:color="auto"/>
            <w:right w:val="none" w:sz="0" w:space="0" w:color="auto"/>
          </w:divBdr>
        </w:div>
      </w:divsChild>
    </w:div>
    <w:div w:id="1226183401">
      <w:bodyDiv w:val="1"/>
      <w:marLeft w:val="0"/>
      <w:marRight w:val="0"/>
      <w:marTop w:val="0"/>
      <w:marBottom w:val="0"/>
      <w:divBdr>
        <w:top w:val="none" w:sz="0" w:space="0" w:color="auto"/>
        <w:left w:val="none" w:sz="0" w:space="0" w:color="auto"/>
        <w:bottom w:val="none" w:sz="0" w:space="0" w:color="auto"/>
        <w:right w:val="none" w:sz="0" w:space="0" w:color="auto"/>
      </w:divBdr>
    </w:div>
    <w:div w:id="1236280520">
      <w:bodyDiv w:val="1"/>
      <w:marLeft w:val="0"/>
      <w:marRight w:val="0"/>
      <w:marTop w:val="0"/>
      <w:marBottom w:val="0"/>
      <w:divBdr>
        <w:top w:val="none" w:sz="0" w:space="0" w:color="auto"/>
        <w:left w:val="none" w:sz="0" w:space="0" w:color="auto"/>
        <w:bottom w:val="none" w:sz="0" w:space="0" w:color="auto"/>
        <w:right w:val="none" w:sz="0" w:space="0" w:color="auto"/>
      </w:divBdr>
    </w:div>
    <w:div w:id="1239366680">
      <w:bodyDiv w:val="1"/>
      <w:marLeft w:val="0"/>
      <w:marRight w:val="0"/>
      <w:marTop w:val="0"/>
      <w:marBottom w:val="0"/>
      <w:divBdr>
        <w:top w:val="none" w:sz="0" w:space="0" w:color="auto"/>
        <w:left w:val="none" w:sz="0" w:space="0" w:color="auto"/>
        <w:bottom w:val="none" w:sz="0" w:space="0" w:color="auto"/>
        <w:right w:val="none" w:sz="0" w:space="0" w:color="auto"/>
      </w:divBdr>
    </w:div>
    <w:div w:id="1251767904">
      <w:bodyDiv w:val="1"/>
      <w:marLeft w:val="0"/>
      <w:marRight w:val="0"/>
      <w:marTop w:val="0"/>
      <w:marBottom w:val="0"/>
      <w:divBdr>
        <w:top w:val="none" w:sz="0" w:space="0" w:color="auto"/>
        <w:left w:val="none" w:sz="0" w:space="0" w:color="auto"/>
        <w:bottom w:val="none" w:sz="0" w:space="0" w:color="auto"/>
        <w:right w:val="none" w:sz="0" w:space="0" w:color="auto"/>
      </w:divBdr>
      <w:divsChild>
        <w:div w:id="599725924">
          <w:marLeft w:val="0"/>
          <w:marRight w:val="0"/>
          <w:marTop w:val="0"/>
          <w:marBottom w:val="0"/>
          <w:divBdr>
            <w:top w:val="none" w:sz="0" w:space="0" w:color="auto"/>
            <w:left w:val="none" w:sz="0" w:space="0" w:color="auto"/>
            <w:bottom w:val="none" w:sz="0" w:space="0" w:color="auto"/>
            <w:right w:val="none" w:sz="0" w:space="0" w:color="auto"/>
          </w:divBdr>
        </w:div>
        <w:div w:id="808520650">
          <w:marLeft w:val="0"/>
          <w:marRight w:val="0"/>
          <w:marTop w:val="0"/>
          <w:marBottom w:val="0"/>
          <w:divBdr>
            <w:top w:val="none" w:sz="0" w:space="0" w:color="auto"/>
            <w:left w:val="none" w:sz="0" w:space="0" w:color="auto"/>
            <w:bottom w:val="none" w:sz="0" w:space="0" w:color="auto"/>
            <w:right w:val="none" w:sz="0" w:space="0" w:color="auto"/>
          </w:divBdr>
        </w:div>
        <w:div w:id="939680644">
          <w:marLeft w:val="0"/>
          <w:marRight w:val="0"/>
          <w:marTop w:val="0"/>
          <w:marBottom w:val="0"/>
          <w:divBdr>
            <w:top w:val="none" w:sz="0" w:space="0" w:color="auto"/>
            <w:left w:val="none" w:sz="0" w:space="0" w:color="auto"/>
            <w:bottom w:val="none" w:sz="0" w:space="0" w:color="auto"/>
            <w:right w:val="none" w:sz="0" w:space="0" w:color="auto"/>
          </w:divBdr>
        </w:div>
        <w:div w:id="1306013652">
          <w:marLeft w:val="0"/>
          <w:marRight w:val="0"/>
          <w:marTop w:val="0"/>
          <w:marBottom w:val="0"/>
          <w:divBdr>
            <w:top w:val="none" w:sz="0" w:space="0" w:color="auto"/>
            <w:left w:val="none" w:sz="0" w:space="0" w:color="auto"/>
            <w:bottom w:val="none" w:sz="0" w:space="0" w:color="auto"/>
            <w:right w:val="none" w:sz="0" w:space="0" w:color="auto"/>
          </w:divBdr>
        </w:div>
        <w:div w:id="1310793231">
          <w:marLeft w:val="0"/>
          <w:marRight w:val="0"/>
          <w:marTop w:val="0"/>
          <w:marBottom w:val="0"/>
          <w:divBdr>
            <w:top w:val="none" w:sz="0" w:space="0" w:color="auto"/>
            <w:left w:val="none" w:sz="0" w:space="0" w:color="auto"/>
            <w:bottom w:val="none" w:sz="0" w:space="0" w:color="auto"/>
            <w:right w:val="none" w:sz="0" w:space="0" w:color="auto"/>
          </w:divBdr>
        </w:div>
        <w:div w:id="1314335945">
          <w:marLeft w:val="0"/>
          <w:marRight w:val="0"/>
          <w:marTop w:val="0"/>
          <w:marBottom w:val="0"/>
          <w:divBdr>
            <w:top w:val="none" w:sz="0" w:space="0" w:color="auto"/>
            <w:left w:val="none" w:sz="0" w:space="0" w:color="auto"/>
            <w:bottom w:val="none" w:sz="0" w:space="0" w:color="auto"/>
            <w:right w:val="none" w:sz="0" w:space="0" w:color="auto"/>
          </w:divBdr>
        </w:div>
        <w:div w:id="1473791870">
          <w:marLeft w:val="0"/>
          <w:marRight w:val="0"/>
          <w:marTop w:val="0"/>
          <w:marBottom w:val="0"/>
          <w:divBdr>
            <w:top w:val="none" w:sz="0" w:space="0" w:color="auto"/>
            <w:left w:val="none" w:sz="0" w:space="0" w:color="auto"/>
            <w:bottom w:val="none" w:sz="0" w:space="0" w:color="auto"/>
            <w:right w:val="none" w:sz="0" w:space="0" w:color="auto"/>
          </w:divBdr>
        </w:div>
        <w:div w:id="1548487353">
          <w:marLeft w:val="0"/>
          <w:marRight w:val="0"/>
          <w:marTop w:val="0"/>
          <w:marBottom w:val="0"/>
          <w:divBdr>
            <w:top w:val="none" w:sz="0" w:space="0" w:color="auto"/>
            <w:left w:val="none" w:sz="0" w:space="0" w:color="auto"/>
            <w:bottom w:val="none" w:sz="0" w:space="0" w:color="auto"/>
            <w:right w:val="none" w:sz="0" w:space="0" w:color="auto"/>
          </w:divBdr>
        </w:div>
        <w:div w:id="1776972723">
          <w:marLeft w:val="0"/>
          <w:marRight w:val="0"/>
          <w:marTop w:val="0"/>
          <w:marBottom w:val="0"/>
          <w:divBdr>
            <w:top w:val="none" w:sz="0" w:space="0" w:color="auto"/>
            <w:left w:val="none" w:sz="0" w:space="0" w:color="auto"/>
            <w:bottom w:val="none" w:sz="0" w:space="0" w:color="auto"/>
            <w:right w:val="none" w:sz="0" w:space="0" w:color="auto"/>
          </w:divBdr>
        </w:div>
        <w:div w:id="1885410273">
          <w:marLeft w:val="0"/>
          <w:marRight w:val="0"/>
          <w:marTop w:val="0"/>
          <w:marBottom w:val="0"/>
          <w:divBdr>
            <w:top w:val="none" w:sz="0" w:space="0" w:color="auto"/>
            <w:left w:val="none" w:sz="0" w:space="0" w:color="auto"/>
            <w:bottom w:val="none" w:sz="0" w:space="0" w:color="auto"/>
            <w:right w:val="none" w:sz="0" w:space="0" w:color="auto"/>
          </w:divBdr>
        </w:div>
      </w:divsChild>
    </w:div>
    <w:div w:id="1253319746">
      <w:bodyDiv w:val="1"/>
      <w:marLeft w:val="0"/>
      <w:marRight w:val="0"/>
      <w:marTop w:val="0"/>
      <w:marBottom w:val="0"/>
      <w:divBdr>
        <w:top w:val="none" w:sz="0" w:space="0" w:color="auto"/>
        <w:left w:val="none" w:sz="0" w:space="0" w:color="auto"/>
        <w:bottom w:val="none" w:sz="0" w:space="0" w:color="auto"/>
        <w:right w:val="none" w:sz="0" w:space="0" w:color="auto"/>
      </w:divBdr>
    </w:div>
    <w:div w:id="1274366062">
      <w:bodyDiv w:val="1"/>
      <w:marLeft w:val="0"/>
      <w:marRight w:val="0"/>
      <w:marTop w:val="0"/>
      <w:marBottom w:val="0"/>
      <w:divBdr>
        <w:top w:val="none" w:sz="0" w:space="0" w:color="auto"/>
        <w:left w:val="none" w:sz="0" w:space="0" w:color="auto"/>
        <w:bottom w:val="none" w:sz="0" w:space="0" w:color="auto"/>
        <w:right w:val="none" w:sz="0" w:space="0" w:color="auto"/>
      </w:divBdr>
      <w:divsChild>
        <w:div w:id="292832363">
          <w:marLeft w:val="0"/>
          <w:marRight w:val="0"/>
          <w:marTop w:val="0"/>
          <w:marBottom w:val="0"/>
          <w:divBdr>
            <w:top w:val="none" w:sz="0" w:space="0" w:color="auto"/>
            <w:left w:val="none" w:sz="0" w:space="0" w:color="auto"/>
            <w:bottom w:val="none" w:sz="0" w:space="0" w:color="auto"/>
            <w:right w:val="none" w:sz="0" w:space="0" w:color="auto"/>
          </w:divBdr>
          <w:divsChild>
            <w:div w:id="1813712273">
              <w:marLeft w:val="0"/>
              <w:marRight w:val="0"/>
              <w:marTop w:val="0"/>
              <w:marBottom w:val="0"/>
              <w:divBdr>
                <w:top w:val="none" w:sz="0" w:space="0" w:color="auto"/>
                <w:left w:val="none" w:sz="0" w:space="0" w:color="auto"/>
                <w:bottom w:val="none" w:sz="0" w:space="0" w:color="auto"/>
                <w:right w:val="none" w:sz="0" w:space="0" w:color="auto"/>
              </w:divBdr>
            </w:div>
          </w:divsChild>
        </w:div>
        <w:div w:id="326254105">
          <w:marLeft w:val="0"/>
          <w:marRight w:val="0"/>
          <w:marTop w:val="0"/>
          <w:marBottom w:val="0"/>
          <w:divBdr>
            <w:top w:val="none" w:sz="0" w:space="0" w:color="auto"/>
            <w:left w:val="none" w:sz="0" w:space="0" w:color="auto"/>
            <w:bottom w:val="none" w:sz="0" w:space="0" w:color="auto"/>
            <w:right w:val="none" w:sz="0" w:space="0" w:color="auto"/>
          </w:divBdr>
          <w:divsChild>
            <w:div w:id="534543506">
              <w:marLeft w:val="0"/>
              <w:marRight w:val="0"/>
              <w:marTop w:val="0"/>
              <w:marBottom w:val="0"/>
              <w:divBdr>
                <w:top w:val="none" w:sz="0" w:space="0" w:color="auto"/>
                <w:left w:val="none" w:sz="0" w:space="0" w:color="auto"/>
                <w:bottom w:val="none" w:sz="0" w:space="0" w:color="auto"/>
                <w:right w:val="none" w:sz="0" w:space="0" w:color="auto"/>
              </w:divBdr>
            </w:div>
          </w:divsChild>
        </w:div>
        <w:div w:id="1170751282">
          <w:marLeft w:val="0"/>
          <w:marRight w:val="0"/>
          <w:marTop w:val="0"/>
          <w:marBottom w:val="0"/>
          <w:divBdr>
            <w:top w:val="none" w:sz="0" w:space="0" w:color="auto"/>
            <w:left w:val="none" w:sz="0" w:space="0" w:color="auto"/>
            <w:bottom w:val="none" w:sz="0" w:space="0" w:color="auto"/>
            <w:right w:val="none" w:sz="0" w:space="0" w:color="auto"/>
          </w:divBdr>
          <w:divsChild>
            <w:div w:id="131118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884862">
      <w:bodyDiv w:val="1"/>
      <w:marLeft w:val="0"/>
      <w:marRight w:val="0"/>
      <w:marTop w:val="0"/>
      <w:marBottom w:val="0"/>
      <w:divBdr>
        <w:top w:val="none" w:sz="0" w:space="0" w:color="auto"/>
        <w:left w:val="none" w:sz="0" w:space="0" w:color="auto"/>
        <w:bottom w:val="none" w:sz="0" w:space="0" w:color="auto"/>
        <w:right w:val="none" w:sz="0" w:space="0" w:color="auto"/>
      </w:divBdr>
      <w:divsChild>
        <w:div w:id="501361512">
          <w:marLeft w:val="0"/>
          <w:marRight w:val="0"/>
          <w:marTop w:val="0"/>
          <w:marBottom w:val="0"/>
          <w:divBdr>
            <w:top w:val="none" w:sz="0" w:space="0" w:color="auto"/>
            <w:left w:val="none" w:sz="0" w:space="0" w:color="auto"/>
            <w:bottom w:val="none" w:sz="0" w:space="0" w:color="auto"/>
            <w:right w:val="none" w:sz="0" w:space="0" w:color="auto"/>
          </w:divBdr>
        </w:div>
      </w:divsChild>
    </w:div>
    <w:div w:id="1286160916">
      <w:bodyDiv w:val="1"/>
      <w:marLeft w:val="0"/>
      <w:marRight w:val="0"/>
      <w:marTop w:val="0"/>
      <w:marBottom w:val="0"/>
      <w:divBdr>
        <w:top w:val="none" w:sz="0" w:space="0" w:color="auto"/>
        <w:left w:val="none" w:sz="0" w:space="0" w:color="auto"/>
        <w:bottom w:val="none" w:sz="0" w:space="0" w:color="auto"/>
        <w:right w:val="none" w:sz="0" w:space="0" w:color="auto"/>
      </w:divBdr>
    </w:div>
    <w:div w:id="1294797063">
      <w:bodyDiv w:val="1"/>
      <w:marLeft w:val="0"/>
      <w:marRight w:val="0"/>
      <w:marTop w:val="0"/>
      <w:marBottom w:val="0"/>
      <w:divBdr>
        <w:top w:val="none" w:sz="0" w:space="0" w:color="auto"/>
        <w:left w:val="none" w:sz="0" w:space="0" w:color="auto"/>
        <w:bottom w:val="none" w:sz="0" w:space="0" w:color="auto"/>
        <w:right w:val="none" w:sz="0" w:space="0" w:color="auto"/>
      </w:divBdr>
      <w:divsChild>
        <w:div w:id="1404765877">
          <w:marLeft w:val="0"/>
          <w:marRight w:val="0"/>
          <w:marTop w:val="0"/>
          <w:marBottom w:val="0"/>
          <w:divBdr>
            <w:top w:val="none" w:sz="0" w:space="0" w:color="auto"/>
            <w:left w:val="none" w:sz="0" w:space="0" w:color="auto"/>
            <w:bottom w:val="none" w:sz="0" w:space="0" w:color="auto"/>
            <w:right w:val="none" w:sz="0" w:space="0" w:color="auto"/>
          </w:divBdr>
        </w:div>
      </w:divsChild>
    </w:div>
    <w:div w:id="1295915058">
      <w:bodyDiv w:val="1"/>
      <w:marLeft w:val="0"/>
      <w:marRight w:val="0"/>
      <w:marTop w:val="0"/>
      <w:marBottom w:val="0"/>
      <w:divBdr>
        <w:top w:val="none" w:sz="0" w:space="0" w:color="auto"/>
        <w:left w:val="none" w:sz="0" w:space="0" w:color="auto"/>
        <w:bottom w:val="none" w:sz="0" w:space="0" w:color="auto"/>
        <w:right w:val="none" w:sz="0" w:space="0" w:color="auto"/>
      </w:divBdr>
    </w:div>
    <w:div w:id="1318263837">
      <w:bodyDiv w:val="1"/>
      <w:marLeft w:val="0"/>
      <w:marRight w:val="0"/>
      <w:marTop w:val="0"/>
      <w:marBottom w:val="0"/>
      <w:divBdr>
        <w:top w:val="none" w:sz="0" w:space="0" w:color="auto"/>
        <w:left w:val="none" w:sz="0" w:space="0" w:color="auto"/>
        <w:bottom w:val="none" w:sz="0" w:space="0" w:color="auto"/>
        <w:right w:val="none" w:sz="0" w:space="0" w:color="auto"/>
      </w:divBdr>
    </w:div>
    <w:div w:id="1324351914">
      <w:bodyDiv w:val="1"/>
      <w:marLeft w:val="0"/>
      <w:marRight w:val="0"/>
      <w:marTop w:val="0"/>
      <w:marBottom w:val="0"/>
      <w:divBdr>
        <w:top w:val="none" w:sz="0" w:space="0" w:color="auto"/>
        <w:left w:val="none" w:sz="0" w:space="0" w:color="auto"/>
        <w:bottom w:val="none" w:sz="0" w:space="0" w:color="auto"/>
        <w:right w:val="none" w:sz="0" w:space="0" w:color="auto"/>
      </w:divBdr>
    </w:div>
    <w:div w:id="1329751570">
      <w:bodyDiv w:val="1"/>
      <w:marLeft w:val="0"/>
      <w:marRight w:val="0"/>
      <w:marTop w:val="0"/>
      <w:marBottom w:val="0"/>
      <w:divBdr>
        <w:top w:val="none" w:sz="0" w:space="0" w:color="auto"/>
        <w:left w:val="none" w:sz="0" w:space="0" w:color="auto"/>
        <w:bottom w:val="none" w:sz="0" w:space="0" w:color="auto"/>
        <w:right w:val="none" w:sz="0" w:space="0" w:color="auto"/>
      </w:divBdr>
      <w:divsChild>
        <w:div w:id="1204439514">
          <w:marLeft w:val="0"/>
          <w:marRight w:val="0"/>
          <w:marTop w:val="0"/>
          <w:marBottom w:val="0"/>
          <w:divBdr>
            <w:top w:val="none" w:sz="0" w:space="0" w:color="auto"/>
            <w:left w:val="none" w:sz="0" w:space="0" w:color="auto"/>
            <w:bottom w:val="none" w:sz="0" w:space="0" w:color="auto"/>
            <w:right w:val="none" w:sz="0" w:space="0" w:color="auto"/>
          </w:divBdr>
        </w:div>
      </w:divsChild>
    </w:div>
    <w:div w:id="1332416009">
      <w:bodyDiv w:val="1"/>
      <w:marLeft w:val="0"/>
      <w:marRight w:val="0"/>
      <w:marTop w:val="0"/>
      <w:marBottom w:val="0"/>
      <w:divBdr>
        <w:top w:val="none" w:sz="0" w:space="0" w:color="auto"/>
        <w:left w:val="none" w:sz="0" w:space="0" w:color="auto"/>
        <w:bottom w:val="none" w:sz="0" w:space="0" w:color="auto"/>
        <w:right w:val="none" w:sz="0" w:space="0" w:color="auto"/>
      </w:divBdr>
    </w:div>
    <w:div w:id="1347093342">
      <w:bodyDiv w:val="1"/>
      <w:marLeft w:val="0"/>
      <w:marRight w:val="0"/>
      <w:marTop w:val="0"/>
      <w:marBottom w:val="0"/>
      <w:divBdr>
        <w:top w:val="none" w:sz="0" w:space="0" w:color="auto"/>
        <w:left w:val="none" w:sz="0" w:space="0" w:color="auto"/>
        <w:bottom w:val="none" w:sz="0" w:space="0" w:color="auto"/>
        <w:right w:val="none" w:sz="0" w:space="0" w:color="auto"/>
      </w:divBdr>
    </w:div>
    <w:div w:id="1358384638">
      <w:bodyDiv w:val="1"/>
      <w:marLeft w:val="0"/>
      <w:marRight w:val="0"/>
      <w:marTop w:val="0"/>
      <w:marBottom w:val="0"/>
      <w:divBdr>
        <w:top w:val="none" w:sz="0" w:space="0" w:color="auto"/>
        <w:left w:val="none" w:sz="0" w:space="0" w:color="auto"/>
        <w:bottom w:val="none" w:sz="0" w:space="0" w:color="auto"/>
        <w:right w:val="none" w:sz="0" w:space="0" w:color="auto"/>
      </w:divBdr>
      <w:divsChild>
        <w:div w:id="883441343">
          <w:marLeft w:val="0"/>
          <w:marRight w:val="0"/>
          <w:marTop w:val="0"/>
          <w:marBottom w:val="0"/>
          <w:divBdr>
            <w:top w:val="none" w:sz="0" w:space="0" w:color="auto"/>
            <w:left w:val="none" w:sz="0" w:space="0" w:color="auto"/>
            <w:bottom w:val="none" w:sz="0" w:space="0" w:color="auto"/>
            <w:right w:val="none" w:sz="0" w:space="0" w:color="auto"/>
          </w:divBdr>
        </w:div>
      </w:divsChild>
    </w:div>
    <w:div w:id="1363246495">
      <w:bodyDiv w:val="1"/>
      <w:marLeft w:val="0"/>
      <w:marRight w:val="0"/>
      <w:marTop w:val="0"/>
      <w:marBottom w:val="0"/>
      <w:divBdr>
        <w:top w:val="none" w:sz="0" w:space="0" w:color="auto"/>
        <w:left w:val="none" w:sz="0" w:space="0" w:color="auto"/>
        <w:bottom w:val="none" w:sz="0" w:space="0" w:color="auto"/>
        <w:right w:val="none" w:sz="0" w:space="0" w:color="auto"/>
      </w:divBdr>
    </w:div>
    <w:div w:id="1381249465">
      <w:bodyDiv w:val="1"/>
      <w:marLeft w:val="0"/>
      <w:marRight w:val="0"/>
      <w:marTop w:val="0"/>
      <w:marBottom w:val="0"/>
      <w:divBdr>
        <w:top w:val="none" w:sz="0" w:space="0" w:color="auto"/>
        <w:left w:val="none" w:sz="0" w:space="0" w:color="auto"/>
        <w:bottom w:val="none" w:sz="0" w:space="0" w:color="auto"/>
        <w:right w:val="none" w:sz="0" w:space="0" w:color="auto"/>
      </w:divBdr>
    </w:div>
    <w:div w:id="1386491759">
      <w:bodyDiv w:val="1"/>
      <w:marLeft w:val="0"/>
      <w:marRight w:val="0"/>
      <w:marTop w:val="0"/>
      <w:marBottom w:val="0"/>
      <w:divBdr>
        <w:top w:val="none" w:sz="0" w:space="0" w:color="auto"/>
        <w:left w:val="none" w:sz="0" w:space="0" w:color="auto"/>
        <w:bottom w:val="none" w:sz="0" w:space="0" w:color="auto"/>
        <w:right w:val="none" w:sz="0" w:space="0" w:color="auto"/>
      </w:divBdr>
    </w:div>
    <w:div w:id="1391617153">
      <w:bodyDiv w:val="1"/>
      <w:marLeft w:val="0"/>
      <w:marRight w:val="0"/>
      <w:marTop w:val="0"/>
      <w:marBottom w:val="0"/>
      <w:divBdr>
        <w:top w:val="none" w:sz="0" w:space="0" w:color="auto"/>
        <w:left w:val="none" w:sz="0" w:space="0" w:color="auto"/>
        <w:bottom w:val="none" w:sz="0" w:space="0" w:color="auto"/>
        <w:right w:val="none" w:sz="0" w:space="0" w:color="auto"/>
      </w:divBdr>
    </w:div>
    <w:div w:id="1415008052">
      <w:bodyDiv w:val="1"/>
      <w:marLeft w:val="0"/>
      <w:marRight w:val="0"/>
      <w:marTop w:val="0"/>
      <w:marBottom w:val="0"/>
      <w:divBdr>
        <w:top w:val="none" w:sz="0" w:space="0" w:color="auto"/>
        <w:left w:val="none" w:sz="0" w:space="0" w:color="auto"/>
        <w:bottom w:val="none" w:sz="0" w:space="0" w:color="auto"/>
        <w:right w:val="none" w:sz="0" w:space="0" w:color="auto"/>
      </w:divBdr>
      <w:divsChild>
        <w:div w:id="535168132">
          <w:marLeft w:val="0"/>
          <w:marRight w:val="0"/>
          <w:marTop w:val="0"/>
          <w:marBottom w:val="0"/>
          <w:divBdr>
            <w:top w:val="none" w:sz="0" w:space="0" w:color="auto"/>
            <w:left w:val="none" w:sz="0" w:space="0" w:color="auto"/>
            <w:bottom w:val="none" w:sz="0" w:space="0" w:color="auto"/>
            <w:right w:val="none" w:sz="0" w:space="0" w:color="auto"/>
          </w:divBdr>
        </w:div>
      </w:divsChild>
    </w:div>
    <w:div w:id="1419209265">
      <w:bodyDiv w:val="1"/>
      <w:marLeft w:val="0"/>
      <w:marRight w:val="0"/>
      <w:marTop w:val="0"/>
      <w:marBottom w:val="0"/>
      <w:divBdr>
        <w:top w:val="none" w:sz="0" w:space="0" w:color="auto"/>
        <w:left w:val="none" w:sz="0" w:space="0" w:color="auto"/>
        <w:bottom w:val="none" w:sz="0" w:space="0" w:color="auto"/>
        <w:right w:val="none" w:sz="0" w:space="0" w:color="auto"/>
      </w:divBdr>
    </w:div>
    <w:div w:id="1439256804">
      <w:bodyDiv w:val="1"/>
      <w:marLeft w:val="0"/>
      <w:marRight w:val="0"/>
      <w:marTop w:val="0"/>
      <w:marBottom w:val="0"/>
      <w:divBdr>
        <w:top w:val="none" w:sz="0" w:space="0" w:color="auto"/>
        <w:left w:val="none" w:sz="0" w:space="0" w:color="auto"/>
        <w:bottom w:val="none" w:sz="0" w:space="0" w:color="auto"/>
        <w:right w:val="none" w:sz="0" w:space="0" w:color="auto"/>
      </w:divBdr>
      <w:divsChild>
        <w:div w:id="1425611336">
          <w:marLeft w:val="0"/>
          <w:marRight w:val="0"/>
          <w:marTop w:val="0"/>
          <w:marBottom w:val="0"/>
          <w:divBdr>
            <w:top w:val="none" w:sz="0" w:space="0" w:color="auto"/>
            <w:left w:val="none" w:sz="0" w:space="0" w:color="auto"/>
            <w:bottom w:val="none" w:sz="0" w:space="0" w:color="auto"/>
            <w:right w:val="none" w:sz="0" w:space="0" w:color="auto"/>
          </w:divBdr>
        </w:div>
      </w:divsChild>
    </w:div>
    <w:div w:id="1449817898">
      <w:bodyDiv w:val="1"/>
      <w:marLeft w:val="0"/>
      <w:marRight w:val="0"/>
      <w:marTop w:val="0"/>
      <w:marBottom w:val="0"/>
      <w:divBdr>
        <w:top w:val="none" w:sz="0" w:space="0" w:color="auto"/>
        <w:left w:val="none" w:sz="0" w:space="0" w:color="auto"/>
        <w:bottom w:val="none" w:sz="0" w:space="0" w:color="auto"/>
        <w:right w:val="none" w:sz="0" w:space="0" w:color="auto"/>
      </w:divBdr>
    </w:div>
    <w:div w:id="1462842698">
      <w:bodyDiv w:val="1"/>
      <w:marLeft w:val="0"/>
      <w:marRight w:val="0"/>
      <w:marTop w:val="0"/>
      <w:marBottom w:val="0"/>
      <w:divBdr>
        <w:top w:val="none" w:sz="0" w:space="0" w:color="auto"/>
        <w:left w:val="none" w:sz="0" w:space="0" w:color="auto"/>
        <w:bottom w:val="none" w:sz="0" w:space="0" w:color="auto"/>
        <w:right w:val="none" w:sz="0" w:space="0" w:color="auto"/>
      </w:divBdr>
    </w:div>
    <w:div w:id="1463306985">
      <w:bodyDiv w:val="1"/>
      <w:marLeft w:val="0"/>
      <w:marRight w:val="0"/>
      <w:marTop w:val="0"/>
      <w:marBottom w:val="0"/>
      <w:divBdr>
        <w:top w:val="none" w:sz="0" w:space="0" w:color="auto"/>
        <w:left w:val="none" w:sz="0" w:space="0" w:color="auto"/>
        <w:bottom w:val="none" w:sz="0" w:space="0" w:color="auto"/>
        <w:right w:val="none" w:sz="0" w:space="0" w:color="auto"/>
      </w:divBdr>
      <w:divsChild>
        <w:div w:id="1817144180">
          <w:marLeft w:val="0"/>
          <w:marRight w:val="0"/>
          <w:marTop w:val="0"/>
          <w:marBottom w:val="0"/>
          <w:divBdr>
            <w:top w:val="none" w:sz="0" w:space="0" w:color="auto"/>
            <w:left w:val="none" w:sz="0" w:space="0" w:color="auto"/>
            <w:bottom w:val="none" w:sz="0" w:space="0" w:color="auto"/>
            <w:right w:val="none" w:sz="0" w:space="0" w:color="auto"/>
          </w:divBdr>
        </w:div>
      </w:divsChild>
    </w:div>
    <w:div w:id="1479616575">
      <w:bodyDiv w:val="1"/>
      <w:marLeft w:val="0"/>
      <w:marRight w:val="0"/>
      <w:marTop w:val="0"/>
      <w:marBottom w:val="0"/>
      <w:divBdr>
        <w:top w:val="none" w:sz="0" w:space="0" w:color="auto"/>
        <w:left w:val="none" w:sz="0" w:space="0" w:color="auto"/>
        <w:bottom w:val="none" w:sz="0" w:space="0" w:color="auto"/>
        <w:right w:val="none" w:sz="0" w:space="0" w:color="auto"/>
      </w:divBdr>
    </w:div>
    <w:div w:id="1480875657">
      <w:bodyDiv w:val="1"/>
      <w:marLeft w:val="0"/>
      <w:marRight w:val="0"/>
      <w:marTop w:val="0"/>
      <w:marBottom w:val="0"/>
      <w:divBdr>
        <w:top w:val="none" w:sz="0" w:space="0" w:color="auto"/>
        <w:left w:val="none" w:sz="0" w:space="0" w:color="auto"/>
        <w:bottom w:val="none" w:sz="0" w:space="0" w:color="auto"/>
        <w:right w:val="none" w:sz="0" w:space="0" w:color="auto"/>
      </w:divBdr>
    </w:div>
    <w:div w:id="1484350986">
      <w:bodyDiv w:val="1"/>
      <w:marLeft w:val="0"/>
      <w:marRight w:val="0"/>
      <w:marTop w:val="0"/>
      <w:marBottom w:val="0"/>
      <w:divBdr>
        <w:top w:val="none" w:sz="0" w:space="0" w:color="auto"/>
        <w:left w:val="none" w:sz="0" w:space="0" w:color="auto"/>
        <w:bottom w:val="none" w:sz="0" w:space="0" w:color="auto"/>
        <w:right w:val="none" w:sz="0" w:space="0" w:color="auto"/>
      </w:divBdr>
    </w:div>
    <w:div w:id="1504197866">
      <w:bodyDiv w:val="1"/>
      <w:marLeft w:val="0"/>
      <w:marRight w:val="0"/>
      <w:marTop w:val="0"/>
      <w:marBottom w:val="0"/>
      <w:divBdr>
        <w:top w:val="none" w:sz="0" w:space="0" w:color="auto"/>
        <w:left w:val="none" w:sz="0" w:space="0" w:color="auto"/>
        <w:bottom w:val="none" w:sz="0" w:space="0" w:color="auto"/>
        <w:right w:val="none" w:sz="0" w:space="0" w:color="auto"/>
      </w:divBdr>
    </w:div>
    <w:div w:id="1506822772">
      <w:bodyDiv w:val="1"/>
      <w:marLeft w:val="0"/>
      <w:marRight w:val="0"/>
      <w:marTop w:val="0"/>
      <w:marBottom w:val="0"/>
      <w:divBdr>
        <w:top w:val="none" w:sz="0" w:space="0" w:color="auto"/>
        <w:left w:val="none" w:sz="0" w:space="0" w:color="auto"/>
        <w:bottom w:val="none" w:sz="0" w:space="0" w:color="auto"/>
        <w:right w:val="none" w:sz="0" w:space="0" w:color="auto"/>
      </w:divBdr>
    </w:div>
    <w:div w:id="1514371745">
      <w:bodyDiv w:val="1"/>
      <w:marLeft w:val="0"/>
      <w:marRight w:val="0"/>
      <w:marTop w:val="0"/>
      <w:marBottom w:val="0"/>
      <w:divBdr>
        <w:top w:val="none" w:sz="0" w:space="0" w:color="auto"/>
        <w:left w:val="none" w:sz="0" w:space="0" w:color="auto"/>
        <w:bottom w:val="none" w:sz="0" w:space="0" w:color="auto"/>
        <w:right w:val="none" w:sz="0" w:space="0" w:color="auto"/>
      </w:divBdr>
    </w:div>
    <w:div w:id="1519346565">
      <w:bodyDiv w:val="1"/>
      <w:marLeft w:val="0"/>
      <w:marRight w:val="0"/>
      <w:marTop w:val="0"/>
      <w:marBottom w:val="0"/>
      <w:divBdr>
        <w:top w:val="none" w:sz="0" w:space="0" w:color="auto"/>
        <w:left w:val="none" w:sz="0" w:space="0" w:color="auto"/>
        <w:bottom w:val="none" w:sz="0" w:space="0" w:color="auto"/>
        <w:right w:val="none" w:sz="0" w:space="0" w:color="auto"/>
      </w:divBdr>
      <w:divsChild>
        <w:div w:id="283582151">
          <w:marLeft w:val="0"/>
          <w:marRight w:val="0"/>
          <w:marTop w:val="0"/>
          <w:marBottom w:val="0"/>
          <w:divBdr>
            <w:top w:val="none" w:sz="0" w:space="0" w:color="auto"/>
            <w:left w:val="none" w:sz="0" w:space="0" w:color="auto"/>
            <w:bottom w:val="none" w:sz="0" w:space="0" w:color="auto"/>
            <w:right w:val="none" w:sz="0" w:space="0" w:color="auto"/>
          </w:divBdr>
        </w:div>
      </w:divsChild>
    </w:div>
    <w:div w:id="1519663998">
      <w:bodyDiv w:val="1"/>
      <w:marLeft w:val="0"/>
      <w:marRight w:val="0"/>
      <w:marTop w:val="0"/>
      <w:marBottom w:val="0"/>
      <w:divBdr>
        <w:top w:val="none" w:sz="0" w:space="0" w:color="auto"/>
        <w:left w:val="none" w:sz="0" w:space="0" w:color="auto"/>
        <w:bottom w:val="none" w:sz="0" w:space="0" w:color="auto"/>
        <w:right w:val="none" w:sz="0" w:space="0" w:color="auto"/>
      </w:divBdr>
      <w:divsChild>
        <w:div w:id="1045639918">
          <w:marLeft w:val="0"/>
          <w:marRight w:val="0"/>
          <w:marTop w:val="0"/>
          <w:marBottom w:val="0"/>
          <w:divBdr>
            <w:top w:val="none" w:sz="0" w:space="0" w:color="auto"/>
            <w:left w:val="none" w:sz="0" w:space="0" w:color="auto"/>
            <w:bottom w:val="none" w:sz="0" w:space="0" w:color="auto"/>
            <w:right w:val="none" w:sz="0" w:space="0" w:color="auto"/>
          </w:divBdr>
        </w:div>
      </w:divsChild>
    </w:div>
    <w:div w:id="1530944906">
      <w:bodyDiv w:val="1"/>
      <w:marLeft w:val="0"/>
      <w:marRight w:val="0"/>
      <w:marTop w:val="0"/>
      <w:marBottom w:val="0"/>
      <w:divBdr>
        <w:top w:val="none" w:sz="0" w:space="0" w:color="auto"/>
        <w:left w:val="none" w:sz="0" w:space="0" w:color="auto"/>
        <w:bottom w:val="none" w:sz="0" w:space="0" w:color="auto"/>
        <w:right w:val="none" w:sz="0" w:space="0" w:color="auto"/>
      </w:divBdr>
      <w:divsChild>
        <w:div w:id="391776472">
          <w:marLeft w:val="0"/>
          <w:marRight w:val="0"/>
          <w:marTop w:val="0"/>
          <w:marBottom w:val="0"/>
          <w:divBdr>
            <w:top w:val="none" w:sz="0" w:space="0" w:color="auto"/>
            <w:left w:val="none" w:sz="0" w:space="0" w:color="auto"/>
            <w:bottom w:val="none" w:sz="0" w:space="0" w:color="auto"/>
            <w:right w:val="none" w:sz="0" w:space="0" w:color="auto"/>
          </w:divBdr>
        </w:div>
        <w:div w:id="1099255923">
          <w:marLeft w:val="0"/>
          <w:marRight w:val="0"/>
          <w:marTop w:val="0"/>
          <w:marBottom w:val="0"/>
          <w:divBdr>
            <w:top w:val="none" w:sz="0" w:space="0" w:color="auto"/>
            <w:left w:val="none" w:sz="0" w:space="0" w:color="auto"/>
            <w:bottom w:val="none" w:sz="0" w:space="0" w:color="auto"/>
            <w:right w:val="none" w:sz="0" w:space="0" w:color="auto"/>
          </w:divBdr>
        </w:div>
      </w:divsChild>
    </w:div>
    <w:div w:id="1545215641">
      <w:bodyDiv w:val="1"/>
      <w:marLeft w:val="0"/>
      <w:marRight w:val="0"/>
      <w:marTop w:val="0"/>
      <w:marBottom w:val="0"/>
      <w:divBdr>
        <w:top w:val="none" w:sz="0" w:space="0" w:color="auto"/>
        <w:left w:val="none" w:sz="0" w:space="0" w:color="auto"/>
        <w:bottom w:val="none" w:sz="0" w:space="0" w:color="auto"/>
        <w:right w:val="none" w:sz="0" w:space="0" w:color="auto"/>
      </w:divBdr>
    </w:div>
    <w:div w:id="1568765255">
      <w:bodyDiv w:val="1"/>
      <w:marLeft w:val="0"/>
      <w:marRight w:val="0"/>
      <w:marTop w:val="0"/>
      <w:marBottom w:val="0"/>
      <w:divBdr>
        <w:top w:val="none" w:sz="0" w:space="0" w:color="auto"/>
        <w:left w:val="none" w:sz="0" w:space="0" w:color="auto"/>
        <w:bottom w:val="none" w:sz="0" w:space="0" w:color="auto"/>
        <w:right w:val="none" w:sz="0" w:space="0" w:color="auto"/>
      </w:divBdr>
    </w:div>
    <w:div w:id="1582905790">
      <w:bodyDiv w:val="1"/>
      <w:marLeft w:val="0"/>
      <w:marRight w:val="0"/>
      <w:marTop w:val="0"/>
      <w:marBottom w:val="0"/>
      <w:divBdr>
        <w:top w:val="none" w:sz="0" w:space="0" w:color="auto"/>
        <w:left w:val="none" w:sz="0" w:space="0" w:color="auto"/>
        <w:bottom w:val="none" w:sz="0" w:space="0" w:color="auto"/>
        <w:right w:val="none" w:sz="0" w:space="0" w:color="auto"/>
      </w:divBdr>
      <w:divsChild>
        <w:div w:id="269898353">
          <w:marLeft w:val="0"/>
          <w:marRight w:val="0"/>
          <w:marTop w:val="0"/>
          <w:marBottom w:val="0"/>
          <w:divBdr>
            <w:top w:val="none" w:sz="0" w:space="0" w:color="auto"/>
            <w:left w:val="none" w:sz="0" w:space="0" w:color="auto"/>
            <w:bottom w:val="none" w:sz="0" w:space="0" w:color="auto"/>
            <w:right w:val="none" w:sz="0" w:space="0" w:color="auto"/>
          </w:divBdr>
        </w:div>
        <w:div w:id="792670521">
          <w:marLeft w:val="0"/>
          <w:marRight w:val="0"/>
          <w:marTop w:val="0"/>
          <w:marBottom w:val="0"/>
          <w:divBdr>
            <w:top w:val="none" w:sz="0" w:space="0" w:color="auto"/>
            <w:left w:val="none" w:sz="0" w:space="0" w:color="auto"/>
            <w:bottom w:val="none" w:sz="0" w:space="0" w:color="auto"/>
            <w:right w:val="none" w:sz="0" w:space="0" w:color="auto"/>
          </w:divBdr>
        </w:div>
        <w:div w:id="1174958486">
          <w:marLeft w:val="0"/>
          <w:marRight w:val="0"/>
          <w:marTop w:val="0"/>
          <w:marBottom w:val="0"/>
          <w:divBdr>
            <w:top w:val="none" w:sz="0" w:space="0" w:color="auto"/>
            <w:left w:val="none" w:sz="0" w:space="0" w:color="auto"/>
            <w:bottom w:val="none" w:sz="0" w:space="0" w:color="auto"/>
            <w:right w:val="none" w:sz="0" w:space="0" w:color="auto"/>
          </w:divBdr>
        </w:div>
        <w:div w:id="1670252094">
          <w:marLeft w:val="0"/>
          <w:marRight w:val="0"/>
          <w:marTop w:val="0"/>
          <w:marBottom w:val="0"/>
          <w:divBdr>
            <w:top w:val="none" w:sz="0" w:space="0" w:color="auto"/>
            <w:left w:val="none" w:sz="0" w:space="0" w:color="auto"/>
            <w:bottom w:val="none" w:sz="0" w:space="0" w:color="auto"/>
            <w:right w:val="none" w:sz="0" w:space="0" w:color="auto"/>
          </w:divBdr>
        </w:div>
        <w:div w:id="1867594703">
          <w:marLeft w:val="0"/>
          <w:marRight w:val="0"/>
          <w:marTop w:val="0"/>
          <w:marBottom w:val="0"/>
          <w:divBdr>
            <w:top w:val="none" w:sz="0" w:space="0" w:color="auto"/>
            <w:left w:val="none" w:sz="0" w:space="0" w:color="auto"/>
            <w:bottom w:val="none" w:sz="0" w:space="0" w:color="auto"/>
            <w:right w:val="none" w:sz="0" w:space="0" w:color="auto"/>
          </w:divBdr>
        </w:div>
      </w:divsChild>
    </w:div>
    <w:div w:id="1583220088">
      <w:bodyDiv w:val="1"/>
      <w:marLeft w:val="0"/>
      <w:marRight w:val="0"/>
      <w:marTop w:val="0"/>
      <w:marBottom w:val="0"/>
      <w:divBdr>
        <w:top w:val="none" w:sz="0" w:space="0" w:color="auto"/>
        <w:left w:val="none" w:sz="0" w:space="0" w:color="auto"/>
        <w:bottom w:val="none" w:sz="0" w:space="0" w:color="auto"/>
        <w:right w:val="none" w:sz="0" w:space="0" w:color="auto"/>
      </w:divBdr>
      <w:divsChild>
        <w:div w:id="1229729751">
          <w:marLeft w:val="0"/>
          <w:marRight w:val="0"/>
          <w:marTop w:val="0"/>
          <w:marBottom w:val="0"/>
          <w:divBdr>
            <w:top w:val="none" w:sz="0" w:space="0" w:color="auto"/>
            <w:left w:val="none" w:sz="0" w:space="0" w:color="auto"/>
            <w:bottom w:val="none" w:sz="0" w:space="0" w:color="auto"/>
            <w:right w:val="none" w:sz="0" w:space="0" w:color="auto"/>
          </w:divBdr>
        </w:div>
      </w:divsChild>
    </w:div>
    <w:div w:id="1598324376">
      <w:bodyDiv w:val="1"/>
      <w:marLeft w:val="0"/>
      <w:marRight w:val="0"/>
      <w:marTop w:val="0"/>
      <w:marBottom w:val="0"/>
      <w:divBdr>
        <w:top w:val="none" w:sz="0" w:space="0" w:color="auto"/>
        <w:left w:val="none" w:sz="0" w:space="0" w:color="auto"/>
        <w:bottom w:val="none" w:sz="0" w:space="0" w:color="auto"/>
        <w:right w:val="none" w:sz="0" w:space="0" w:color="auto"/>
      </w:divBdr>
      <w:divsChild>
        <w:div w:id="65960711">
          <w:marLeft w:val="0"/>
          <w:marRight w:val="0"/>
          <w:marTop w:val="0"/>
          <w:marBottom w:val="0"/>
          <w:divBdr>
            <w:top w:val="none" w:sz="0" w:space="0" w:color="auto"/>
            <w:left w:val="none" w:sz="0" w:space="0" w:color="auto"/>
            <w:bottom w:val="none" w:sz="0" w:space="0" w:color="auto"/>
            <w:right w:val="none" w:sz="0" w:space="0" w:color="auto"/>
          </w:divBdr>
        </w:div>
        <w:div w:id="168720726">
          <w:marLeft w:val="0"/>
          <w:marRight w:val="0"/>
          <w:marTop w:val="0"/>
          <w:marBottom w:val="0"/>
          <w:divBdr>
            <w:top w:val="none" w:sz="0" w:space="0" w:color="auto"/>
            <w:left w:val="none" w:sz="0" w:space="0" w:color="auto"/>
            <w:bottom w:val="none" w:sz="0" w:space="0" w:color="auto"/>
            <w:right w:val="none" w:sz="0" w:space="0" w:color="auto"/>
          </w:divBdr>
        </w:div>
        <w:div w:id="547686708">
          <w:marLeft w:val="0"/>
          <w:marRight w:val="0"/>
          <w:marTop w:val="0"/>
          <w:marBottom w:val="0"/>
          <w:divBdr>
            <w:top w:val="none" w:sz="0" w:space="0" w:color="auto"/>
            <w:left w:val="none" w:sz="0" w:space="0" w:color="auto"/>
            <w:bottom w:val="none" w:sz="0" w:space="0" w:color="auto"/>
            <w:right w:val="none" w:sz="0" w:space="0" w:color="auto"/>
          </w:divBdr>
        </w:div>
        <w:div w:id="802310439">
          <w:marLeft w:val="0"/>
          <w:marRight w:val="0"/>
          <w:marTop w:val="0"/>
          <w:marBottom w:val="0"/>
          <w:divBdr>
            <w:top w:val="none" w:sz="0" w:space="0" w:color="auto"/>
            <w:left w:val="none" w:sz="0" w:space="0" w:color="auto"/>
            <w:bottom w:val="none" w:sz="0" w:space="0" w:color="auto"/>
            <w:right w:val="none" w:sz="0" w:space="0" w:color="auto"/>
          </w:divBdr>
        </w:div>
        <w:div w:id="1814789964">
          <w:marLeft w:val="0"/>
          <w:marRight w:val="0"/>
          <w:marTop w:val="0"/>
          <w:marBottom w:val="0"/>
          <w:divBdr>
            <w:top w:val="none" w:sz="0" w:space="0" w:color="auto"/>
            <w:left w:val="none" w:sz="0" w:space="0" w:color="auto"/>
            <w:bottom w:val="none" w:sz="0" w:space="0" w:color="auto"/>
            <w:right w:val="none" w:sz="0" w:space="0" w:color="auto"/>
          </w:divBdr>
        </w:div>
        <w:div w:id="2057971545">
          <w:marLeft w:val="0"/>
          <w:marRight w:val="0"/>
          <w:marTop w:val="0"/>
          <w:marBottom w:val="0"/>
          <w:divBdr>
            <w:top w:val="none" w:sz="0" w:space="0" w:color="auto"/>
            <w:left w:val="none" w:sz="0" w:space="0" w:color="auto"/>
            <w:bottom w:val="none" w:sz="0" w:space="0" w:color="auto"/>
            <w:right w:val="none" w:sz="0" w:space="0" w:color="auto"/>
          </w:divBdr>
        </w:div>
      </w:divsChild>
    </w:div>
    <w:div w:id="1626307561">
      <w:bodyDiv w:val="1"/>
      <w:marLeft w:val="0"/>
      <w:marRight w:val="0"/>
      <w:marTop w:val="0"/>
      <w:marBottom w:val="0"/>
      <w:divBdr>
        <w:top w:val="none" w:sz="0" w:space="0" w:color="auto"/>
        <w:left w:val="none" w:sz="0" w:space="0" w:color="auto"/>
        <w:bottom w:val="none" w:sz="0" w:space="0" w:color="auto"/>
        <w:right w:val="none" w:sz="0" w:space="0" w:color="auto"/>
      </w:divBdr>
    </w:div>
    <w:div w:id="1639410012">
      <w:bodyDiv w:val="1"/>
      <w:marLeft w:val="0"/>
      <w:marRight w:val="0"/>
      <w:marTop w:val="0"/>
      <w:marBottom w:val="0"/>
      <w:divBdr>
        <w:top w:val="none" w:sz="0" w:space="0" w:color="auto"/>
        <w:left w:val="none" w:sz="0" w:space="0" w:color="auto"/>
        <w:bottom w:val="none" w:sz="0" w:space="0" w:color="auto"/>
        <w:right w:val="none" w:sz="0" w:space="0" w:color="auto"/>
      </w:divBdr>
    </w:div>
    <w:div w:id="1645543582">
      <w:bodyDiv w:val="1"/>
      <w:marLeft w:val="0"/>
      <w:marRight w:val="0"/>
      <w:marTop w:val="0"/>
      <w:marBottom w:val="0"/>
      <w:divBdr>
        <w:top w:val="none" w:sz="0" w:space="0" w:color="auto"/>
        <w:left w:val="none" w:sz="0" w:space="0" w:color="auto"/>
        <w:bottom w:val="none" w:sz="0" w:space="0" w:color="auto"/>
        <w:right w:val="none" w:sz="0" w:space="0" w:color="auto"/>
      </w:divBdr>
    </w:div>
    <w:div w:id="1653751905">
      <w:bodyDiv w:val="1"/>
      <w:marLeft w:val="0"/>
      <w:marRight w:val="0"/>
      <w:marTop w:val="0"/>
      <w:marBottom w:val="0"/>
      <w:divBdr>
        <w:top w:val="none" w:sz="0" w:space="0" w:color="auto"/>
        <w:left w:val="none" w:sz="0" w:space="0" w:color="auto"/>
        <w:bottom w:val="none" w:sz="0" w:space="0" w:color="auto"/>
        <w:right w:val="none" w:sz="0" w:space="0" w:color="auto"/>
      </w:divBdr>
      <w:divsChild>
        <w:div w:id="1060590096">
          <w:marLeft w:val="0"/>
          <w:marRight w:val="0"/>
          <w:marTop w:val="0"/>
          <w:marBottom w:val="0"/>
          <w:divBdr>
            <w:top w:val="none" w:sz="0" w:space="0" w:color="auto"/>
            <w:left w:val="none" w:sz="0" w:space="0" w:color="auto"/>
            <w:bottom w:val="none" w:sz="0" w:space="0" w:color="auto"/>
            <w:right w:val="none" w:sz="0" w:space="0" w:color="auto"/>
          </w:divBdr>
        </w:div>
        <w:div w:id="1998848148">
          <w:marLeft w:val="0"/>
          <w:marRight w:val="0"/>
          <w:marTop w:val="0"/>
          <w:marBottom w:val="0"/>
          <w:divBdr>
            <w:top w:val="none" w:sz="0" w:space="0" w:color="auto"/>
            <w:left w:val="none" w:sz="0" w:space="0" w:color="auto"/>
            <w:bottom w:val="none" w:sz="0" w:space="0" w:color="auto"/>
            <w:right w:val="none" w:sz="0" w:space="0" w:color="auto"/>
          </w:divBdr>
        </w:div>
      </w:divsChild>
    </w:div>
    <w:div w:id="1666208045">
      <w:bodyDiv w:val="1"/>
      <w:marLeft w:val="0"/>
      <w:marRight w:val="0"/>
      <w:marTop w:val="0"/>
      <w:marBottom w:val="0"/>
      <w:divBdr>
        <w:top w:val="none" w:sz="0" w:space="0" w:color="auto"/>
        <w:left w:val="none" w:sz="0" w:space="0" w:color="auto"/>
        <w:bottom w:val="none" w:sz="0" w:space="0" w:color="auto"/>
        <w:right w:val="none" w:sz="0" w:space="0" w:color="auto"/>
      </w:divBdr>
    </w:div>
    <w:div w:id="1666476131">
      <w:bodyDiv w:val="1"/>
      <w:marLeft w:val="0"/>
      <w:marRight w:val="0"/>
      <w:marTop w:val="0"/>
      <w:marBottom w:val="0"/>
      <w:divBdr>
        <w:top w:val="none" w:sz="0" w:space="0" w:color="auto"/>
        <w:left w:val="none" w:sz="0" w:space="0" w:color="auto"/>
        <w:bottom w:val="none" w:sz="0" w:space="0" w:color="auto"/>
        <w:right w:val="none" w:sz="0" w:space="0" w:color="auto"/>
      </w:divBdr>
      <w:divsChild>
        <w:div w:id="1671253450">
          <w:blockQuote w:val="1"/>
          <w:marLeft w:val="720"/>
          <w:marRight w:val="0"/>
          <w:marTop w:val="0"/>
          <w:marBottom w:val="48"/>
          <w:divBdr>
            <w:top w:val="none" w:sz="0" w:space="0" w:color="auto"/>
            <w:left w:val="none" w:sz="0" w:space="0" w:color="auto"/>
            <w:bottom w:val="none" w:sz="0" w:space="0" w:color="auto"/>
            <w:right w:val="none" w:sz="0" w:space="0" w:color="auto"/>
          </w:divBdr>
        </w:div>
        <w:div w:id="1811048411">
          <w:blockQuote w:val="1"/>
          <w:marLeft w:val="720"/>
          <w:marRight w:val="0"/>
          <w:marTop w:val="0"/>
          <w:marBottom w:val="48"/>
          <w:divBdr>
            <w:top w:val="none" w:sz="0" w:space="0" w:color="auto"/>
            <w:left w:val="none" w:sz="0" w:space="0" w:color="auto"/>
            <w:bottom w:val="none" w:sz="0" w:space="0" w:color="auto"/>
            <w:right w:val="none" w:sz="0" w:space="0" w:color="auto"/>
          </w:divBdr>
        </w:div>
      </w:divsChild>
    </w:div>
    <w:div w:id="1677146011">
      <w:bodyDiv w:val="1"/>
      <w:marLeft w:val="0"/>
      <w:marRight w:val="0"/>
      <w:marTop w:val="0"/>
      <w:marBottom w:val="0"/>
      <w:divBdr>
        <w:top w:val="none" w:sz="0" w:space="0" w:color="auto"/>
        <w:left w:val="none" w:sz="0" w:space="0" w:color="auto"/>
        <w:bottom w:val="none" w:sz="0" w:space="0" w:color="auto"/>
        <w:right w:val="none" w:sz="0" w:space="0" w:color="auto"/>
      </w:divBdr>
    </w:div>
    <w:div w:id="1707220948">
      <w:bodyDiv w:val="1"/>
      <w:marLeft w:val="0"/>
      <w:marRight w:val="0"/>
      <w:marTop w:val="0"/>
      <w:marBottom w:val="0"/>
      <w:divBdr>
        <w:top w:val="none" w:sz="0" w:space="0" w:color="auto"/>
        <w:left w:val="none" w:sz="0" w:space="0" w:color="auto"/>
        <w:bottom w:val="none" w:sz="0" w:space="0" w:color="auto"/>
        <w:right w:val="none" w:sz="0" w:space="0" w:color="auto"/>
      </w:divBdr>
      <w:divsChild>
        <w:div w:id="280651569">
          <w:marLeft w:val="0"/>
          <w:marRight w:val="0"/>
          <w:marTop w:val="0"/>
          <w:marBottom w:val="0"/>
          <w:divBdr>
            <w:top w:val="none" w:sz="0" w:space="0" w:color="auto"/>
            <w:left w:val="none" w:sz="0" w:space="0" w:color="auto"/>
            <w:bottom w:val="none" w:sz="0" w:space="0" w:color="auto"/>
            <w:right w:val="none" w:sz="0" w:space="0" w:color="auto"/>
          </w:divBdr>
        </w:div>
      </w:divsChild>
    </w:div>
    <w:div w:id="1708139571">
      <w:bodyDiv w:val="1"/>
      <w:marLeft w:val="0"/>
      <w:marRight w:val="0"/>
      <w:marTop w:val="0"/>
      <w:marBottom w:val="0"/>
      <w:divBdr>
        <w:top w:val="none" w:sz="0" w:space="0" w:color="auto"/>
        <w:left w:val="none" w:sz="0" w:space="0" w:color="auto"/>
        <w:bottom w:val="none" w:sz="0" w:space="0" w:color="auto"/>
        <w:right w:val="none" w:sz="0" w:space="0" w:color="auto"/>
      </w:divBdr>
    </w:div>
    <w:div w:id="1731801597">
      <w:bodyDiv w:val="1"/>
      <w:marLeft w:val="0"/>
      <w:marRight w:val="0"/>
      <w:marTop w:val="0"/>
      <w:marBottom w:val="0"/>
      <w:divBdr>
        <w:top w:val="none" w:sz="0" w:space="0" w:color="auto"/>
        <w:left w:val="none" w:sz="0" w:space="0" w:color="auto"/>
        <w:bottom w:val="none" w:sz="0" w:space="0" w:color="auto"/>
        <w:right w:val="none" w:sz="0" w:space="0" w:color="auto"/>
      </w:divBdr>
    </w:div>
    <w:div w:id="1758860954">
      <w:bodyDiv w:val="1"/>
      <w:marLeft w:val="0"/>
      <w:marRight w:val="0"/>
      <w:marTop w:val="0"/>
      <w:marBottom w:val="0"/>
      <w:divBdr>
        <w:top w:val="none" w:sz="0" w:space="0" w:color="auto"/>
        <w:left w:val="none" w:sz="0" w:space="0" w:color="auto"/>
        <w:bottom w:val="none" w:sz="0" w:space="0" w:color="auto"/>
        <w:right w:val="none" w:sz="0" w:space="0" w:color="auto"/>
      </w:divBdr>
      <w:divsChild>
        <w:div w:id="170264495">
          <w:marLeft w:val="0"/>
          <w:marRight w:val="0"/>
          <w:marTop w:val="0"/>
          <w:marBottom w:val="0"/>
          <w:divBdr>
            <w:top w:val="none" w:sz="0" w:space="0" w:color="auto"/>
            <w:left w:val="none" w:sz="0" w:space="0" w:color="auto"/>
            <w:bottom w:val="none" w:sz="0" w:space="0" w:color="auto"/>
            <w:right w:val="none" w:sz="0" w:space="0" w:color="auto"/>
          </w:divBdr>
        </w:div>
        <w:div w:id="204752344">
          <w:marLeft w:val="0"/>
          <w:marRight w:val="0"/>
          <w:marTop w:val="0"/>
          <w:marBottom w:val="0"/>
          <w:divBdr>
            <w:top w:val="none" w:sz="0" w:space="0" w:color="auto"/>
            <w:left w:val="none" w:sz="0" w:space="0" w:color="auto"/>
            <w:bottom w:val="none" w:sz="0" w:space="0" w:color="auto"/>
            <w:right w:val="none" w:sz="0" w:space="0" w:color="auto"/>
          </w:divBdr>
        </w:div>
        <w:div w:id="264775874">
          <w:marLeft w:val="0"/>
          <w:marRight w:val="0"/>
          <w:marTop w:val="0"/>
          <w:marBottom w:val="0"/>
          <w:divBdr>
            <w:top w:val="none" w:sz="0" w:space="0" w:color="auto"/>
            <w:left w:val="none" w:sz="0" w:space="0" w:color="auto"/>
            <w:bottom w:val="none" w:sz="0" w:space="0" w:color="auto"/>
            <w:right w:val="none" w:sz="0" w:space="0" w:color="auto"/>
          </w:divBdr>
        </w:div>
        <w:div w:id="361173230">
          <w:marLeft w:val="0"/>
          <w:marRight w:val="0"/>
          <w:marTop w:val="0"/>
          <w:marBottom w:val="0"/>
          <w:divBdr>
            <w:top w:val="none" w:sz="0" w:space="0" w:color="auto"/>
            <w:left w:val="none" w:sz="0" w:space="0" w:color="auto"/>
            <w:bottom w:val="none" w:sz="0" w:space="0" w:color="auto"/>
            <w:right w:val="none" w:sz="0" w:space="0" w:color="auto"/>
          </w:divBdr>
        </w:div>
        <w:div w:id="449976308">
          <w:marLeft w:val="0"/>
          <w:marRight w:val="0"/>
          <w:marTop w:val="0"/>
          <w:marBottom w:val="0"/>
          <w:divBdr>
            <w:top w:val="none" w:sz="0" w:space="0" w:color="auto"/>
            <w:left w:val="none" w:sz="0" w:space="0" w:color="auto"/>
            <w:bottom w:val="none" w:sz="0" w:space="0" w:color="auto"/>
            <w:right w:val="none" w:sz="0" w:space="0" w:color="auto"/>
          </w:divBdr>
        </w:div>
        <w:div w:id="480856271">
          <w:marLeft w:val="0"/>
          <w:marRight w:val="0"/>
          <w:marTop w:val="0"/>
          <w:marBottom w:val="0"/>
          <w:divBdr>
            <w:top w:val="none" w:sz="0" w:space="0" w:color="auto"/>
            <w:left w:val="none" w:sz="0" w:space="0" w:color="auto"/>
            <w:bottom w:val="none" w:sz="0" w:space="0" w:color="auto"/>
            <w:right w:val="none" w:sz="0" w:space="0" w:color="auto"/>
          </w:divBdr>
        </w:div>
        <w:div w:id="570502711">
          <w:marLeft w:val="0"/>
          <w:marRight w:val="0"/>
          <w:marTop w:val="0"/>
          <w:marBottom w:val="0"/>
          <w:divBdr>
            <w:top w:val="none" w:sz="0" w:space="0" w:color="auto"/>
            <w:left w:val="none" w:sz="0" w:space="0" w:color="auto"/>
            <w:bottom w:val="none" w:sz="0" w:space="0" w:color="auto"/>
            <w:right w:val="none" w:sz="0" w:space="0" w:color="auto"/>
          </w:divBdr>
        </w:div>
        <w:div w:id="655841126">
          <w:marLeft w:val="0"/>
          <w:marRight w:val="0"/>
          <w:marTop w:val="0"/>
          <w:marBottom w:val="0"/>
          <w:divBdr>
            <w:top w:val="none" w:sz="0" w:space="0" w:color="auto"/>
            <w:left w:val="none" w:sz="0" w:space="0" w:color="auto"/>
            <w:bottom w:val="none" w:sz="0" w:space="0" w:color="auto"/>
            <w:right w:val="none" w:sz="0" w:space="0" w:color="auto"/>
          </w:divBdr>
        </w:div>
        <w:div w:id="669022327">
          <w:marLeft w:val="0"/>
          <w:marRight w:val="0"/>
          <w:marTop w:val="0"/>
          <w:marBottom w:val="0"/>
          <w:divBdr>
            <w:top w:val="none" w:sz="0" w:space="0" w:color="auto"/>
            <w:left w:val="none" w:sz="0" w:space="0" w:color="auto"/>
            <w:bottom w:val="none" w:sz="0" w:space="0" w:color="auto"/>
            <w:right w:val="none" w:sz="0" w:space="0" w:color="auto"/>
          </w:divBdr>
        </w:div>
        <w:div w:id="734355186">
          <w:marLeft w:val="0"/>
          <w:marRight w:val="0"/>
          <w:marTop w:val="0"/>
          <w:marBottom w:val="0"/>
          <w:divBdr>
            <w:top w:val="none" w:sz="0" w:space="0" w:color="auto"/>
            <w:left w:val="none" w:sz="0" w:space="0" w:color="auto"/>
            <w:bottom w:val="none" w:sz="0" w:space="0" w:color="auto"/>
            <w:right w:val="none" w:sz="0" w:space="0" w:color="auto"/>
          </w:divBdr>
        </w:div>
        <w:div w:id="1190069106">
          <w:marLeft w:val="0"/>
          <w:marRight w:val="0"/>
          <w:marTop w:val="0"/>
          <w:marBottom w:val="0"/>
          <w:divBdr>
            <w:top w:val="none" w:sz="0" w:space="0" w:color="auto"/>
            <w:left w:val="none" w:sz="0" w:space="0" w:color="auto"/>
            <w:bottom w:val="none" w:sz="0" w:space="0" w:color="auto"/>
            <w:right w:val="none" w:sz="0" w:space="0" w:color="auto"/>
          </w:divBdr>
        </w:div>
        <w:div w:id="1266494513">
          <w:marLeft w:val="0"/>
          <w:marRight w:val="0"/>
          <w:marTop w:val="0"/>
          <w:marBottom w:val="0"/>
          <w:divBdr>
            <w:top w:val="none" w:sz="0" w:space="0" w:color="auto"/>
            <w:left w:val="none" w:sz="0" w:space="0" w:color="auto"/>
            <w:bottom w:val="none" w:sz="0" w:space="0" w:color="auto"/>
            <w:right w:val="none" w:sz="0" w:space="0" w:color="auto"/>
          </w:divBdr>
        </w:div>
        <w:div w:id="1388728038">
          <w:marLeft w:val="0"/>
          <w:marRight w:val="0"/>
          <w:marTop w:val="0"/>
          <w:marBottom w:val="0"/>
          <w:divBdr>
            <w:top w:val="none" w:sz="0" w:space="0" w:color="auto"/>
            <w:left w:val="none" w:sz="0" w:space="0" w:color="auto"/>
            <w:bottom w:val="none" w:sz="0" w:space="0" w:color="auto"/>
            <w:right w:val="none" w:sz="0" w:space="0" w:color="auto"/>
          </w:divBdr>
        </w:div>
        <w:div w:id="1515849375">
          <w:marLeft w:val="0"/>
          <w:marRight w:val="0"/>
          <w:marTop w:val="0"/>
          <w:marBottom w:val="0"/>
          <w:divBdr>
            <w:top w:val="none" w:sz="0" w:space="0" w:color="auto"/>
            <w:left w:val="none" w:sz="0" w:space="0" w:color="auto"/>
            <w:bottom w:val="none" w:sz="0" w:space="0" w:color="auto"/>
            <w:right w:val="none" w:sz="0" w:space="0" w:color="auto"/>
          </w:divBdr>
        </w:div>
        <w:div w:id="1742944946">
          <w:marLeft w:val="0"/>
          <w:marRight w:val="0"/>
          <w:marTop w:val="0"/>
          <w:marBottom w:val="0"/>
          <w:divBdr>
            <w:top w:val="none" w:sz="0" w:space="0" w:color="auto"/>
            <w:left w:val="none" w:sz="0" w:space="0" w:color="auto"/>
            <w:bottom w:val="none" w:sz="0" w:space="0" w:color="auto"/>
            <w:right w:val="none" w:sz="0" w:space="0" w:color="auto"/>
          </w:divBdr>
        </w:div>
        <w:div w:id="2001932200">
          <w:marLeft w:val="0"/>
          <w:marRight w:val="0"/>
          <w:marTop w:val="0"/>
          <w:marBottom w:val="0"/>
          <w:divBdr>
            <w:top w:val="none" w:sz="0" w:space="0" w:color="auto"/>
            <w:left w:val="none" w:sz="0" w:space="0" w:color="auto"/>
            <w:bottom w:val="none" w:sz="0" w:space="0" w:color="auto"/>
            <w:right w:val="none" w:sz="0" w:space="0" w:color="auto"/>
          </w:divBdr>
        </w:div>
        <w:div w:id="2024166096">
          <w:marLeft w:val="0"/>
          <w:marRight w:val="0"/>
          <w:marTop w:val="0"/>
          <w:marBottom w:val="0"/>
          <w:divBdr>
            <w:top w:val="none" w:sz="0" w:space="0" w:color="auto"/>
            <w:left w:val="none" w:sz="0" w:space="0" w:color="auto"/>
            <w:bottom w:val="none" w:sz="0" w:space="0" w:color="auto"/>
            <w:right w:val="none" w:sz="0" w:space="0" w:color="auto"/>
          </w:divBdr>
        </w:div>
        <w:div w:id="2130276112">
          <w:marLeft w:val="0"/>
          <w:marRight w:val="0"/>
          <w:marTop w:val="0"/>
          <w:marBottom w:val="0"/>
          <w:divBdr>
            <w:top w:val="none" w:sz="0" w:space="0" w:color="auto"/>
            <w:left w:val="none" w:sz="0" w:space="0" w:color="auto"/>
            <w:bottom w:val="none" w:sz="0" w:space="0" w:color="auto"/>
            <w:right w:val="none" w:sz="0" w:space="0" w:color="auto"/>
          </w:divBdr>
        </w:div>
      </w:divsChild>
    </w:div>
    <w:div w:id="1788045535">
      <w:bodyDiv w:val="1"/>
      <w:marLeft w:val="0"/>
      <w:marRight w:val="0"/>
      <w:marTop w:val="0"/>
      <w:marBottom w:val="0"/>
      <w:divBdr>
        <w:top w:val="none" w:sz="0" w:space="0" w:color="auto"/>
        <w:left w:val="none" w:sz="0" w:space="0" w:color="auto"/>
        <w:bottom w:val="none" w:sz="0" w:space="0" w:color="auto"/>
        <w:right w:val="none" w:sz="0" w:space="0" w:color="auto"/>
      </w:divBdr>
    </w:div>
    <w:div w:id="1797138790">
      <w:bodyDiv w:val="1"/>
      <w:marLeft w:val="0"/>
      <w:marRight w:val="0"/>
      <w:marTop w:val="0"/>
      <w:marBottom w:val="0"/>
      <w:divBdr>
        <w:top w:val="none" w:sz="0" w:space="0" w:color="auto"/>
        <w:left w:val="none" w:sz="0" w:space="0" w:color="auto"/>
        <w:bottom w:val="none" w:sz="0" w:space="0" w:color="auto"/>
        <w:right w:val="none" w:sz="0" w:space="0" w:color="auto"/>
      </w:divBdr>
    </w:div>
    <w:div w:id="1812404530">
      <w:bodyDiv w:val="1"/>
      <w:marLeft w:val="0"/>
      <w:marRight w:val="0"/>
      <w:marTop w:val="0"/>
      <w:marBottom w:val="0"/>
      <w:divBdr>
        <w:top w:val="none" w:sz="0" w:space="0" w:color="auto"/>
        <w:left w:val="none" w:sz="0" w:space="0" w:color="auto"/>
        <w:bottom w:val="none" w:sz="0" w:space="0" w:color="auto"/>
        <w:right w:val="none" w:sz="0" w:space="0" w:color="auto"/>
      </w:divBdr>
      <w:divsChild>
        <w:div w:id="923222644">
          <w:marLeft w:val="0"/>
          <w:marRight w:val="0"/>
          <w:marTop w:val="0"/>
          <w:marBottom w:val="0"/>
          <w:divBdr>
            <w:top w:val="none" w:sz="0" w:space="0" w:color="auto"/>
            <w:left w:val="none" w:sz="0" w:space="0" w:color="auto"/>
            <w:bottom w:val="none" w:sz="0" w:space="0" w:color="auto"/>
            <w:right w:val="none" w:sz="0" w:space="0" w:color="auto"/>
          </w:divBdr>
        </w:div>
      </w:divsChild>
    </w:div>
    <w:div w:id="1839803152">
      <w:bodyDiv w:val="1"/>
      <w:marLeft w:val="0"/>
      <w:marRight w:val="0"/>
      <w:marTop w:val="0"/>
      <w:marBottom w:val="0"/>
      <w:divBdr>
        <w:top w:val="none" w:sz="0" w:space="0" w:color="auto"/>
        <w:left w:val="none" w:sz="0" w:space="0" w:color="auto"/>
        <w:bottom w:val="none" w:sz="0" w:space="0" w:color="auto"/>
        <w:right w:val="none" w:sz="0" w:space="0" w:color="auto"/>
      </w:divBdr>
      <w:divsChild>
        <w:div w:id="384107878">
          <w:marLeft w:val="0"/>
          <w:marRight w:val="0"/>
          <w:marTop w:val="0"/>
          <w:marBottom w:val="0"/>
          <w:divBdr>
            <w:top w:val="none" w:sz="0" w:space="0" w:color="auto"/>
            <w:left w:val="none" w:sz="0" w:space="0" w:color="auto"/>
            <w:bottom w:val="none" w:sz="0" w:space="0" w:color="auto"/>
            <w:right w:val="none" w:sz="0" w:space="0" w:color="auto"/>
          </w:divBdr>
        </w:div>
        <w:div w:id="564680707">
          <w:marLeft w:val="0"/>
          <w:marRight w:val="0"/>
          <w:marTop w:val="0"/>
          <w:marBottom w:val="0"/>
          <w:divBdr>
            <w:top w:val="none" w:sz="0" w:space="0" w:color="auto"/>
            <w:left w:val="none" w:sz="0" w:space="0" w:color="auto"/>
            <w:bottom w:val="none" w:sz="0" w:space="0" w:color="auto"/>
            <w:right w:val="none" w:sz="0" w:space="0" w:color="auto"/>
          </w:divBdr>
        </w:div>
        <w:div w:id="1648431893">
          <w:marLeft w:val="0"/>
          <w:marRight w:val="0"/>
          <w:marTop w:val="0"/>
          <w:marBottom w:val="0"/>
          <w:divBdr>
            <w:top w:val="none" w:sz="0" w:space="0" w:color="auto"/>
            <w:left w:val="none" w:sz="0" w:space="0" w:color="auto"/>
            <w:bottom w:val="none" w:sz="0" w:space="0" w:color="auto"/>
            <w:right w:val="none" w:sz="0" w:space="0" w:color="auto"/>
          </w:divBdr>
        </w:div>
        <w:div w:id="1757945594">
          <w:marLeft w:val="0"/>
          <w:marRight w:val="0"/>
          <w:marTop w:val="0"/>
          <w:marBottom w:val="0"/>
          <w:divBdr>
            <w:top w:val="none" w:sz="0" w:space="0" w:color="auto"/>
            <w:left w:val="none" w:sz="0" w:space="0" w:color="auto"/>
            <w:bottom w:val="none" w:sz="0" w:space="0" w:color="auto"/>
            <w:right w:val="none" w:sz="0" w:space="0" w:color="auto"/>
          </w:divBdr>
        </w:div>
        <w:div w:id="2084333661">
          <w:marLeft w:val="0"/>
          <w:marRight w:val="0"/>
          <w:marTop w:val="0"/>
          <w:marBottom w:val="0"/>
          <w:divBdr>
            <w:top w:val="none" w:sz="0" w:space="0" w:color="auto"/>
            <w:left w:val="none" w:sz="0" w:space="0" w:color="auto"/>
            <w:bottom w:val="none" w:sz="0" w:space="0" w:color="auto"/>
            <w:right w:val="none" w:sz="0" w:space="0" w:color="auto"/>
          </w:divBdr>
        </w:div>
      </w:divsChild>
    </w:div>
    <w:div w:id="1882085308">
      <w:bodyDiv w:val="1"/>
      <w:marLeft w:val="0"/>
      <w:marRight w:val="0"/>
      <w:marTop w:val="0"/>
      <w:marBottom w:val="0"/>
      <w:divBdr>
        <w:top w:val="none" w:sz="0" w:space="0" w:color="auto"/>
        <w:left w:val="none" w:sz="0" w:space="0" w:color="auto"/>
        <w:bottom w:val="none" w:sz="0" w:space="0" w:color="auto"/>
        <w:right w:val="none" w:sz="0" w:space="0" w:color="auto"/>
      </w:divBdr>
    </w:div>
    <w:div w:id="1905019357">
      <w:bodyDiv w:val="1"/>
      <w:marLeft w:val="0"/>
      <w:marRight w:val="0"/>
      <w:marTop w:val="0"/>
      <w:marBottom w:val="0"/>
      <w:divBdr>
        <w:top w:val="none" w:sz="0" w:space="0" w:color="auto"/>
        <w:left w:val="none" w:sz="0" w:space="0" w:color="auto"/>
        <w:bottom w:val="none" w:sz="0" w:space="0" w:color="auto"/>
        <w:right w:val="none" w:sz="0" w:space="0" w:color="auto"/>
      </w:divBdr>
    </w:div>
    <w:div w:id="1954746134">
      <w:bodyDiv w:val="1"/>
      <w:marLeft w:val="0"/>
      <w:marRight w:val="0"/>
      <w:marTop w:val="0"/>
      <w:marBottom w:val="0"/>
      <w:divBdr>
        <w:top w:val="none" w:sz="0" w:space="0" w:color="auto"/>
        <w:left w:val="none" w:sz="0" w:space="0" w:color="auto"/>
        <w:bottom w:val="none" w:sz="0" w:space="0" w:color="auto"/>
        <w:right w:val="none" w:sz="0" w:space="0" w:color="auto"/>
      </w:divBdr>
      <w:divsChild>
        <w:div w:id="424957936">
          <w:marLeft w:val="0"/>
          <w:marRight w:val="0"/>
          <w:marTop w:val="0"/>
          <w:marBottom w:val="0"/>
          <w:divBdr>
            <w:top w:val="none" w:sz="0" w:space="0" w:color="auto"/>
            <w:left w:val="none" w:sz="0" w:space="0" w:color="auto"/>
            <w:bottom w:val="none" w:sz="0" w:space="0" w:color="auto"/>
            <w:right w:val="none" w:sz="0" w:space="0" w:color="auto"/>
          </w:divBdr>
        </w:div>
        <w:div w:id="652103720">
          <w:marLeft w:val="0"/>
          <w:marRight w:val="0"/>
          <w:marTop w:val="0"/>
          <w:marBottom w:val="0"/>
          <w:divBdr>
            <w:top w:val="none" w:sz="0" w:space="0" w:color="auto"/>
            <w:left w:val="none" w:sz="0" w:space="0" w:color="auto"/>
            <w:bottom w:val="none" w:sz="0" w:space="0" w:color="auto"/>
            <w:right w:val="none" w:sz="0" w:space="0" w:color="auto"/>
          </w:divBdr>
        </w:div>
        <w:div w:id="881602115">
          <w:marLeft w:val="0"/>
          <w:marRight w:val="0"/>
          <w:marTop w:val="0"/>
          <w:marBottom w:val="0"/>
          <w:divBdr>
            <w:top w:val="none" w:sz="0" w:space="0" w:color="auto"/>
            <w:left w:val="none" w:sz="0" w:space="0" w:color="auto"/>
            <w:bottom w:val="none" w:sz="0" w:space="0" w:color="auto"/>
            <w:right w:val="none" w:sz="0" w:space="0" w:color="auto"/>
          </w:divBdr>
        </w:div>
        <w:div w:id="1193304581">
          <w:marLeft w:val="0"/>
          <w:marRight w:val="0"/>
          <w:marTop w:val="0"/>
          <w:marBottom w:val="0"/>
          <w:divBdr>
            <w:top w:val="none" w:sz="0" w:space="0" w:color="auto"/>
            <w:left w:val="none" w:sz="0" w:space="0" w:color="auto"/>
            <w:bottom w:val="none" w:sz="0" w:space="0" w:color="auto"/>
            <w:right w:val="none" w:sz="0" w:space="0" w:color="auto"/>
          </w:divBdr>
        </w:div>
        <w:div w:id="1702899470">
          <w:marLeft w:val="0"/>
          <w:marRight w:val="0"/>
          <w:marTop w:val="0"/>
          <w:marBottom w:val="0"/>
          <w:divBdr>
            <w:top w:val="none" w:sz="0" w:space="0" w:color="auto"/>
            <w:left w:val="none" w:sz="0" w:space="0" w:color="auto"/>
            <w:bottom w:val="none" w:sz="0" w:space="0" w:color="auto"/>
            <w:right w:val="none" w:sz="0" w:space="0" w:color="auto"/>
          </w:divBdr>
        </w:div>
      </w:divsChild>
    </w:div>
    <w:div w:id="1976107975">
      <w:bodyDiv w:val="1"/>
      <w:marLeft w:val="0"/>
      <w:marRight w:val="0"/>
      <w:marTop w:val="0"/>
      <w:marBottom w:val="0"/>
      <w:divBdr>
        <w:top w:val="none" w:sz="0" w:space="0" w:color="auto"/>
        <w:left w:val="none" w:sz="0" w:space="0" w:color="auto"/>
        <w:bottom w:val="none" w:sz="0" w:space="0" w:color="auto"/>
        <w:right w:val="none" w:sz="0" w:space="0" w:color="auto"/>
      </w:divBdr>
    </w:div>
    <w:div w:id="2010517775">
      <w:bodyDiv w:val="1"/>
      <w:marLeft w:val="0"/>
      <w:marRight w:val="0"/>
      <w:marTop w:val="0"/>
      <w:marBottom w:val="0"/>
      <w:divBdr>
        <w:top w:val="none" w:sz="0" w:space="0" w:color="auto"/>
        <w:left w:val="none" w:sz="0" w:space="0" w:color="auto"/>
        <w:bottom w:val="none" w:sz="0" w:space="0" w:color="auto"/>
        <w:right w:val="none" w:sz="0" w:space="0" w:color="auto"/>
      </w:divBdr>
    </w:div>
    <w:div w:id="2016951658">
      <w:bodyDiv w:val="1"/>
      <w:marLeft w:val="0"/>
      <w:marRight w:val="0"/>
      <w:marTop w:val="0"/>
      <w:marBottom w:val="0"/>
      <w:divBdr>
        <w:top w:val="none" w:sz="0" w:space="0" w:color="auto"/>
        <w:left w:val="none" w:sz="0" w:space="0" w:color="auto"/>
        <w:bottom w:val="none" w:sz="0" w:space="0" w:color="auto"/>
        <w:right w:val="none" w:sz="0" w:space="0" w:color="auto"/>
      </w:divBdr>
    </w:div>
    <w:div w:id="2029331511">
      <w:bodyDiv w:val="1"/>
      <w:marLeft w:val="0"/>
      <w:marRight w:val="0"/>
      <w:marTop w:val="0"/>
      <w:marBottom w:val="0"/>
      <w:divBdr>
        <w:top w:val="none" w:sz="0" w:space="0" w:color="auto"/>
        <w:left w:val="none" w:sz="0" w:space="0" w:color="auto"/>
        <w:bottom w:val="none" w:sz="0" w:space="0" w:color="auto"/>
        <w:right w:val="none" w:sz="0" w:space="0" w:color="auto"/>
      </w:divBdr>
    </w:div>
    <w:div w:id="2036805920">
      <w:bodyDiv w:val="1"/>
      <w:marLeft w:val="0"/>
      <w:marRight w:val="0"/>
      <w:marTop w:val="0"/>
      <w:marBottom w:val="0"/>
      <w:divBdr>
        <w:top w:val="none" w:sz="0" w:space="0" w:color="auto"/>
        <w:left w:val="none" w:sz="0" w:space="0" w:color="auto"/>
        <w:bottom w:val="none" w:sz="0" w:space="0" w:color="auto"/>
        <w:right w:val="none" w:sz="0" w:space="0" w:color="auto"/>
      </w:divBdr>
    </w:div>
    <w:div w:id="2052268952">
      <w:bodyDiv w:val="1"/>
      <w:marLeft w:val="0"/>
      <w:marRight w:val="0"/>
      <w:marTop w:val="0"/>
      <w:marBottom w:val="0"/>
      <w:divBdr>
        <w:top w:val="none" w:sz="0" w:space="0" w:color="auto"/>
        <w:left w:val="none" w:sz="0" w:space="0" w:color="auto"/>
        <w:bottom w:val="none" w:sz="0" w:space="0" w:color="auto"/>
        <w:right w:val="none" w:sz="0" w:space="0" w:color="auto"/>
      </w:divBdr>
    </w:div>
    <w:div w:id="2091152470">
      <w:bodyDiv w:val="1"/>
      <w:marLeft w:val="0"/>
      <w:marRight w:val="0"/>
      <w:marTop w:val="0"/>
      <w:marBottom w:val="0"/>
      <w:divBdr>
        <w:top w:val="none" w:sz="0" w:space="0" w:color="auto"/>
        <w:left w:val="none" w:sz="0" w:space="0" w:color="auto"/>
        <w:bottom w:val="none" w:sz="0" w:space="0" w:color="auto"/>
        <w:right w:val="none" w:sz="0" w:space="0" w:color="auto"/>
      </w:divBdr>
      <w:divsChild>
        <w:div w:id="670914432">
          <w:marLeft w:val="0"/>
          <w:marRight w:val="0"/>
          <w:marTop w:val="0"/>
          <w:marBottom w:val="0"/>
          <w:divBdr>
            <w:top w:val="none" w:sz="0" w:space="0" w:color="auto"/>
            <w:left w:val="none" w:sz="0" w:space="0" w:color="auto"/>
            <w:bottom w:val="none" w:sz="0" w:space="0" w:color="auto"/>
            <w:right w:val="none" w:sz="0" w:space="0" w:color="auto"/>
          </w:divBdr>
        </w:div>
      </w:divsChild>
    </w:div>
    <w:div w:id="2100831331">
      <w:bodyDiv w:val="1"/>
      <w:marLeft w:val="0"/>
      <w:marRight w:val="0"/>
      <w:marTop w:val="0"/>
      <w:marBottom w:val="0"/>
      <w:divBdr>
        <w:top w:val="none" w:sz="0" w:space="0" w:color="auto"/>
        <w:left w:val="none" w:sz="0" w:space="0" w:color="auto"/>
        <w:bottom w:val="none" w:sz="0" w:space="0" w:color="auto"/>
        <w:right w:val="none" w:sz="0" w:space="0" w:color="auto"/>
      </w:divBdr>
    </w:div>
    <w:div w:id="2101288064">
      <w:bodyDiv w:val="1"/>
      <w:marLeft w:val="0"/>
      <w:marRight w:val="0"/>
      <w:marTop w:val="0"/>
      <w:marBottom w:val="0"/>
      <w:divBdr>
        <w:top w:val="none" w:sz="0" w:space="0" w:color="auto"/>
        <w:left w:val="none" w:sz="0" w:space="0" w:color="auto"/>
        <w:bottom w:val="none" w:sz="0" w:space="0" w:color="auto"/>
        <w:right w:val="none" w:sz="0" w:space="0" w:color="auto"/>
      </w:divBdr>
      <w:divsChild>
        <w:div w:id="14117137">
          <w:marLeft w:val="0"/>
          <w:marRight w:val="0"/>
          <w:marTop w:val="0"/>
          <w:marBottom w:val="0"/>
          <w:divBdr>
            <w:top w:val="none" w:sz="0" w:space="0" w:color="auto"/>
            <w:left w:val="none" w:sz="0" w:space="0" w:color="auto"/>
            <w:bottom w:val="none" w:sz="0" w:space="0" w:color="auto"/>
            <w:right w:val="none" w:sz="0" w:space="0" w:color="auto"/>
          </w:divBdr>
        </w:div>
        <w:div w:id="59715168">
          <w:marLeft w:val="0"/>
          <w:marRight w:val="0"/>
          <w:marTop w:val="0"/>
          <w:marBottom w:val="0"/>
          <w:divBdr>
            <w:top w:val="none" w:sz="0" w:space="0" w:color="auto"/>
            <w:left w:val="none" w:sz="0" w:space="0" w:color="auto"/>
            <w:bottom w:val="none" w:sz="0" w:space="0" w:color="auto"/>
            <w:right w:val="none" w:sz="0" w:space="0" w:color="auto"/>
          </w:divBdr>
        </w:div>
        <w:div w:id="221989078">
          <w:marLeft w:val="0"/>
          <w:marRight w:val="0"/>
          <w:marTop w:val="0"/>
          <w:marBottom w:val="0"/>
          <w:divBdr>
            <w:top w:val="none" w:sz="0" w:space="0" w:color="auto"/>
            <w:left w:val="none" w:sz="0" w:space="0" w:color="auto"/>
            <w:bottom w:val="none" w:sz="0" w:space="0" w:color="auto"/>
            <w:right w:val="none" w:sz="0" w:space="0" w:color="auto"/>
          </w:divBdr>
        </w:div>
        <w:div w:id="262499690">
          <w:marLeft w:val="0"/>
          <w:marRight w:val="0"/>
          <w:marTop w:val="0"/>
          <w:marBottom w:val="0"/>
          <w:divBdr>
            <w:top w:val="none" w:sz="0" w:space="0" w:color="auto"/>
            <w:left w:val="none" w:sz="0" w:space="0" w:color="auto"/>
            <w:bottom w:val="none" w:sz="0" w:space="0" w:color="auto"/>
            <w:right w:val="none" w:sz="0" w:space="0" w:color="auto"/>
          </w:divBdr>
        </w:div>
        <w:div w:id="272173381">
          <w:marLeft w:val="0"/>
          <w:marRight w:val="0"/>
          <w:marTop w:val="0"/>
          <w:marBottom w:val="0"/>
          <w:divBdr>
            <w:top w:val="none" w:sz="0" w:space="0" w:color="auto"/>
            <w:left w:val="none" w:sz="0" w:space="0" w:color="auto"/>
            <w:bottom w:val="none" w:sz="0" w:space="0" w:color="auto"/>
            <w:right w:val="none" w:sz="0" w:space="0" w:color="auto"/>
          </w:divBdr>
        </w:div>
        <w:div w:id="298845580">
          <w:marLeft w:val="0"/>
          <w:marRight w:val="0"/>
          <w:marTop w:val="0"/>
          <w:marBottom w:val="0"/>
          <w:divBdr>
            <w:top w:val="none" w:sz="0" w:space="0" w:color="auto"/>
            <w:left w:val="none" w:sz="0" w:space="0" w:color="auto"/>
            <w:bottom w:val="none" w:sz="0" w:space="0" w:color="auto"/>
            <w:right w:val="none" w:sz="0" w:space="0" w:color="auto"/>
          </w:divBdr>
        </w:div>
        <w:div w:id="306209577">
          <w:marLeft w:val="0"/>
          <w:marRight w:val="0"/>
          <w:marTop w:val="0"/>
          <w:marBottom w:val="0"/>
          <w:divBdr>
            <w:top w:val="none" w:sz="0" w:space="0" w:color="auto"/>
            <w:left w:val="none" w:sz="0" w:space="0" w:color="auto"/>
            <w:bottom w:val="none" w:sz="0" w:space="0" w:color="auto"/>
            <w:right w:val="none" w:sz="0" w:space="0" w:color="auto"/>
          </w:divBdr>
        </w:div>
        <w:div w:id="324551311">
          <w:marLeft w:val="0"/>
          <w:marRight w:val="0"/>
          <w:marTop w:val="0"/>
          <w:marBottom w:val="0"/>
          <w:divBdr>
            <w:top w:val="none" w:sz="0" w:space="0" w:color="auto"/>
            <w:left w:val="none" w:sz="0" w:space="0" w:color="auto"/>
            <w:bottom w:val="none" w:sz="0" w:space="0" w:color="auto"/>
            <w:right w:val="none" w:sz="0" w:space="0" w:color="auto"/>
          </w:divBdr>
        </w:div>
        <w:div w:id="387076218">
          <w:marLeft w:val="0"/>
          <w:marRight w:val="0"/>
          <w:marTop w:val="0"/>
          <w:marBottom w:val="0"/>
          <w:divBdr>
            <w:top w:val="none" w:sz="0" w:space="0" w:color="auto"/>
            <w:left w:val="none" w:sz="0" w:space="0" w:color="auto"/>
            <w:bottom w:val="none" w:sz="0" w:space="0" w:color="auto"/>
            <w:right w:val="none" w:sz="0" w:space="0" w:color="auto"/>
          </w:divBdr>
        </w:div>
        <w:div w:id="422914546">
          <w:marLeft w:val="0"/>
          <w:marRight w:val="0"/>
          <w:marTop w:val="0"/>
          <w:marBottom w:val="0"/>
          <w:divBdr>
            <w:top w:val="none" w:sz="0" w:space="0" w:color="auto"/>
            <w:left w:val="none" w:sz="0" w:space="0" w:color="auto"/>
            <w:bottom w:val="none" w:sz="0" w:space="0" w:color="auto"/>
            <w:right w:val="none" w:sz="0" w:space="0" w:color="auto"/>
          </w:divBdr>
        </w:div>
        <w:div w:id="475686311">
          <w:marLeft w:val="0"/>
          <w:marRight w:val="0"/>
          <w:marTop w:val="0"/>
          <w:marBottom w:val="0"/>
          <w:divBdr>
            <w:top w:val="none" w:sz="0" w:space="0" w:color="auto"/>
            <w:left w:val="none" w:sz="0" w:space="0" w:color="auto"/>
            <w:bottom w:val="none" w:sz="0" w:space="0" w:color="auto"/>
            <w:right w:val="none" w:sz="0" w:space="0" w:color="auto"/>
          </w:divBdr>
        </w:div>
        <w:div w:id="588806527">
          <w:marLeft w:val="0"/>
          <w:marRight w:val="0"/>
          <w:marTop w:val="0"/>
          <w:marBottom w:val="0"/>
          <w:divBdr>
            <w:top w:val="none" w:sz="0" w:space="0" w:color="auto"/>
            <w:left w:val="none" w:sz="0" w:space="0" w:color="auto"/>
            <w:bottom w:val="none" w:sz="0" w:space="0" w:color="auto"/>
            <w:right w:val="none" w:sz="0" w:space="0" w:color="auto"/>
          </w:divBdr>
        </w:div>
        <w:div w:id="599069305">
          <w:marLeft w:val="0"/>
          <w:marRight w:val="0"/>
          <w:marTop w:val="0"/>
          <w:marBottom w:val="0"/>
          <w:divBdr>
            <w:top w:val="none" w:sz="0" w:space="0" w:color="auto"/>
            <w:left w:val="none" w:sz="0" w:space="0" w:color="auto"/>
            <w:bottom w:val="none" w:sz="0" w:space="0" w:color="auto"/>
            <w:right w:val="none" w:sz="0" w:space="0" w:color="auto"/>
          </w:divBdr>
        </w:div>
        <w:div w:id="684672883">
          <w:marLeft w:val="0"/>
          <w:marRight w:val="0"/>
          <w:marTop w:val="0"/>
          <w:marBottom w:val="0"/>
          <w:divBdr>
            <w:top w:val="none" w:sz="0" w:space="0" w:color="auto"/>
            <w:left w:val="none" w:sz="0" w:space="0" w:color="auto"/>
            <w:bottom w:val="none" w:sz="0" w:space="0" w:color="auto"/>
            <w:right w:val="none" w:sz="0" w:space="0" w:color="auto"/>
          </w:divBdr>
        </w:div>
        <w:div w:id="771976132">
          <w:marLeft w:val="0"/>
          <w:marRight w:val="0"/>
          <w:marTop w:val="0"/>
          <w:marBottom w:val="0"/>
          <w:divBdr>
            <w:top w:val="none" w:sz="0" w:space="0" w:color="auto"/>
            <w:left w:val="none" w:sz="0" w:space="0" w:color="auto"/>
            <w:bottom w:val="none" w:sz="0" w:space="0" w:color="auto"/>
            <w:right w:val="none" w:sz="0" w:space="0" w:color="auto"/>
          </w:divBdr>
        </w:div>
        <w:div w:id="786774025">
          <w:marLeft w:val="0"/>
          <w:marRight w:val="0"/>
          <w:marTop w:val="0"/>
          <w:marBottom w:val="0"/>
          <w:divBdr>
            <w:top w:val="none" w:sz="0" w:space="0" w:color="auto"/>
            <w:left w:val="none" w:sz="0" w:space="0" w:color="auto"/>
            <w:bottom w:val="none" w:sz="0" w:space="0" w:color="auto"/>
            <w:right w:val="none" w:sz="0" w:space="0" w:color="auto"/>
          </w:divBdr>
        </w:div>
        <w:div w:id="813640711">
          <w:marLeft w:val="0"/>
          <w:marRight w:val="0"/>
          <w:marTop w:val="0"/>
          <w:marBottom w:val="0"/>
          <w:divBdr>
            <w:top w:val="none" w:sz="0" w:space="0" w:color="auto"/>
            <w:left w:val="none" w:sz="0" w:space="0" w:color="auto"/>
            <w:bottom w:val="none" w:sz="0" w:space="0" w:color="auto"/>
            <w:right w:val="none" w:sz="0" w:space="0" w:color="auto"/>
          </w:divBdr>
        </w:div>
        <w:div w:id="875235196">
          <w:marLeft w:val="0"/>
          <w:marRight w:val="0"/>
          <w:marTop w:val="0"/>
          <w:marBottom w:val="0"/>
          <w:divBdr>
            <w:top w:val="none" w:sz="0" w:space="0" w:color="auto"/>
            <w:left w:val="none" w:sz="0" w:space="0" w:color="auto"/>
            <w:bottom w:val="none" w:sz="0" w:space="0" w:color="auto"/>
            <w:right w:val="none" w:sz="0" w:space="0" w:color="auto"/>
          </w:divBdr>
        </w:div>
        <w:div w:id="947809096">
          <w:marLeft w:val="0"/>
          <w:marRight w:val="0"/>
          <w:marTop w:val="0"/>
          <w:marBottom w:val="0"/>
          <w:divBdr>
            <w:top w:val="none" w:sz="0" w:space="0" w:color="auto"/>
            <w:left w:val="none" w:sz="0" w:space="0" w:color="auto"/>
            <w:bottom w:val="none" w:sz="0" w:space="0" w:color="auto"/>
            <w:right w:val="none" w:sz="0" w:space="0" w:color="auto"/>
          </w:divBdr>
        </w:div>
        <w:div w:id="1075586569">
          <w:marLeft w:val="0"/>
          <w:marRight w:val="0"/>
          <w:marTop w:val="0"/>
          <w:marBottom w:val="0"/>
          <w:divBdr>
            <w:top w:val="none" w:sz="0" w:space="0" w:color="auto"/>
            <w:left w:val="none" w:sz="0" w:space="0" w:color="auto"/>
            <w:bottom w:val="none" w:sz="0" w:space="0" w:color="auto"/>
            <w:right w:val="none" w:sz="0" w:space="0" w:color="auto"/>
          </w:divBdr>
        </w:div>
        <w:div w:id="1120804351">
          <w:marLeft w:val="0"/>
          <w:marRight w:val="0"/>
          <w:marTop w:val="0"/>
          <w:marBottom w:val="0"/>
          <w:divBdr>
            <w:top w:val="none" w:sz="0" w:space="0" w:color="auto"/>
            <w:left w:val="none" w:sz="0" w:space="0" w:color="auto"/>
            <w:bottom w:val="none" w:sz="0" w:space="0" w:color="auto"/>
            <w:right w:val="none" w:sz="0" w:space="0" w:color="auto"/>
          </w:divBdr>
        </w:div>
        <w:div w:id="1187871937">
          <w:marLeft w:val="0"/>
          <w:marRight w:val="0"/>
          <w:marTop w:val="0"/>
          <w:marBottom w:val="0"/>
          <w:divBdr>
            <w:top w:val="none" w:sz="0" w:space="0" w:color="auto"/>
            <w:left w:val="none" w:sz="0" w:space="0" w:color="auto"/>
            <w:bottom w:val="none" w:sz="0" w:space="0" w:color="auto"/>
            <w:right w:val="none" w:sz="0" w:space="0" w:color="auto"/>
          </w:divBdr>
        </w:div>
        <w:div w:id="1282224257">
          <w:marLeft w:val="0"/>
          <w:marRight w:val="0"/>
          <w:marTop w:val="0"/>
          <w:marBottom w:val="0"/>
          <w:divBdr>
            <w:top w:val="none" w:sz="0" w:space="0" w:color="auto"/>
            <w:left w:val="none" w:sz="0" w:space="0" w:color="auto"/>
            <w:bottom w:val="none" w:sz="0" w:space="0" w:color="auto"/>
            <w:right w:val="none" w:sz="0" w:space="0" w:color="auto"/>
          </w:divBdr>
        </w:div>
        <w:div w:id="1289168752">
          <w:marLeft w:val="0"/>
          <w:marRight w:val="0"/>
          <w:marTop w:val="0"/>
          <w:marBottom w:val="0"/>
          <w:divBdr>
            <w:top w:val="none" w:sz="0" w:space="0" w:color="auto"/>
            <w:left w:val="none" w:sz="0" w:space="0" w:color="auto"/>
            <w:bottom w:val="none" w:sz="0" w:space="0" w:color="auto"/>
            <w:right w:val="none" w:sz="0" w:space="0" w:color="auto"/>
          </w:divBdr>
        </w:div>
        <w:div w:id="1299845596">
          <w:marLeft w:val="0"/>
          <w:marRight w:val="0"/>
          <w:marTop w:val="0"/>
          <w:marBottom w:val="0"/>
          <w:divBdr>
            <w:top w:val="none" w:sz="0" w:space="0" w:color="auto"/>
            <w:left w:val="none" w:sz="0" w:space="0" w:color="auto"/>
            <w:bottom w:val="none" w:sz="0" w:space="0" w:color="auto"/>
            <w:right w:val="none" w:sz="0" w:space="0" w:color="auto"/>
          </w:divBdr>
        </w:div>
        <w:div w:id="1300263525">
          <w:marLeft w:val="0"/>
          <w:marRight w:val="0"/>
          <w:marTop w:val="0"/>
          <w:marBottom w:val="0"/>
          <w:divBdr>
            <w:top w:val="none" w:sz="0" w:space="0" w:color="auto"/>
            <w:left w:val="none" w:sz="0" w:space="0" w:color="auto"/>
            <w:bottom w:val="none" w:sz="0" w:space="0" w:color="auto"/>
            <w:right w:val="none" w:sz="0" w:space="0" w:color="auto"/>
          </w:divBdr>
        </w:div>
        <w:div w:id="1341352827">
          <w:marLeft w:val="0"/>
          <w:marRight w:val="0"/>
          <w:marTop w:val="0"/>
          <w:marBottom w:val="0"/>
          <w:divBdr>
            <w:top w:val="none" w:sz="0" w:space="0" w:color="auto"/>
            <w:left w:val="none" w:sz="0" w:space="0" w:color="auto"/>
            <w:bottom w:val="none" w:sz="0" w:space="0" w:color="auto"/>
            <w:right w:val="none" w:sz="0" w:space="0" w:color="auto"/>
          </w:divBdr>
        </w:div>
        <w:div w:id="1370642048">
          <w:marLeft w:val="0"/>
          <w:marRight w:val="0"/>
          <w:marTop w:val="0"/>
          <w:marBottom w:val="0"/>
          <w:divBdr>
            <w:top w:val="none" w:sz="0" w:space="0" w:color="auto"/>
            <w:left w:val="none" w:sz="0" w:space="0" w:color="auto"/>
            <w:bottom w:val="none" w:sz="0" w:space="0" w:color="auto"/>
            <w:right w:val="none" w:sz="0" w:space="0" w:color="auto"/>
          </w:divBdr>
        </w:div>
        <w:div w:id="1488086508">
          <w:marLeft w:val="0"/>
          <w:marRight w:val="0"/>
          <w:marTop w:val="0"/>
          <w:marBottom w:val="0"/>
          <w:divBdr>
            <w:top w:val="none" w:sz="0" w:space="0" w:color="auto"/>
            <w:left w:val="none" w:sz="0" w:space="0" w:color="auto"/>
            <w:bottom w:val="none" w:sz="0" w:space="0" w:color="auto"/>
            <w:right w:val="none" w:sz="0" w:space="0" w:color="auto"/>
          </w:divBdr>
        </w:div>
        <w:div w:id="1490248098">
          <w:marLeft w:val="0"/>
          <w:marRight w:val="0"/>
          <w:marTop w:val="0"/>
          <w:marBottom w:val="0"/>
          <w:divBdr>
            <w:top w:val="none" w:sz="0" w:space="0" w:color="auto"/>
            <w:left w:val="none" w:sz="0" w:space="0" w:color="auto"/>
            <w:bottom w:val="none" w:sz="0" w:space="0" w:color="auto"/>
            <w:right w:val="none" w:sz="0" w:space="0" w:color="auto"/>
          </w:divBdr>
        </w:div>
        <w:div w:id="1683435331">
          <w:marLeft w:val="0"/>
          <w:marRight w:val="0"/>
          <w:marTop w:val="0"/>
          <w:marBottom w:val="0"/>
          <w:divBdr>
            <w:top w:val="none" w:sz="0" w:space="0" w:color="auto"/>
            <w:left w:val="none" w:sz="0" w:space="0" w:color="auto"/>
            <w:bottom w:val="none" w:sz="0" w:space="0" w:color="auto"/>
            <w:right w:val="none" w:sz="0" w:space="0" w:color="auto"/>
          </w:divBdr>
        </w:div>
        <w:div w:id="1685086900">
          <w:marLeft w:val="0"/>
          <w:marRight w:val="0"/>
          <w:marTop w:val="0"/>
          <w:marBottom w:val="0"/>
          <w:divBdr>
            <w:top w:val="none" w:sz="0" w:space="0" w:color="auto"/>
            <w:left w:val="none" w:sz="0" w:space="0" w:color="auto"/>
            <w:bottom w:val="none" w:sz="0" w:space="0" w:color="auto"/>
            <w:right w:val="none" w:sz="0" w:space="0" w:color="auto"/>
          </w:divBdr>
        </w:div>
        <w:div w:id="1705472879">
          <w:marLeft w:val="0"/>
          <w:marRight w:val="0"/>
          <w:marTop w:val="0"/>
          <w:marBottom w:val="0"/>
          <w:divBdr>
            <w:top w:val="none" w:sz="0" w:space="0" w:color="auto"/>
            <w:left w:val="none" w:sz="0" w:space="0" w:color="auto"/>
            <w:bottom w:val="none" w:sz="0" w:space="0" w:color="auto"/>
            <w:right w:val="none" w:sz="0" w:space="0" w:color="auto"/>
          </w:divBdr>
        </w:div>
        <w:div w:id="1718160547">
          <w:marLeft w:val="0"/>
          <w:marRight w:val="0"/>
          <w:marTop w:val="0"/>
          <w:marBottom w:val="0"/>
          <w:divBdr>
            <w:top w:val="none" w:sz="0" w:space="0" w:color="auto"/>
            <w:left w:val="none" w:sz="0" w:space="0" w:color="auto"/>
            <w:bottom w:val="none" w:sz="0" w:space="0" w:color="auto"/>
            <w:right w:val="none" w:sz="0" w:space="0" w:color="auto"/>
          </w:divBdr>
        </w:div>
        <w:div w:id="1770466568">
          <w:marLeft w:val="0"/>
          <w:marRight w:val="0"/>
          <w:marTop w:val="0"/>
          <w:marBottom w:val="0"/>
          <w:divBdr>
            <w:top w:val="none" w:sz="0" w:space="0" w:color="auto"/>
            <w:left w:val="none" w:sz="0" w:space="0" w:color="auto"/>
            <w:bottom w:val="none" w:sz="0" w:space="0" w:color="auto"/>
            <w:right w:val="none" w:sz="0" w:space="0" w:color="auto"/>
          </w:divBdr>
        </w:div>
        <w:div w:id="1911840873">
          <w:marLeft w:val="0"/>
          <w:marRight w:val="0"/>
          <w:marTop w:val="0"/>
          <w:marBottom w:val="0"/>
          <w:divBdr>
            <w:top w:val="none" w:sz="0" w:space="0" w:color="auto"/>
            <w:left w:val="none" w:sz="0" w:space="0" w:color="auto"/>
            <w:bottom w:val="none" w:sz="0" w:space="0" w:color="auto"/>
            <w:right w:val="none" w:sz="0" w:space="0" w:color="auto"/>
          </w:divBdr>
        </w:div>
        <w:div w:id="1941253349">
          <w:marLeft w:val="0"/>
          <w:marRight w:val="0"/>
          <w:marTop w:val="0"/>
          <w:marBottom w:val="0"/>
          <w:divBdr>
            <w:top w:val="none" w:sz="0" w:space="0" w:color="auto"/>
            <w:left w:val="none" w:sz="0" w:space="0" w:color="auto"/>
            <w:bottom w:val="none" w:sz="0" w:space="0" w:color="auto"/>
            <w:right w:val="none" w:sz="0" w:space="0" w:color="auto"/>
          </w:divBdr>
        </w:div>
        <w:div w:id="1946813701">
          <w:marLeft w:val="0"/>
          <w:marRight w:val="0"/>
          <w:marTop w:val="0"/>
          <w:marBottom w:val="0"/>
          <w:divBdr>
            <w:top w:val="none" w:sz="0" w:space="0" w:color="auto"/>
            <w:left w:val="none" w:sz="0" w:space="0" w:color="auto"/>
            <w:bottom w:val="none" w:sz="0" w:space="0" w:color="auto"/>
            <w:right w:val="none" w:sz="0" w:space="0" w:color="auto"/>
          </w:divBdr>
        </w:div>
        <w:div w:id="1994872951">
          <w:marLeft w:val="0"/>
          <w:marRight w:val="0"/>
          <w:marTop w:val="0"/>
          <w:marBottom w:val="0"/>
          <w:divBdr>
            <w:top w:val="none" w:sz="0" w:space="0" w:color="auto"/>
            <w:left w:val="none" w:sz="0" w:space="0" w:color="auto"/>
            <w:bottom w:val="none" w:sz="0" w:space="0" w:color="auto"/>
            <w:right w:val="none" w:sz="0" w:space="0" w:color="auto"/>
          </w:divBdr>
        </w:div>
        <w:div w:id="2006080814">
          <w:marLeft w:val="0"/>
          <w:marRight w:val="0"/>
          <w:marTop w:val="0"/>
          <w:marBottom w:val="0"/>
          <w:divBdr>
            <w:top w:val="none" w:sz="0" w:space="0" w:color="auto"/>
            <w:left w:val="none" w:sz="0" w:space="0" w:color="auto"/>
            <w:bottom w:val="none" w:sz="0" w:space="0" w:color="auto"/>
            <w:right w:val="none" w:sz="0" w:space="0" w:color="auto"/>
          </w:divBdr>
        </w:div>
        <w:div w:id="2066099565">
          <w:marLeft w:val="0"/>
          <w:marRight w:val="0"/>
          <w:marTop w:val="0"/>
          <w:marBottom w:val="0"/>
          <w:divBdr>
            <w:top w:val="none" w:sz="0" w:space="0" w:color="auto"/>
            <w:left w:val="none" w:sz="0" w:space="0" w:color="auto"/>
            <w:bottom w:val="none" w:sz="0" w:space="0" w:color="auto"/>
            <w:right w:val="none" w:sz="0" w:space="0" w:color="auto"/>
          </w:divBdr>
        </w:div>
        <w:div w:id="2070228116">
          <w:marLeft w:val="0"/>
          <w:marRight w:val="0"/>
          <w:marTop w:val="0"/>
          <w:marBottom w:val="0"/>
          <w:divBdr>
            <w:top w:val="none" w:sz="0" w:space="0" w:color="auto"/>
            <w:left w:val="none" w:sz="0" w:space="0" w:color="auto"/>
            <w:bottom w:val="none" w:sz="0" w:space="0" w:color="auto"/>
            <w:right w:val="none" w:sz="0" w:space="0" w:color="auto"/>
          </w:divBdr>
        </w:div>
        <w:div w:id="2081514262">
          <w:marLeft w:val="0"/>
          <w:marRight w:val="0"/>
          <w:marTop w:val="0"/>
          <w:marBottom w:val="0"/>
          <w:divBdr>
            <w:top w:val="none" w:sz="0" w:space="0" w:color="auto"/>
            <w:left w:val="none" w:sz="0" w:space="0" w:color="auto"/>
            <w:bottom w:val="none" w:sz="0" w:space="0" w:color="auto"/>
            <w:right w:val="none" w:sz="0" w:space="0" w:color="auto"/>
          </w:divBdr>
        </w:div>
      </w:divsChild>
    </w:div>
    <w:div w:id="2112386857">
      <w:bodyDiv w:val="1"/>
      <w:marLeft w:val="0"/>
      <w:marRight w:val="0"/>
      <w:marTop w:val="0"/>
      <w:marBottom w:val="0"/>
      <w:divBdr>
        <w:top w:val="none" w:sz="0" w:space="0" w:color="auto"/>
        <w:left w:val="none" w:sz="0" w:space="0" w:color="auto"/>
        <w:bottom w:val="none" w:sz="0" w:space="0" w:color="auto"/>
        <w:right w:val="none" w:sz="0" w:space="0" w:color="auto"/>
      </w:divBdr>
    </w:div>
    <w:div w:id="2121296471">
      <w:bodyDiv w:val="1"/>
      <w:marLeft w:val="0"/>
      <w:marRight w:val="0"/>
      <w:marTop w:val="0"/>
      <w:marBottom w:val="0"/>
      <w:divBdr>
        <w:top w:val="none" w:sz="0" w:space="0" w:color="auto"/>
        <w:left w:val="none" w:sz="0" w:space="0" w:color="auto"/>
        <w:bottom w:val="none" w:sz="0" w:space="0" w:color="auto"/>
        <w:right w:val="none" w:sz="0" w:space="0" w:color="auto"/>
      </w:divBdr>
    </w:div>
    <w:div w:id="2126347244">
      <w:bodyDiv w:val="1"/>
      <w:marLeft w:val="0"/>
      <w:marRight w:val="0"/>
      <w:marTop w:val="0"/>
      <w:marBottom w:val="0"/>
      <w:divBdr>
        <w:top w:val="none" w:sz="0" w:space="0" w:color="auto"/>
        <w:left w:val="none" w:sz="0" w:space="0" w:color="auto"/>
        <w:bottom w:val="none" w:sz="0" w:space="0" w:color="auto"/>
        <w:right w:val="none" w:sz="0" w:space="0" w:color="auto"/>
      </w:divBdr>
    </w:div>
    <w:div w:id="2134470748">
      <w:bodyDiv w:val="1"/>
      <w:marLeft w:val="0"/>
      <w:marRight w:val="0"/>
      <w:marTop w:val="0"/>
      <w:marBottom w:val="0"/>
      <w:divBdr>
        <w:top w:val="none" w:sz="0" w:space="0" w:color="auto"/>
        <w:left w:val="none" w:sz="0" w:space="0" w:color="auto"/>
        <w:bottom w:val="none" w:sz="0" w:space="0" w:color="auto"/>
        <w:right w:val="none" w:sz="0" w:space="0" w:color="auto"/>
      </w:divBdr>
      <w:divsChild>
        <w:div w:id="1522552267">
          <w:marLeft w:val="0"/>
          <w:marRight w:val="0"/>
          <w:marTop w:val="0"/>
          <w:marBottom w:val="0"/>
          <w:divBdr>
            <w:top w:val="none" w:sz="0" w:space="0" w:color="auto"/>
            <w:left w:val="none" w:sz="0" w:space="0" w:color="auto"/>
            <w:bottom w:val="none" w:sz="0" w:space="0" w:color="auto"/>
            <w:right w:val="none" w:sz="0" w:space="0" w:color="auto"/>
          </w:divBdr>
        </w:div>
      </w:divsChild>
    </w:div>
    <w:div w:id="2143226675">
      <w:bodyDiv w:val="1"/>
      <w:marLeft w:val="0"/>
      <w:marRight w:val="0"/>
      <w:marTop w:val="0"/>
      <w:marBottom w:val="0"/>
      <w:divBdr>
        <w:top w:val="none" w:sz="0" w:space="0" w:color="auto"/>
        <w:left w:val="none" w:sz="0" w:space="0" w:color="auto"/>
        <w:bottom w:val="none" w:sz="0" w:space="0" w:color="auto"/>
        <w:right w:val="none" w:sz="0" w:space="0" w:color="auto"/>
      </w:divBdr>
      <w:divsChild>
        <w:div w:id="124859277">
          <w:marLeft w:val="0"/>
          <w:marRight w:val="0"/>
          <w:marTop w:val="0"/>
          <w:marBottom w:val="0"/>
          <w:divBdr>
            <w:top w:val="none" w:sz="0" w:space="0" w:color="auto"/>
            <w:left w:val="none" w:sz="0" w:space="0" w:color="auto"/>
            <w:bottom w:val="none" w:sz="0" w:space="0" w:color="auto"/>
            <w:right w:val="none" w:sz="0" w:space="0" w:color="auto"/>
          </w:divBdr>
        </w:div>
        <w:div w:id="304701210">
          <w:marLeft w:val="0"/>
          <w:marRight w:val="0"/>
          <w:marTop w:val="0"/>
          <w:marBottom w:val="0"/>
          <w:divBdr>
            <w:top w:val="none" w:sz="0" w:space="0" w:color="auto"/>
            <w:left w:val="none" w:sz="0" w:space="0" w:color="auto"/>
            <w:bottom w:val="none" w:sz="0" w:space="0" w:color="auto"/>
            <w:right w:val="none" w:sz="0" w:space="0" w:color="auto"/>
          </w:divBdr>
        </w:div>
        <w:div w:id="350953524">
          <w:marLeft w:val="0"/>
          <w:marRight w:val="0"/>
          <w:marTop w:val="0"/>
          <w:marBottom w:val="0"/>
          <w:divBdr>
            <w:top w:val="none" w:sz="0" w:space="0" w:color="auto"/>
            <w:left w:val="none" w:sz="0" w:space="0" w:color="auto"/>
            <w:bottom w:val="none" w:sz="0" w:space="0" w:color="auto"/>
            <w:right w:val="none" w:sz="0" w:space="0" w:color="auto"/>
          </w:divBdr>
        </w:div>
        <w:div w:id="433938730">
          <w:marLeft w:val="0"/>
          <w:marRight w:val="0"/>
          <w:marTop w:val="0"/>
          <w:marBottom w:val="0"/>
          <w:divBdr>
            <w:top w:val="none" w:sz="0" w:space="0" w:color="auto"/>
            <w:left w:val="none" w:sz="0" w:space="0" w:color="auto"/>
            <w:bottom w:val="none" w:sz="0" w:space="0" w:color="auto"/>
            <w:right w:val="none" w:sz="0" w:space="0" w:color="auto"/>
          </w:divBdr>
        </w:div>
        <w:div w:id="461848654">
          <w:marLeft w:val="0"/>
          <w:marRight w:val="0"/>
          <w:marTop w:val="0"/>
          <w:marBottom w:val="0"/>
          <w:divBdr>
            <w:top w:val="none" w:sz="0" w:space="0" w:color="auto"/>
            <w:left w:val="none" w:sz="0" w:space="0" w:color="auto"/>
            <w:bottom w:val="none" w:sz="0" w:space="0" w:color="auto"/>
            <w:right w:val="none" w:sz="0" w:space="0" w:color="auto"/>
          </w:divBdr>
        </w:div>
        <w:div w:id="499200873">
          <w:marLeft w:val="0"/>
          <w:marRight w:val="0"/>
          <w:marTop w:val="0"/>
          <w:marBottom w:val="0"/>
          <w:divBdr>
            <w:top w:val="none" w:sz="0" w:space="0" w:color="auto"/>
            <w:left w:val="none" w:sz="0" w:space="0" w:color="auto"/>
            <w:bottom w:val="none" w:sz="0" w:space="0" w:color="auto"/>
            <w:right w:val="none" w:sz="0" w:space="0" w:color="auto"/>
          </w:divBdr>
        </w:div>
        <w:div w:id="822890698">
          <w:marLeft w:val="0"/>
          <w:marRight w:val="0"/>
          <w:marTop w:val="0"/>
          <w:marBottom w:val="0"/>
          <w:divBdr>
            <w:top w:val="none" w:sz="0" w:space="0" w:color="auto"/>
            <w:left w:val="none" w:sz="0" w:space="0" w:color="auto"/>
            <w:bottom w:val="none" w:sz="0" w:space="0" w:color="auto"/>
            <w:right w:val="none" w:sz="0" w:space="0" w:color="auto"/>
          </w:divBdr>
        </w:div>
        <w:div w:id="970595617">
          <w:marLeft w:val="0"/>
          <w:marRight w:val="0"/>
          <w:marTop w:val="0"/>
          <w:marBottom w:val="0"/>
          <w:divBdr>
            <w:top w:val="none" w:sz="0" w:space="0" w:color="auto"/>
            <w:left w:val="none" w:sz="0" w:space="0" w:color="auto"/>
            <w:bottom w:val="none" w:sz="0" w:space="0" w:color="auto"/>
            <w:right w:val="none" w:sz="0" w:space="0" w:color="auto"/>
          </w:divBdr>
        </w:div>
        <w:div w:id="1053501388">
          <w:marLeft w:val="0"/>
          <w:marRight w:val="0"/>
          <w:marTop w:val="0"/>
          <w:marBottom w:val="0"/>
          <w:divBdr>
            <w:top w:val="none" w:sz="0" w:space="0" w:color="auto"/>
            <w:left w:val="none" w:sz="0" w:space="0" w:color="auto"/>
            <w:bottom w:val="none" w:sz="0" w:space="0" w:color="auto"/>
            <w:right w:val="none" w:sz="0" w:space="0" w:color="auto"/>
          </w:divBdr>
        </w:div>
        <w:div w:id="1262223492">
          <w:marLeft w:val="0"/>
          <w:marRight w:val="0"/>
          <w:marTop w:val="0"/>
          <w:marBottom w:val="0"/>
          <w:divBdr>
            <w:top w:val="none" w:sz="0" w:space="0" w:color="auto"/>
            <w:left w:val="none" w:sz="0" w:space="0" w:color="auto"/>
            <w:bottom w:val="none" w:sz="0" w:space="0" w:color="auto"/>
            <w:right w:val="none" w:sz="0" w:space="0" w:color="auto"/>
          </w:divBdr>
        </w:div>
        <w:div w:id="1360665795">
          <w:marLeft w:val="0"/>
          <w:marRight w:val="0"/>
          <w:marTop w:val="0"/>
          <w:marBottom w:val="0"/>
          <w:divBdr>
            <w:top w:val="none" w:sz="0" w:space="0" w:color="auto"/>
            <w:left w:val="none" w:sz="0" w:space="0" w:color="auto"/>
            <w:bottom w:val="none" w:sz="0" w:space="0" w:color="auto"/>
            <w:right w:val="none" w:sz="0" w:space="0" w:color="auto"/>
          </w:divBdr>
        </w:div>
        <w:div w:id="1428960891">
          <w:marLeft w:val="0"/>
          <w:marRight w:val="0"/>
          <w:marTop w:val="0"/>
          <w:marBottom w:val="0"/>
          <w:divBdr>
            <w:top w:val="none" w:sz="0" w:space="0" w:color="auto"/>
            <w:left w:val="none" w:sz="0" w:space="0" w:color="auto"/>
            <w:bottom w:val="none" w:sz="0" w:space="0" w:color="auto"/>
            <w:right w:val="none" w:sz="0" w:space="0" w:color="auto"/>
          </w:divBdr>
        </w:div>
        <w:div w:id="1508054112">
          <w:marLeft w:val="0"/>
          <w:marRight w:val="0"/>
          <w:marTop w:val="0"/>
          <w:marBottom w:val="0"/>
          <w:divBdr>
            <w:top w:val="none" w:sz="0" w:space="0" w:color="auto"/>
            <w:left w:val="none" w:sz="0" w:space="0" w:color="auto"/>
            <w:bottom w:val="none" w:sz="0" w:space="0" w:color="auto"/>
            <w:right w:val="none" w:sz="0" w:space="0" w:color="auto"/>
          </w:divBdr>
        </w:div>
        <w:div w:id="1595279961">
          <w:marLeft w:val="0"/>
          <w:marRight w:val="0"/>
          <w:marTop w:val="0"/>
          <w:marBottom w:val="0"/>
          <w:divBdr>
            <w:top w:val="none" w:sz="0" w:space="0" w:color="auto"/>
            <w:left w:val="none" w:sz="0" w:space="0" w:color="auto"/>
            <w:bottom w:val="none" w:sz="0" w:space="0" w:color="auto"/>
            <w:right w:val="none" w:sz="0" w:space="0" w:color="auto"/>
          </w:divBdr>
        </w:div>
        <w:div w:id="1662390050">
          <w:marLeft w:val="0"/>
          <w:marRight w:val="0"/>
          <w:marTop w:val="0"/>
          <w:marBottom w:val="0"/>
          <w:divBdr>
            <w:top w:val="none" w:sz="0" w:space="0" w:color="auto"/>
            <w:left w:val="none" w:sz="0" w:space="0" w:color="auto"/>
            <w:bottom w:val="none" w:sz="0" w:space="0" w:color="auto"/>
            <w:right w:val="none" w:sz="0" w:space="0" w:color="auto"/>
          </w:divBdr>
        </w:div>
        <w:div w:id="1946882353">
          <w:marLeft w:val="0"/>
          <w:marRight w:val="0"/>
          <w:marTop w:val="0"/>
          <w:marBottom w:val="0"/>
          <w:divBdr>
            <w:top w:val="none" w:sz="0" w:space="0" w:color="auto"/>
            <w:left w:val="none" w:sz="0" w:space="0" w:color="auto"/>
            <w:bottom w:val="none" w:sz="0" w:space="0" w:color="auto"/>
            <w:right w:val="none" w:sz="0" w:space="0" w:color="auto"/>
          </w:divBdr>
        </w:div>
        <w:div w:id="2058815421">
          <w:marLeft w:val="0"/>
          <w:marRight w:val="0"/>
          <w:marTop w:val="0"/>
          <w:marBottom w:val="0"/>
          <w:divBdr>
            <w:top w:val="none" w:sz="0" w:space="0" w:color="auto"/>
            <w:left w:val="none" w:sz="0" w:space="0" w:color="auto"/>
            <w:bottom w:val="none" w:sz="0" w:space="0" w:color="auto"/>
            <w:right w:val="none" w:sz="0" w:space="0" w:color="auto"/>
          </w:divBdr>
        </w:div>
        <w:div w:id="212175425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comments.xml.rels><?xml version='1.0' encoding='UTF-8' standalone='yes'?>
<Relationships xmlns="http://schemas.openxmlformats.org/package/2006/relationships"><Relationship Id="rId117" Type="http://schemas.openxmlformats.org/officeDocument/2006/relationships/hyperlink" Target="http://www.planalto.gov.br/ccivil_03/_ato2019-2022/2021/lei/L14133.htm" TargetMode="External"/><Relationship Id="rId21" Type="http://schemas.openxmlformats.org/officeDocument/2006/relationships/hyperlink" Target="https://www.gov.br/compras/pt-br/acesso-a-informacao/legislacao/instrucoes-normativas/instrucao-normativa-seges-me-no-81-de-25-de-novembro-de-2022" TargetMode="External"/><Relationship Id="rId42" Type="http://schemas.openxmlformats.org/officeDocument/2006/relationships/hyperlink" Target="https://www.gov.br/compras/pt-br/acesso-a-informacao/legislacao/portarias/portaria-seges-me-no-8-678-de-19-de-julho-de-2021" TargetMode="External"/><Relationship Id="rId47" Type="http://schemas.openxmlformats.org/officeDocument/2006/relationships/hyperlink" Target="https://sapiens.agu.gov.br/valida_publico?id=627431320" TargetMode="External"/><Relationship Id="rId63" Type="http://schemas.openxmlformats.org/officeDocument/2006/relationships/hyperlink" Target="http://www.planalto.gov.br/ccivil_03/leis/l9454.htm" TargetMode="External"/><Relationship Id="rId68" Type="http://schemas.openxmlformats.org/officeDocument/2006/relationships/hyperlink" Target="https://www.gov.br/compras/pt-br/acesso-a-informacao/legislacao/instrucoes-normativas/instrucao-normativa-seges-me-no-77-de-4-de-novembro-de-2022" TargetMode="External"/><Relationship Id="rId84" Type="http://schemas.openxmlformats.org/officeDocument/2006/relationships/hyperlink" Target="http://www.planalto.gov.br/ccivil_03/_ato2019-2022/2022/lei/L14382.htm" TargetMode="External"/><Relationship Id="rId89" Type="http://schemas.openxmlformats.org/officeDocument/2006/relationships/hyperlink" Target="http://www.planalto.gov.br/ccivil_03/_ato2019-2022/2021/lei/L14133.htm" TargetMode="External"/><Relationship Id="rId112" Type="http://schemas.openxmlformats.org/officeDocument/2006/relationships/hyperlink" Target="https://in.gov.br/en/web/dou/-/decreto-n-11.246-de-27-de-outubro-de-2022-440217660" TargetMode="External"/><Relationship Id="rId16" Type="http://schemas.openxmlformats.org/officeDocument/2006/relationships/hyperlink" Target="http://www.planalto.gov.br/ccivil_03/_ato2019-2022/2021/lei/L14133.htm" TargetMode="External"/><Relationship Id="rId107" Type="http://schemas.openxmlformats.org/officeDocument/2006/relationships/hyperlink" Target="http://www.planalto.gov.br/ccivil_03/_ato2019-2022/2021/lei/L14133.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gov.br/compras/pt-br/acesso-a-informacao/legislacao/portarias/portaria-seges-me-no-938-de-2-de-fevereiro-de-2022" TargetMode="External"/><Relationship Id="rId37" Type="http://schemas.openxmlformats.org/officeDocument/2006/relationships/hyperlink" Target="https://www.gov.br/compras/pt-br/acesso-a-informacao/legislacao/instrucoes-normativas/instrucao-normativa-seges-me-no-81-de-25-de-novembro-de-2022" TargetMode="External"/><Relationship Id="rId53" Type="http://schemas.openxmlformats.org/officeDocument/2006/relationships/hyperlink" Target="http://www.planalto.gov.br/ccivil_03/_ato2019-2022/2021/lei/L14133.htm" TargetMode="External"/><Relationship Id="rId58" Type="http://schemas.openxmlformats.org/officeDocument/2006/relationships/hyperlink" Target="http://www.planalto.gov.br/ccivil_03/_ato2019-2022/2021/lei/L14133.htm" TargetMode="External"/><Relationship Id="rId74" Type="http://schemas.openxmlformats.org/officeDocument/2006/relationships/hyperlink" Target="http://www.planalto.gov.br/ccivil_03/_ato2019-2022/2021/lei/L14133.htm" TargetMode="External"/><Relationship Id="rId79" Type="http://schemas.openxmlformats.org/officeDocument/2006/relationships/hyperlink" Target="http://www.planalto.gov.br/ccivil_03/_ato2019-2022/2021/lei/L14133.htm" TargetMode="External"/><Relationship Id="rId102" Type="http://schemas.openxmlformats.org/officeDocument/2006/relationships/hyperlink" Target="http://www.planalto.gov.br/ccivil_03/_ato2019-2022/2021/decreto/D10922.htm" TargetMode="External"/><Relationship Id="rId123" Type="http://schemas.openxmlformats.org/officeDocument/2006/relationships/hyperlink" Target="http://www.planalto.gov.br/ccivil_03/_ato2019-2022/2021/lei/L14133.htm" TargetMode="External"/><Relationship Id="rId128" Type="http://schemas.openxmlformats.org/officeDocument/2006/relationships/hyperlink" Target="https://www.planalto.gov.br/ccivil_03/leis/l8078compilado.htm" TargetMode="External"/><Relationship Id="rId5" Type="http://schemas.openxmlformats.org/officeDocument/2006/relationships/hyperlink" Target="http://www.planalto.gov.br/ccivil_03/_ato2019-2022/2021/lei/L14133.htm" TargetMode="External"/><Relationship Id="rId90" Type="http://schemas.openxmlformats.org/officeDocument/2006/relationships/hyperlink" Target="https://www.planalto.gov.br/ccivil_03/constituicao/constituicao.htm" TargetMode="External"/><Relationship Id="rId95" Type="http://schemas.openxmlformats.org/officeDocument/2006/relationships/hyperlink" Target="http://www.planalto.gov.br/ccivil_03/_ato2019-2022/2021/lei/L14133.htm" TargetMode="External"/><Relationship Id="rId22" Type="http://schemas.openxmlformats.org/officeDocument/2006/relationships/hyperlink" Target="http://www.planalto.gov.br/ccivil_03/_ato2019-2022/2021/lei/L14133.htm" TargetMode="External"/><Relationship Id="rId27" Type="http://schemas.openxmlformats.org/officeDocument/2006/relationships/hyperlink" Target="https://www.planalto.gov.br/ccivil_03/leis/1950-1969/L4150.htm" TargetMode="External"/><Relationship Id="rId43" Type="http://schemas.openxmlformats.org/officeDocument/2006/relationships/hyperlink" Target="https://www.gov.br/compras/pt-br/acesso-a-informacao/legislacao/instrucoes-normativas/instrucao-normativa-seges-me-no-73-de-30-de-setembro-de-2022" TargetMode="External"/><Relationship Id="rId48" Type="http://schemas.openxmlformats.org/officeDocument/2006/relationships/hyperlink" Target="https://www.gov.br/compras/pt-br/acesso-a-informacao/legislacao/instrucoes-normativas/instrucao-normativa-seges-no-58-de-8-de-agosto-de-2022" TargetMode="External"/><Relationship Id="rId64" Type="http://schemas.openxmlformats.org/officeDocument/2006/relationships/hyperlink" Target="https://www.gov.br/compras/pt-br/acesso-a-informacao/legislacao/instrucoes-normativas/instrucao-normativa-seges-me-no-81-de-25-de-novembro-de-2022" TargetMode="External"/><Relationship Id="rId69" Type="http://schemas.openxmlformats.org/officeDocument/2006/relationships/hyperlink" Target="https://www.gov.br/compras/pt-br/acesso-a-informacao/legislacao/instrucoes-normativas/instrucao-normativa-seges-me-no-77-de-4-de-novembro-de-2022" TargetMode="External"/><Relationship Id="rId113" Type="http://schemas.openxmlformats.org/officeDocument/2006/relationships/hyperlink" Target="http://www.planalto.gov.br/ccivil_03/_ato2019-2022/2021/lei/L14133.htm" TargetMode="External"/><Relationship Id="rId118" Type="http://schemas.openxmlformats.org/officeDocument/2006/relationships/hyperlink" Target="http://www.planalto.gov.br/ccivil_03/_ato2019-2022/2021/lei/L14133.htm" TargetMode="External"/><Relationship Id="rId80" Type="http://schemas.openxmlformats.org/officeDocument/2006/relationships/hyperlink" Target="https://www.planalto.gov.br/ccivil_03/_ato2019-2022/2022/decreto/D10977.htm" TargetMode="External"/><Relationship Id="rId85" Type="http://schemas.openxmlformats.org/officeDocument/2006/relationships/hyperlink" Target="https://www.planalto.gov.br/ccivil_03/leis/2002/l10406compilada.htm" TargetMode="External"/><Relationship Id="rId12" Type="http://schemas.openxmlformats.org/officeDocument/2006/relationships/hyperlink" Target="https://www.planalto.gov.br/ccivil_03/leis/l4320.htm" TargetMode="External"/><Relationship Id="rId17" Type="http://schemas.openxmlformats.org/officeDocument/2006/relationships/hyperlink" Target="http://www.planalto.gov.br/ccivil_03/_ato2019-2022/2021/lei/L14133.htm" TargetMode="External"/><Relationship Id="rId33" Type="http://schemas.openxmlformats.org/officeDocument/2006/relationships/hyperlink" Target="http://www.planalto.gov.br/ccivil_03/_ato2019-2022/2021/lei/L14133.htm" TargetMode="External"/><Relationship Id="rId38" Type="http://schemas.openxmlformats.org/officeDocument/2006/relationships/hyperlink" Target="https://www.gov.br/compras/pt-br/acesso-a-informacao/legislacao/instrucoes-normativas/instrucao-normativa-seges-no-58-de-8-de-agosto-de-2022" TargetMode="External"/><Relationship Id="rId59" Type="http://schemas.openxmlformats.org/officeDocument/2006/relationships/hyperlink" Target="http://www.planalto.gov.br/ccivil_03/_ato2019-2022/2021/lei/L14133.htm" TargetMode="External"/><Relationship Id="rId103" Type="http://schemas.openxmlformats.org/officeDocument/2006/relationships/hyperlink" Target="http://www.planalto.gov.br/ccivil_03/_ato2019-2022/2021/lei/L14133.htm" TargetMode="External"/><Relationship Id="rId108" Type="http://schemas.openxmlformats.org/officeDocument/2006/relationships/hyperlink" Target="http://www.planalto.gov.br/ccivil_03/_ato2019-2022/2021/lei/L14133.htm" TargetMode="External"/><Relationship Id="rId124" Type="http://schemas.openxmlformats.org/officeDocument/2006/relationships/hyperlink" Target="https://www.planalto.gov.br/ccivil_03/_ato2004-2006/2004/lei/l10.973.htm" TargetMode="External"/><Relationship Id="rId129" Type="http://schemas.openxmlformats.org/officeDocument/2006/relationships/hyperlink" Target="https://www.planalto.gov.br/ccivil_03/leis/l8078compilado.htm" TargetMode="External"/><Relationship Id="rId54" Type="http://schemas.openxmlformats.org/officeDocument/2006/relationships/hyperlink" Target="https://www.gov.br/compras/pt-br/acesso-a-informacao/legislacao/instrucoes-normativas/instrucao-normativa-seges-me-no-81-de-25-de-novembro-de-2022" TargetMode="External"/><Relationship Id="rId70" Type="http://schemas.openxmlformats.org/officeDocument/2006/relationships/hyperlink" Target="http://www.planalto.gov.br/ccivil_03/_ato2019-2022/2021/lei/L14133.htm" TargetMode="External"/><Relationship Id="rId75" Type="http://schemas.openxmlformats.org/officeDocument/2006/relationships/hyperlink" Target="https://www.planalto.gov.br/ccivil_03/constituicao/constituicao.htm" TargetMode="External"/><Relationship Id="rId91" Type="http://schemas.openxmlformats.org/officeDocument/2006/relationships/hyperlink" Target="http://www.planalto.gov.br/ccivil_03/_ato2019-2022/2021/lei/L14133.htm" TargetMode="External"/><Relationship Id="rId96" Type="http://schemas.openxmlformats.org/officeDocument/2006/relationships/hyperlink" Target="https://www.gov.br/compras/pt-br/acesso-a-informacao/legislacao/instrucoes-normativas/instrucao-normativa-seges-me-no-65-de-7-de-julho-de-2021" TargetMode="External"/><Relationship Id="rId1" Type="http://schemas.openxmlformats.org/officeDocument/2006/relationships/hyperlink" Target="mailto:cgu.modeloscontratacao@agu.gov.br" TargetMode="External"/><Relationship Id="rId6" Type="http://schemas.openxmlformats.org/officeDocument/2006/relationships/hyperlink" Target="http://www.planalto.gov.br/ccivil_03/Leis/LCP/Lcp123.htm" TargetMode="External"/><Relationship Id="rId23" Type="http://schemas.openxmlformats.org/officeDocument/2006/relationships/hyperlink" Target="https://www.gov.br/compras/pt-br/acesso-a-informacao/legislacao/instrucoes-normativas/instrucao-normativa-seges-no-58-de-8-de-agosto-de-2022" TargetMode="External"/><Relationship Id="rId28" Type="http://schemas.openxmlformats.org/officeDocument/2006/relationships/hyperlink" Target="http://www.planalto.gov.br/ccivil_03/_ato2019-2022/2021/lei/L14133.htm" TargetMode="External"/><Relationship Id="rId49" Type="http://schemas.openxmlformats.org/officeDocument/2006/relationships/hyperlink" Target="https://www.gov.br/agu/pt-br/composicao/cgu/cgu/guias/gncs_082022.pdf" TargetMode="External"/><Relationship Id="rId114" Type="http://schemas.openxmlformats.org/officeDocument/2006/relationships/hyperlink" Target="http://www.planalto.gov.br/ccivil_03/_ato2019-2022/2021/lei/L14133.htm" TargetMode="External"/><Relationship Id="rId119" Type="http://schemas.openxmlformats.org/officeDocument/2006/relationships/hyperlink" Target="http://www.planalto.gov.br/ccivil_03/leis/lcp/lcp116.htm" TargetMode="External"/><Relationship Id="rId44" Type="http://schemas.openxmlformats.org/officeDocument/2006/relationships/hyperlink" Target="https://www.gov.br/compras/pt-br/acesso-a-informacao/legislacao/instrucoes-normativas/instrucao-normativa-seges-no-58-de-8-de-agosto-de-2022" TargetMode="External"/><Relationship Id="rId60" Type="http://schemas.openxmlformats.org/officeDocument/2006/relationships/hyperlink" Target="http://www.planalto.gov.br/ccivil_03/leis/l8666cons.htm" TargetMode="External"/><Relationship Id="rId65" Type="http://schemas.openxmlformats.org/officeDocument/2006/relationships/hyperlink" Target="http://www.planalto.gov.br/ccivil_03/_ato2019-2022/2021/lei/L14133.htm" TargetMode="External"/><Relationship Id="rId81" Type="http://schemas.openxmlformats.org/officeDocument/2006/relationships/hyperlink" Target="https://www.planalto.gov.br/ccivil_03/leis/1980-1988/l7116.htm" TargetMode="External"/><Relationship Id="rId86" Type="http://schemas.openxmlformats.org/officeDocument/2006/relationships/hyperlink" Target="http://www.planalto.gov.br/ccivil_03/_ato2019-2022/2021/lei/L14133.htm" TargetMode="External"/><Relationship Id="rId13" Type="http://schemas.openxmlformats.org/officeDocument/2006/relationships/hyperlink" Target="http://www.planalto.gov.br/ccivil_03/decreto/d93872.htm" TargetMode="External"/><Relationship Id="rId18" Type="http://schemas.openxmlformats.org/officeDocument/2006/relationships/hyperlink" Target="http://www.planalto.gov.br/ccivil_03/_ato2019-2022/2021/lei/L14133.htm" TargetMode="External"/><Relationship Id="rId39" Type="http://schemas.openxmlformats.org/officeDocument/2006/relationships/hyperlink" Target="https://www.gov.br/compras/pt-br/acesso-a-informacao/legislacao/instrucoes-normativas/instrucao-normativa-seges-me-no-81-de-25-de-novembro-de-2022" TargetMode="External"/><Relationship Id="rId109" Type="http://schemas.openxmlformats.org/officeDocument/2006/relationships/hyperlink" Target="http://www.planalto.gov.br/ccivil_03/_ato2019-2022/2021/lei/L14133.htm" TargetMode="External"/><Relationship Id="rId34" Type="http://schemas.openxmlformats.org/officeDocument/2006/relationships/hyperlink" Target="http://www.planalto.gov.br/ccivil_03/_ato2019-2022/2021/lei/L14133.htm" TargetMode="External"/><Relationship Id="rId50" Type="http://schemas.openxmlformats.org/officeDocument/2006/relationships/hyperlink" Target="https://www.gov.br/compras/pt-br/acesso-a-informacao/legislacao/instrucoes-normativas/instrucao-normativa-seges-no-58-de-8-de-agosto-de-2022" TargetMode="External"/><Relationship Id="rId55" Type="http://schemas.openxmlformats.org/officeDocument/2006/relationships/hyperlink" Target="https://www.gov.br/compras/pt-br/acesso-a-informacao/legislacao/instrucoes-normativas/instrucao-normativa-seges-no-58-de-8-de-agosto-de-2022" TargetMode="External"/><Relationship Id="rId76" Type="http://schemas.openxmlformats.org/officeDocument/2006/relationships/hyperlink" Target="http://www.planalto.gov.br/ccivil_03/_ato2019-2022/2021/lei/L14133.htm" TargetMode="External"/><Relationship Id="rId97" Type="http://schemas.openxmlformats.org/officeDocument/2006/relationships/hyperlink" Target="https://www.gov.br/compras/pt-br/acesso-a-informacao/legislacao/instrucoes-normativas/instrucao-normativa-seges-me-no-81-de-25-de-novembro-de-2022" TargetMode="External"/><Relationship Id="rId104" Type="http://schemas.openxmlformats.org/officeDocument/2006/relationships/hyperlink" Target="https://www.planalto.gov.br/ccivil_03/_ato2011-2014/2011/lei/l12527.htm" TargetMode="External"/><Relationship Id="rId120" Type="http://schemas.openxmlformats.org/officeDocument/2006/relationships/hyperlink" Target="https://www.planalto.gov.br/ccivil_03/constituicao/constituicao.htm" TargetMode="External"/><Relationship Id="rId125" Type="http://schemas.openxmlformats.org/officeDocument/2006/relationships/hyperlink" Target="http://www.planalto.gov.br/ccivil_03/_ato2019-2022/2021/lei/L14133.htm" TargetMode="External"/><Relationship Id="rId7" Type="http://schemas.openxmlformats.org/officeDocument/2006/relationships/hyperlink" Target="http://www.planalto.gov.br/ccivil_03/_Ato2015-2018/2015/Decreto/D8538.htm" TargetMode="External"/><Relationship Id="rId71" Type="http://schemas.openxmlformats.org/officeDocument/2006/relationships/hyperlink" Target="http://www.planalto.gov.br/ccivil_03/_ato2019-2022/2021/lei/L14133.htm" TargetMode="External"/><Relationship Id="rId92" Type="http://schemas.openxmlformats.org/officeDocument/2006/relationships/hyperlink" Target="https://sapiens.agu.gov.br/valida_publico?id=701283242" TargetMode="External"/><Relationship Id="rId2" Type="http://schemas.openxmlformats.org/officeDocument/2006/relationships/hyperlink" Target="http://www.planalto.gov.br/ccivil_03/_ato2019-2022/2021/lei/L14133.htm" TargetMode="External"/><Relationship Id="rId29" Type="http://schemas.openxmlformats.org/officeDocument/2006/relationships/hyperlink" Target="https://www.gov.br/compras/pt-br/acesso-a-informacao/legislacao/instrucoes-normativas/instrucao-normativa-seges-me-no-81-de-25-de-novembro-de-2022" TargetMode="External"/><Relationship Id="rId24" Type="http://schemas.openxmlformats.org/officeDocument/2006/relationships/hyperlink" Target="https://www.gov.br/compras/pt-br/acesso-a-informacao/legislacao/instrucoes-normativas/instrucao-normativa-seges-me-no-81-de-25-de-novembro-de-2022" TargetMode="External"/><Relationship Id="rId40" Type="http://schemas.openxmlformats.org/officeDocument/2006/relationships/hyperlink" Target="https://www.gov.br/compras/pt-br/acesso-a-informacao/legislacao/instrucoes-normativas/instrucao-normativa-seges-no-58-de-8-de-agosto-de-2022" TargetMode="External"/><Relationship Id="rId45" Type="http://schemas.openxmlformats.org/officeDocument/2006/relationships/hyperlink" Target="https://sapiens.agu.gov.br/valida_publico?id=627431320" TargetMode="External"/><Relationship Id="rId66" Type="http://schemas.openxmlformats.org/officeDocument/2006/relationships/hyperlink" Target="http://www.planalto.gov.br/ccivil_03/_ato2019-2022/2022/decreto/D11246.htm" TargetMode="External"/><Relationship Id="rId87" Type="http://schemas.openxmlformats.org/officeDocument/2006/relationships/hyperlink" Target="https://www.planalto.gov.br/ccivil_03/leis/l5172compilado.htm" TargetMode="External"/><Relationship Id="rId110" Type="http://schemas.openxmlformats.org/officeDocument/2006/relationships/hyperlink" Target="http://www.planalto.gov.br/ccivil_03/_ato2019-2022/2021/lei/L14133.htm" TargetMode="External"/><Relationship Id="rId115" Type="http://schemas.openxmlformats.org/officeDocument/2006/relationships/hyperlink" Target="http://www.planalto.gov.br/ccivil_03/_ato2019-2022/2021/lei/L14133.htm" TargetMode="External"/><Relationship Id="rId61" Type="http://schemas.openxmlformats.org/officeDocument/2006/relationships/hyperlink" Target="https://www.planalto.gov.br/ccivil_03/_ato2019-2022/2022/decreto/d10977.htm" TargetMode="External"/><Relationship Id="rId82" Type="http://schemas.openxmlformats.org/officeDocument/2006/relationships/hyperlink" Target="http://www.planalto.gov.br/ccivil_03/leis/l9454.htm" TargetMode="External"/><Relationship Id="rId19" Type="http://schemas.openxmlformats.org/officeDocument/2006/relationships/hyperlink" Target="http://www.planalto.gov.br/ccivil_03/_ato2019-2022/2021/lei/L14133.htm" TargetMode="External"/><Relationship Id="rId14" Type="http://schemas.openxmlformats.org/officeDocument/2006/relationships/hyperlink" Target="http://www.planalto.gov.br/ccivil_03/decreto/d93872.htm" TargetMode="External"/><Relationship Id="rId30" Type="http://schemas.openxmlformats.org/officeDocument/2006/relationships/hyperlink" Target="http://www.planalto.gov.br/ccivil_03/_ato2019-2022/2021/lei/L14133.htm" TargetMode="External"/><Relationship Id="rId35" Type="http://schemas.openxmlformats.org/officeDocument/2006/relationships/hyperlink" Target="https://www.gov.br/compras/pt-br/acesso-a-informacao/legislacao/instrucoes-normativas/instrucao-normativa-seges-me-no-81-de-25-de-novembro-de-2022" TargetMode="External"/><Relationship Id="rId56" Type="http://schemas.openxmlformats.org/officeDocument/2006/relationships/hyperlink" Target="http://www.planalto.gov.br/ccivil_03/_ato2019-2022/2021/lei/L14133.htm" TargetMode="External"/><Relationship Id="rId77" Type="http://schemas.openxmlformats.org/officeDocument/2006/relationships/hyperlink" Target="http://www.planalto.gov.br/ccivil_03/_ato2019-2022/2021/lei/L14133.htm" TargetMode="External"/><Relationship Id="rId100" Type="http://schemas.openxmlformats.org/officeDocument/2006/relationships/hyperlink" Target="http://www.planalto.gov.br/ccivil_03/_ato2019-2022/2021/lei/L14133.htm" TargetMode="External"/><Relationship Id="rId105" Type="http://schemas.openxmlformats.org/officeDocument/2006/relationships/hyperlink" Target="https://www.gov.br/compras/pt-br/acesso-a-informacao/legislacao/instrucoes-normativas/instrucao-normativa-seges-me-no-81-de-25-de-novembro-de-2022" TargetMode="External"/><Relationship Id="rId126" Type="http://schemas.openxmlformats.org/officeDocument/2006/relationships/hyperlink" Target="https://www.planalto.gov.br/ccivil_03/_ato2015-2018/2018/lei/l13709.htm" TargetMode="External"/><Relationship Id="rId8" Type="http://schemas.openxmlformats.org/officeDocument/2006/relationships/hyperlink" Target="https://antigo.agu.gov.br/page/atos/detalhe/idato/1256070" TargetMode="External"/><Relationship Id="rId51" Type="http://schemas.openxmlformats.org/officeDocument/2006/relationships/hyperlink" Target="https://www.planalto.gov.br/ccivil_03/_ato2007-2010/2010/lei/l12305.htm" TargetMode="External"/><Relationship Id="rId72" Type="http://schemas.openxmlformats.org/officeDocument/2006/relationships/hyperlink" Target="http://www.planalto.gov.br/ccivil_03/_ato2019-2022/2021/lei/L14133.htm" TargetMode="External"/><Relationship Id="rId93" Type="http://schemas.openxmlformats.org/officeDocument/2006/relationships/hyperlink" Target="https://antigo.agu.gov.br/page/atos/detalhe/idato/1778660" TargetMode="External"/><Relationship Id="rId98" Type="http://schemas.openxmlformats.org/officeDocument/2006/relationships/hyperlink" Target="http://www.planalto.gov.br/ccivil_03/_ato2019-2022/2021/lei/L14133.htm" TargetMode="External"/><Relationship Id="rId121" Type="http://schemas.openxmlformats.org/officeDocument/2006/relationships/hyperlink" Target="http://www.planalto.gov.br/ccivil_03/_ato2019-2022/2021/lei/L14133.htm" TargetMode="External"/><Relationship Id="rId3" Type="http://schemas.openxmlformats.org/officeDocument/2006/relationships/hyperlink" Target="https://www.gov.br/compras/pt-br/acesso-a-informacao/legislacao/instrucoes-normativas/instrucao-normativa-seges-no-58-de-8-de-agosto-de-2022" TargetMode="External"/><Relationship Id="rId25" Type="http://schemas.openxmlformats.org/officeDocument/2006/relationships/hyperlink" Target="https://www.gov.br/compras/pt-br/acesso-a-informacao/legislacao/instrucoes-normativas/instrucao-normativa-seges-me-no-73-de-30-de-setembro-de-2022" TargetMode="External"/><Relationship Id="rId46" Type="http://schemas.openxmlformats.org/officeDocument/2006/relationships/hyperlink" Target="https://www.planalto.gov.br/ccivil_03/_ato2007-2010/2010/lei/l12305.htm" TargetMode="External"/><Relationship Id="rId67" Type="http://schemas.openxmlformats.org/officeDocument/2006/relationships/hyperlink" Target="http://www.planalto.gov.br/ccivil_03/_ato2019-2022/2022/decreto/D11246.htm" TargetMode="External"/><Relationship Id="rId116" Type="http://schemas.openxmlformats.org/officeDocument/2006/relationships/hyperlink" Target="https://www.in.gov.br/en/web/dou/-/portaria-me-n-1.144-de-3-de-fevereiro-de-2021-302550048" TargetMode="External"/><Relationship Id="rId20" Type="http://schemas.openxmlformats.org/officeDocument/2006/relationships/hyperlink" Target="https://www.gov.br/compras/pt-br/acesso-a-informacao/legislacao/instrucoes-normativas/instrucao-normativa-seges-no-58-de-8-de-agosto-de-2022" TargetMode="External"/><Relationship Id="rId41" Type="http://schemas.openxmlformats.org/officeDocument/2006/relationships/hyperlink" Target="https://www.gov.br/compras/pt-br/acesso-a-informacao/legislacao/portarias/portaria-seges-me-no-8-678-de-19-de-julho-de-2021" TargetMode="External"/><Relationship Id="rId62" Type="http://schemas.openxmlformats.org/officeDocument/2006/relationships/hyperlink" Target="https://www.planalto.gov.br/ccivil_03/LEIS/1980-1988/L7116.htm" TargetMode="External"/><Relationship Id="rId83" Type="http://schemas.openxmlformats.org/officeDocument/2006/relationships/hyperlink" Target="https://www.planalto.gov.br/ccivil_03/_ato2019-2022/2021/lei/L14195.htm" TargetMode="External"/><Relationship Id="rId88" Type="http://schemas.openxmlformats.org/officeDocument/2006/relationships/hyperlink" Target="http://www.planalto.gov.br/ccivil_03/_ato2019-2022/2021/lei/L14133.htm" TargetMode="External"/><Relationship Id="rId111" Type="http://schemas.openxmlformats.org/officeDocument/2006/relationships/hyperlink" Target="http://www.planalto.gov.br/ccivil_03/_ato2019-2022/2021/lei/L14133.htm" TargetMode="External"/><Relationship Id="rId15" Type="http://schemas.openxmlformats.org/officeDocument/2006/relationships/hyperlink" Target="http://www.planalto.gov.br/ccivil_03/_ato2019-2022/2021/lei/L14133.htm" TargetMode="External"/><Relationship Id="rId36" Type="http://schemas.openxmlformats.org/officeDocument/2006/relationships/hyperlink" Target="https://www.gov.br/agu/pt-br/composicao/cgu/cgu/guias/gncs_082022.pdf" TargetMode="External"/><Relationship Id="rId57" Type="http://schemas.openxmlformats.org/officeDocument/2006/relationships/hyperlink" Target="http://www.planalto.gov.br/ccivil_03/_ato2019-2022/2021/lei/L14133.htm" TargetMode="External"/><Relationship Id="rId106" Type="http://schemas.openxmlformats.org/officeDocument/2006/relationships/hyperlink" Target="https://www.gov.br/compras/pt-br/acesso-a-informacao/legislacao/instrucoes-normativas/instrucao-normativa-seges-me-no-81-de-25-de-novembro-de-2022" TargetMode="External"/><Relationship Id="rId127" Type="http://schemas.openxmlformats.org/officeDocument/2006/relationships/hyperlink" Target="http://www.planalto.gov.br/ccivil_03/_ato2019-2022/2021/lei/L14133.htm" TargetMode="External"/><Relationship Id="rId10" Type="http://schemas.openxmlformats.org/officeDocument/2006/relationships/hyperlink" Target="http://www.planalto.gov.br/ccivil_03/_ato2019-2022/2021/lei/L14133.htm" TargetMode="External"/><Relationship Id="rId31" Type="http://schemas.openxmlformats.org/officeDocument/2006/relationships/hyperlink" Target="https://www.gov.br/compras/pt-br/acesso-a-informacao/legislacao/instrucoes-normativas/instrucao-normativa-seges-me-no-81-de-25-de-novembro-de-2022" TargetMode="External"/><Relationship Id="rId52" Type="http://schemas.openxmlformats.org/officeDocument/2006/relationships/hyperlink" Target="https://doacoes.gov.br/" TargetMode="External"/><Relationship Id="rId73" Type="http://schemas.openxmlformats.org/officeDocument/2006/relationships/hyperlink" Target="https://www.comprasgovernamentais.gov.br/images/conteudo/ArquivosCGNOR/fato_gerador.pdf" TargetMode="External"/><Relationship Id="rId78" Type="http://schemas.openxmlformats.org/officeDocument/2006/relationships/hyperlink" Target="https://www.gov.br/compras/pt-br/acesso-a-informacao/legislacao/instrucoes-normativas/instrucao-normativa-seges-me-no-116-de-21-de-dezembro-de-2021" TargetMode="External"/><Relationship Id="rId94" Type="http://schemas.openxmlformats.org/officeDocument/2006/relationships/hyperlink" Target="http://www.planalto.gov.br/ccivil_03/_ato2019-2022/2021/lei/L14133.htm" TargetMode="External"/><Relationship Id="rId99" Type="http://schemas.openxmlformats.org/officeDocument/2006/relationships/hyperlink" Target="https://www.gov.br/compras/pt-br/acesso-a-informacao/legislacao/instrucoes-normativas/instrucao-normativa-no-73-de-5-de-agosto-de-2020" TargetMode="External"/><Relationship Id="rId101" Type="http://schemas.openxmlformats.org/officeDocument/2006/relationships/hyperlink" Target="http://www.planalto.gov.br/ccivil_03/_ato2019-2022/2021/lei/L14133.htm" TargetMode="External"/><Relationship Id="rId122" Type="http://schemas.openxmlformats.org/officeDocument/2006/relationships/hyperlink" Target="http://www.planalto.gov.br/ccivil_03/_ato2019-2022/2021/lei/L14133.htm" TargetMode="External"/><Relationship Id="rId4" Type="http://schemas.openxmlformats.org/officeDocument/2006/relationships/hyperlink" Target="http://www.planalto.gov.br/ccivil_03/_ato2019-2022/2021/lei/L14133.htm" TargetMode="External"/><Relationship Id="rId9" Type="http://schemas.openxmlformats.org/officeDocument/2006/relationships/hyperlink" Target="http://www.planalto.gov.br/ccivil_03/_ato2019-2022/2021/lei/L14133.htm" TargetMode="External"/><Relationship Id="rId26" Type="http://schemas.openxmlformats.org/officeDocument/2006/relationships/hyperlink" Target="http://www.planalto.gov.br/ccivil_03/_ato2019-2022/2021/lei/L14133.htm"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www.planalto.gov.br/ccivil_03/leis/l6938.ht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yperlink" Target="https://www.gov.br/compras/pt-br/acesso-a-informacao/legislacao/instrucoes-normativas/instrucao-normativa-no-01-de-19-de-janeiro-de-2010"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planalto.gov.br/ccivil_03/leis/l8078compilado.ht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planalto.gov.br/ccivil_03/_ato2004-2006/2006/decreto/d5975.htm" TargetMode="External"/><Relationship Id="rId5" Type="http://schemas.openxmlformats.org/officeDocument/2006/relationships/footnotes" Target="footnotes.xml"/><Relationship Id="rId15" Type="http://schemas.openxmlformats.org/officeDocument/2006/relationships/hyperlink" Target="http://www.ibama.gov.br/phocadownload/sinaflor/2018/2018-06-13-Ibama-IN-IBAMA-21-24-12-2014-SINAFLOR-DOF-compilada.pdf" TargetMode="External"/><Relationship Id="rId10" Type="http://schemas.openxmlformats.org/officeDocument/2006/relationships/image" Target="media/image1.emf"/><Relationship Id="rId19"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www.ibama.gov.br/component/legislacao/?view=legislacao&amp;legislacao=1126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49</Pages>
  <Words>22538</Words>
  <Characters>121707</Characters>
  <Application>Microsoft Office Word</Application>
  <DocSecurity>0</DocSecurity>
  <Lines>1014</Lines>
  <Paragraphs>287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143958</CharactersWithSpaces>
  <SharedDoc>false</SharedDoc>
  <HyperlinkBase/>
  <HLinks>
    <vt:vector size="822" baseType="variant">
      <vt:variant>
        <vt:i4>4980850</vt:i4>
      </vt:variant>
      <vt:variant>
        <vt:i4>24</vt:i4>
      </vt:variant>
      <vt:variant>
        <vt:i4>0</vt:i4>
      </vt:variant>
      <vt:variant>
        <vt:i4>5</vt:i4>
      </vt:variant>
      <vt:variant>
        <vt:lpwstr>https://www.planalto.gov.br/ccivil_03/leis/l8078compilado.htm</vt:lpwstr>
      </vt:variant>
      <vt:variant>
        <vt:lpwstr/>
      </vt:variant>
      <vt:variant>
        <vt:i4>6291505</vt:i4>
      </vt:variant>
      <vt:variant>
        <vt:i4>21</vt:i4>
      </vt:variant>
      <vt:variant>
        <vt:i4>0</vt:i4>
      </vt:variant>
      <vt:variant>
        <vt:i4>5</vt:i4>
      </vt:variant>
      <vt:variant>
        <vt:lpwstr>http://www.ibama.gov.br/phocadownload/sinaflor/2018/2018-06-13-Ibama-IN-IBAMA-21-24-12-2014-SINAFLOR-DOF-compilada.pdf</vt:lpwstr>
      </vt:variant>
      <vt:variant>
        <vt:lpwstr/>
      </vt:variant>
      <vt:variant>
        <vt:i4>6684773</vt:i4>
      </vt:variant>
      <vt:variant>
        <vt:i4>18</vt:i4>
      </vt:variant>
      <vt:variant>
        <vt:i4>0</vt:i4>
      </vt:variant>
      <vt:variant>
        <vt:i4>5</vt:i4>
      </vt:variant>
      <vt:variant>
        <vt:lpwstr>http://www.ibama.gov.br/component/legislacao/?view=legislacao&amp;legislacao=112647</vt:lpwstr>
      </vt:variant>
      <vt:variant>
        <vt:lpwstr/>
      </vt:variant>
      <vt:variant>
        <vt:i4>5111862</vt:i4>
      </vt:variant>
      <vt:variant>
        <vt:i4>15</vt:i4>
      </vt:variant>
      <vt:variant>
        <vt:i4>0</vt:i4>
      </vt:variant>
      <vt:variant>
        <vt:i4>5</vt:i4>
      </vt:variant>
      <vt:variant>
        <vt:lpwstr>https://www.planalto.gov.br/ccivil_03/leis/l6938.htm</vt:lpwstr>
      </vt:variant>
      <vt:variant>
        <vt:lpwstr>art17</vt:lpwstr>
      </vt:variant>
      <vt:variant>
        <vt:i4>1638403</vt:i4>
      </vt:variant>
      <vt:variant>
        <vt:i4>12</vt:i4>
      </vt:variant>
      <vt:variant>
        <vt:i4>0</vt:i4>
      </vt:variant>
      <vt:variant>
        <vt:i4>5</vt:i4>
      </vt:variant>
      <vt:variant>
        <vt:lpwstr>https://www.gov.br/compras/pt-br/acesso-a-informacao/legislacao/instrucoes-normativas/instrucao-normativa-no-01-de-19-de-janeiro-de-2010</vt:lpwstr>
      </vt:variant>
      <vt:variant>
        <vt:lpwstr/>
      </vt:variant>
      <vt:variant>
        <vt:i4>4522066</vt:i4>
      </vt:variant>
      <vt:variant>
        <vt:i4>9</vt:i4>
      </vt:variant>
      <vt:variant>
        <vt:i4>0</vt:i4>
      </vt:variant>
      <vt:variant>
        <vt:i4>5</vt:i4>
      </vt:variant>
      <vt:variant>
        <vt:lpwstr>http://www.planalto.gov.br/ccivil_03/_ato2004-2006/2006/decreto/d5975.htm</vt:lpwstr>
      </vt:variant>
      <vt:variant>
        <vt:lpwstr>art11</vt:lpwstr>
      </vt:variant>
      <vt:variant>
        <vt:i4>4980850</vt:i4>
      </vt:variant>
      <vt:variant>
        <vt:i4>390</vt:i4>
      </vt:variant>
      <vt:variant>
        <vt:i4>0</vt:i4>
      </vt:variant>
      <vt:variant>
        <vt:i4>5</vt:i4>
      </vt:variant>
      <vt:variant>
        <vt:lpwstr>https://www.planalto.gov.br/ccivil_03/leis/l8078compilado.htm</vt:lpwstr>
      </vt:variant>
      <vt:variant>
        <vt:lpwstr/>
      </vt:variant>
      <vt:variant>
        <vt:i4>4980850</vt:i4>
      </vt:variant>
      <vt:variant>
        <vt:i4>387</vt:i4>
      </vt:variant>
      <vt:variant>
        <vt:i4>0</vt:i4>
      </vt:variant>
      <vt:variant>
        <vt:i4>5</vt:i4>
      </vt:variant>
      <vt:variant>
        <vt:lpwstr>https://www.planalto.gov.br/ccivil_03/leis/l8078compilado.htm</vt:lpwstr>
      </vt:variant>
      <vt:variant>
        <vt:lpwstr/>
      </vt:variant>
      <vt:variant>
        <vt:i4>2949364</vt:i4>
      </vt:variant>
      <vt:variant>
        <vt:i4>384</vt:i4>
      </vt:variant>
      <vt:variant>
        <vt:i4>0</vt:i4>
      </vt:variant>
      <vt:variant>
        <vt:i4>5</vt:i4>
      </vt:variant>
      <vt:variant>
        <vt:lpwstr>http://www.planalto.gov.br/ccivil_03/_ato2019-2022/2021/lei/L14133.htm</vt:lpwstr>
      </vt:variant>
      <vt:variant>
        <vt:lpwstr>art106§1</vt:lpwstr>
      </vt:variant>
      <vt:variant>
        <vt:i4>1835091</vt:i4>
      </vt:variant>
      <vt:variant>
        <vt:i4>381</vt:i4>
      </vt:variant>
      <vt:variant>
        <vt:i4>0</vt:i4>
      </vt:variant>
      <vt:variant>
        <vt:i4>5</vt:i4>
      </vt:variant>
      <vt:variant>
        <vt:lpwstr>http://www.planalto.gov.br/ccivil_03/_ato2019-2022/2021/lei/L14133.htm</vt:lpwstr>
      </vt:variant>
      <vt:variant>
        <vt:lpwstr>art106</vt:lpwstr>
      </vt:variant>
      <vt:variant>
        <vt:i4>7077994</vt:i4>
      </vt:variant>
      <vt:variant>
        <vt:i4>378</vt:i4>
      </vt:variant>
      <vt:variant>
        <vt:i4>0</vt:i4>
      </vt:variant>
      <vt:variant>
        <vt:i4>5</vt:i4>
      </vt:variant>
      <vt:variant>
        <vt:lpwstr>https://www.planalto.gov.br/ccivil_03/_ato2015-2018/2018/lei/l13709.htm</vt:lpwstr>
      </vt:variant>
      <vt:variant>
        <vt:lpwstr/>
      </vt:variant>
      <vt:variant>
        <vt:i4>8716368</vt:i4>
      </vt:variant>
      <vt:variant>
        <vt:i4>375</vt:i4>
      </vt:variant>
      <vt:variant>
        <vt:i4>0</vt:i4>
      </vt:variant>
      <vt:variant>
        <vt:i4>5</vt:i4>
      </vt:variant>
      <vt:variant>
        <vt:lpwstr>http://www.planalto.gov.br/ccivil_03/_ato2019-2022/2021/lei/L14133.htm</vt:lpwstr>
      </vt:variant>
      <vt:variant>
        <vt:lpwstr>art93§1</vt:lpwstr>
      </vt:variant>
      <vt:variant>
        <vt:i4>393281</vt:i4>
      </vt:variant>
      <vt:variant>
        <vt:i4>372</vt:i4>
      </vt:variant>
      <vt:variant>
        <vt:i4>0</vt:i4>
      </vt:variant>
      <vt:variant>
        <vt:i4>5</vt:i4>
      </vt:variant>
      <vt:variant>
        <vt:lpwstr>https://www.planalto.gov.br/ccivil_03/_ato2004-2006/2004/lei/l10.973.htm</vt:lpwstr>
      </vt:variant>
      <vt:variant>
        <vt:lpwstr/>
      </vt:variant>
      <vt:variant>
        <vt:i4>8716368</vt:i4>
      </vt:variant>
      <vt:variant>
        <vt:i4>369</vt:i4>
      </vt:variant>
      <vt:variant>
        <vt:i4>0</vt:i4>
      </vt:variant>
      <vt:variant>
        <vt:i4>5</vt:i4>
      </vt:variant>
      <vt:variant>
        <vt:lpwstr>http://www.planalto.gov.br/ccivil_03/_ato2019-2022/2021/lei/L14133.htm</vt:lpwstr>
      </vt:variant>
      <vt:variant>
        <vt:lpwstr>art93§2</vt:lpwstr>
      </vt:variant>
      <vt:variant>
        <vt:i4>2228323</vt:i4>
      </vt:variant>
      <vt:variant>
        <vt:i4>366</vt:i4>
      </vt:variant>
      <vt:variant>
        <vt:i4>0</vt:i4>
      </vt:variant>
      <vt:variant>
        <vt:i4>5</vt:i4>
      </vt:variant>
      <vt:variant>
        <vt:lpwstr>http://www.planalto.gov.br/ccivil_03/_ato2019-2022/2021/lei/L14133.htm</vt:lpwstr>
      </vt:variant>
      <vt:variant>
        <vt:lpwstr>art93</vt:lpwstr>
      </vt:variant>
      <vt:variant>
        <vt:i4>8912980</vt:i4>
      </vt:variant>
      <vt:variant>
        <vt:i4>363</vt:i4>
      </vt:variant>
      <vt:variant>
        <vt:i4>0</vt:i4>
      </vt:variant>
      <vt:variant>
        <vt:i4>5</vt:i4>
      </vt:variant>
      <vt:variant>
        <vt:lpwstr>http://www.planalto.gov.br/ccivil_03/_ato2019-2022/2021/lei/L14133.htm</vt:lpwstr>
      </vt:variant>
      <vt:variant>
        <vt:lpwstr>art47§2</vt:lpwstr>
      </vt:variant>
      <vt:variant>
        <vt:i4>5636152</vt:i4>
      </vt:variant>
      <vt:variant>
        <vt:i4>360</vt:i4>
      </vt:variant>
      <vt:variant>
        <vt:i4>0</vt:i4>
      </vt:variant>
      <vt:variant>
        <vt:i4>5</vt:i4>
      </vt:variant>
      <vt:variant>
        <vt:lpwstr>https://www.planalto.gov.br/ccivil_03/constituicao/constituicao.htm</vt:lpwstr>
      </vt:variant>
      <vt:variant>
        <vt:lpwstr>art155</vt:lpwstr>
      </vt:variant>
      <vt:variant>
        <vt:i4>3801110</vt:i4>
      </vt:variant>
      <vt:variant>
        <vt:i4>357</vt:i4>
      </vt:variant>
      <vt:variant>
        <vt:i4>0</vt:i4>
      </vt:variant>
      <vt:variant>
        <vt:i4>5</vt:i4>
      </vt:variant>
      <vt:variant>
        <vt:lpwstr>http://www.planalto.gov.br/ccivil_03/leis/lcp/lcp116.htm</vt:lpwstr>
      </vt:variant>
      <vt:variant>
        <vt:lpwstr/>
      </vt:variant>
      <vt:variant>
        <vt:i4>2687075</vt:i4>
      </vt:variant>
      <vt:variant>
        <vt:i4>354</vt:i4>
      </vt:variant>
      <vt:variant>
        <vt:i4>0</vt:i4>
      </vt:variant>
      <vt:variant>
        <vt:i4>5</vt:i4>
      </vt:variant>
      <vt:variant>
        <vt:lpwstr>http://www.planalto.gov.br/ccivil_03/_ato2019-2022/2021/lei/L14133.htm</vt:lpwstr>
      </vt:variant>
      <vt:variant>
        <vt:lpwstr>art2</vt:lpwstr>
      </vt:variant>
      <vt:variant>
        <vt:i4>3014755</vt:i4>
      </vt:variant>
      <vt:variant>
        <vt:i4>351</vt:i4>
      </vt:variant>
      <vt:variant>
        <vt:i4>0</vt:i4>
      </vt:variant>
      <vt:variant>
        <vt:i4>5</vt:i4>
      </vt:variant>
      <vt:variant>
        <vt:lpwstr>http://www.planalto.gov.br/ccivil_03/_ato2019-2022/2021/lei/L14133.htm</vt:lpwstr>
      </vt:variant>
      <vt:variant>
        <vt:lpwstr>art5</vt:lpwstr>
      </vt:variant>
      <vt:variant>
        <vt:i4>3407973</vt:i4>
      </vt:variant>
      <vt:variant>
        <vt:i4>348</vt:i4>
      </vt:variant>
      <vt:variant>
        <vt:i4>0</vt:i4>
      </vt:variant>
      <vt:variant>
        <vt:i4>5</vt:i4>
      </vt:variant>
      <vt:variant>
        <vt:lpwstr>https://www.in.gov.br/en/web/dou/-/portaria-me-n-1.144-de-3-de-fevereiro-de-2021-302550048</vt:lpwstr>
      </vt:variant>
      <vt:variant>
        <vt:lpwstr/>
      </vt:variant>
      <vt:variant>
        <vt:i4>2687223</vt:i4>
      </vt:variant>
      <vt:variant>
        <vt:i4>345</vt:i4>
      </vt:variant>
      <vt:variant>
        <vt:i4>0</vt:i4>
      </vt:variant>
      <vt:variant>
        <vt:i4>5</vt:i4>
      </vt:variant>
      <vt:variant>
        <vt:lpwstr>http://www.planalto.gov.br/ccivil_03/_ato2019-2022/2021/lei/L14133.htm</vt:lpwstr>
      </vt:variant>
      <vt:variant>
        <vt:lpwstr>art137§4</vt:lpwstr>
      </vt:variant>
      <vt:variant>
        <vt:i4>1638481</vt:i4>
      </vt:variant>
      <vt:variant>
        <vt:i4>342</vt:i4>
      </vt:variant>
      <vt:variant>
        <vt:i4>0</vt:i4>
      </vt:variant>
      <vt:variant>
        <vt:i4>5</vt:i4>
      </vt:variant>
      <vt:variant>
        <vt:lpwstr>http://www.planalto.gov.br/ccivil_03/_ato2019-2022/2021/lei/L14133.htm</vt:lpwstr>
      </vt:variant>
      <vt:variant>
        <vt:lpwstr>art123</vt:lpwstr>
      </vt:variant>
      <vt:variant>
        <vt:i4>2228323</vt:i4>
      </vt:variant>
      <vt:variant>
        <vt:i4>339</vt:i4>
      </vt:variant>
      <vt:variant>
        <vt:i4>0</vt:i4>
      </vt:variant>
      <vt:variant>
        <vt:i4>5</vt:i4>
      </vt:variant>
      <vt:variant>
        <vt:lpwstr>http://www.planalto.gov.br/ccivil_03/_ato2019-2022/2021/lei/L14133.htm</vt:lpwstr>
      </vt:variant>
      <vt:variant>
        <vt:lpwstr>art92</vt:lpwstr>
      </vt:variant>
      <vt:variant>
        <vt:i4>3145791</vt:i4>
      </vt:variant>
      <vt:variant>
        <vt:i4>336</vt:i4>
      </vt:variant>
      <vt:variant>
        <vt:i4>0</vt:i4>
      </vt:variant>
      <vt:variant>
        <vt:i4>5</vt:i4>
      </vt:variant>
      <vt:variant>
        <vt:lpwstr>https://in.gov.br/en/web/dou/-/decreto-n-11.246-de-27-de-outubro-de-2022-440217660</vt:lpwstr>
      </vt:variant>
      <vt:variant>
        <vt:lpwstr>art28</vt:lpwstr>
      </vt:variant>
      <vt:variant>
        <vt:i4>1638481</vt:i4>
      </vt:variant>
      <vt:variant>
        <vt:i4>333</vt:i4>
      </vt:variant>
      <vt:variant>
        <vt:i4>0</vt:i4>
      </vt:variant>
      <vt:variant>
        <vt:i4>5</vt:i4>
      </vt:variant>
      <vt:variant>
        <vt:lpwstr>http://www.planalto.gov.br/ccivil_03/_ato2019-2022/2021/lei/L14133.htm</vt:lpwstr>
      </vt:variant>
      <vt:variant>
        <vt:lpwstr>art123</vt:lpwstr>
      </vt:variant>
      <vt:variant>
        <vt:i4>1638481</vt:i4>
      </vt:variant>
      <vt:variant>
        <vt:i4>330</vt:i4>
      </vt:variant>
      <vt:variant>
        <vt:i4>0</vt:i4>
      </vt:variant>
      <vt:variant>
        <vt:i4>5</vt:i4>
      </vt:variant>
      <vt:variant>
        <vt:lpwstr>http://www.planalto.gov.br/ccivil_03/_ato2019-2022/2021/lei/L14133.htm</vt:lpwstr>
      </vt:variant>
      <vt:variant>
        <vt:lpwstr>art123</vt:lpwstr>
      </vt:variant>
      <vt:variant>
        <vt:i4>2949219</vt:i4>
      </vt:variant>
      <vt:variant>
        <vt:i4>327</vt:i4>
      </vt:variant>
      <vt:variant>
        <vt:i4>0</vt:i4>
      </vt:variant>
      <vt:variant>
        <vt:i4>5</vt:i4>
      </vt:variant>
      <vt:variant>
        <vt:lpwstr>http://www.planalto.gov.br/ccivil_03/_ato2019-2022/2021/lei/L14133.htm</vt:lpwstr>
      </vt:variant>
      <vt:variant>
        <vt:lpwstr>art6</vt:lpwstr>
      </vt:variant>
      <vt:variant>
        <vt:i4>1835091</vt:i4>
      </vt:variant>
      <vt:variant>
        <vt:i4>324</vt:i4>
      </vt:variant>
      <vt:variant>
        <vt:i4>0</vt:i4>
      </vt:variant>
      <vt:variant>
        <vt:i4>5</vt:i4>
      </vt:variant>
      <vt:variant>
        <vt:lpwstr>http://www.planalto.gov.br/ccivil_03/_ato2019-2022/2021/lei/L14133.htm</vt:lpwstr>
      </vt:variant>
      <vt:variant>
        <vt:lpwstr>art106</vt:lpwstr>
      </vt:variant>
      <vt:variant>
        <vt:i4>6881398</vt:i4>
      </vt:variant>
      <vt:variant>
        <vt:i4>321</vt:i4>
      </vt:variant>
      <vt:variant>
        <vt:i4>0</vt:i4>
      </vt:variant>
      <vt:variant>
        <vt:i4>5</vt:i4>
      </vt:variant>
      <vt:variant>
        <vt:lpwstr>http://www.planalto.gov.br/ccivil_03/_ato2019-2022/2021/lei/L14133.htm</vt:lpwstr>
      </vt:variant>
      <vt:variant>
        <vt:lpwstr/>
      </vt:variant>
      <vt:variant>
        <vt:i4>3473517</vt:i4>
      </vt:variant>
      <vt:variant>
        <vt:i4>318</vt:i4>
      </vt:variant>
      <vt:variant>
        <vt:i4>0</vt:i4>
      </vt:variant>
      <vt:variant>
        <vt:i4>5</vt:i4>
      </vt:variant>
      <vt:variant>
        <vt:lpwstr>https://www.gov.br/compras/pt-br/acesso-a-informacao/legislacao/instrucoes-normativas/instrucao-normativa-seges-me-no-81-de-25-de-novembro-de-2022</vt:lpwstr>
      </vt:variant>
      <vt:variant>
        <vt:lpwstr>art8</vt:lpwstr>
      </vt:variant>
      <vt:variant>
        <vt:i4>3932269</vt:i4>
      </vt:variant>
      <vt:variant>
        <vt:i4>315</vt:i4>
      </vt:variant>
      <vt:variant>
        <vt:i4>0</vt:i4>
      </vt:variant>
      <vt:variant>
        <vt:i4>5</vt:i4>
      </vt:variant>
      <vt:variant>
        <vt:lpwstr>https://www.gov.br/compras/pt-br/acesso-a-informacao/legislacao/instrucoes-normativas/instrucao-normativa-seges-me-no-81-de-25-de-novembro-de-2022</vt:lpwstr>
      </vt:variant>
      <vt:variant>
        <vt:lpwstr>art10</vt:lpwstr>
      </vt:variant>
      <vt:variant>
        <vt:i4>6422634</vt:i4>
      </vt:variant>
      <vt:variant>
        <vt:i4>312</vt:i4>
      </vt:variant>
      <vt:variant>
        <vt:i4>0</vt:i4>
      </vt:variant>
      <vt:variant>
        <vt:i4>5</vt:i4>
      </vt:variant>
      <vt:variant>
        <vt:lpwstr>https://www.planalto.gov.br/ccivil_03/_ato2011-2014/2011/lei/l12527.htm</vt:lpwstr>
      </vt:variant>
      <vt:variant>
        <vt:lpwstr/>
      </vt:variant>
      <vt:variant>
        <vt:i4>6881398</vt:i4>
      </vt:variant>
      <vt:variant>
        <vt:i4>309</vt:i4>
      </vt:variant>
      <vt:variant>
        <vt:i4>0</vt:i4>
      </vt:variant>
      <vt:variant>
        <vt:i4>5</vt:i4>
      </vt:variant>
      <vt:variant>
        <vt:lpwstr>http://www.planalto.gov.br/ccivil_03/_ato2019-2022/2021/lei/L14133.htm</vt:lpwstr>
      </vt:variant>
      <vt:variant>
        <vt:lpwstr/>
      </vt:variant>
      <vt:variant>
        <vt:i4>6684787</vt:i4>
      </vt:variant>
      <vt:variant>
        <vt:i4>306</vt:i4>
      </vt:variant>
      <vt:variant>
        <vt:i4>0</vt:i4>
      </vt:variant>
      <vt:variant>
        <vt:i4>5</vt:i4>
      </vt:variant>
      <vt:variant>
        <vt:lpwstr>http://www.planalto.gov.br/ccivil_03/_ato2019-2022/2021/decreto/D10922.htm</vt:lpwstr>
      </vt:variant>
      <vt:variant>
        <vt:lpwstr/>
      </vt:variant>
      <vt:variant>
        <vt:i4>6881398</vt:i4>
      </vt:variant>
      <vt:variant>
        <vt:i4>303</vt:i4>
      </vt:variant>
      <vt:variant>
        <vt:i4>0</vt:i4>
      </vt:variant>
      <vt:variant>
        <vt:i4>5</vt:i4>
      </vt:variant>
      <vt:variant>
        <vt:lpwstr>http://www.planalto.gov.br/ccivil_03/_ato2019-2022/2021/lei/L14133.htm</vt:lpwstr>
      </vt:variant>
      <vt:variant>
        <vt:lpwstr/>
      </vt:variant>
      <vt:variant>
        <vt:i4>6881398</vt:i4>
      </vt:variant>
      <vt:variant>
        <vt:i4>300</vt:i4>
      </vt:variant>
      <vt:variant>
        <vt:i4>0</vt:i4>
      </vt:variant>
      <vt:variant>
        <vt:i4>5</vt:i4>
      </vt:variant>
      <vt:variant>
        <vt:lpwstr>http://www.planalto.gov.br/ccivil_03/_ato2019-2022/2021/lei/L14133.htm</vt:lpwstr>
      </vt:variant>
      <vt:variant>
        <vt:lpwstr/>
      </vt:variant>
      <vt:variant>
        <vt:i4>6422582</vt:i4>
      </vt:variant>
      <vt:variant>
        <vt:i4>297</vt:i4>
      </vt:variant>
      <vt:variant>
        <vt:i4>0</vt:i4>
      </vt:variant>
      <vt:variant>
        <vt:i4>5</vt:i4>
      </vt:variant>
      <vt:variant>
        <vt:lpwstr>https://www.gov.br/compras/pt-br/acesso-a-informacao/legislacao/instrucoes-normativas/instrucao-normativa-no-73-de-5-de-agosto-de-2020</vt:lpwstr>
      </vt:variant>
      <vt:variant>
        <vt:lpwstr/>
      </vt:variant>
      <vt:variant>
        <vt:i4>2687075</vt:i4>
      </vt:variant>
      <vt:variant>
        <vt:i4>294</vt:i4>
      </vt:variant>
      <vt:variant>
        <vt:i4>0</vt:i4>
      </vt:variant>
      <vt:variant>
        <vt:i4>5</vt:i4>
      </vt:variant>
      <vt:variant>
        <vt:lpwstr>http://www.planalto.gov.br/ccivil_03/_ato2019-2022/2021/lei/L14133.htm</vt:lpwstr>
      </vt:variant>
      <vt:variant>
        <vt:lpwstr>art24</vt:lpwstr>
      </vt:variant>
      <vt:variant>
        <vt:i4>8323192</vt:i4>
      </vt:variant>
      <vt:variant>
        <vt:i4>291</vt:i4>
      </vt:variant>
      <vt:variant>
        <vt:i4>0</vt:i4>
      </vt:variant>
      <vt:variant>
        <vt:i4>5</vt:i4>
      </vt:variant>
      <vt:variant>
        <vt:lpwstr>https://www.gov.br/compras/pt-br/acesso-a-informacao/legislacao/instrucoes-normativas/instrucao-normativa-seges-me-no-81-de-25-de-novembro-de-2022</vt:lpwstr>
      </vt:variant>
      <vt:variant>
        <vt:lpwstr/>
      </vt:variant>
      <vt:variant>
        <vt:i4>2228328</vt:i4>
      </vt:variant>
      <vt:variant>
        <vt:i4>288</vt:i4>
      </vt:variant>
      <vt:variant>
        <vt:i4>0</vt:i4>
      </vt:variant>
      <vt:variant>
        <vt:i4>5</vt:i4>
      </vt:variant>
      <vt:variant>
        <vt:lpwstr>https://www.gov.br/compras/pt-br/acesso-a-informacao/legislacao/instrucoes-normativas/instrucao-normativa-seges-me-no-65-de-7-de-julho-de-2021</vt:lpwstr>
      </vt:variant>
      <vt:variant>
        <vt:lpwstr/>
      </vt:variant>
      <vt:variant>
        <vt:i4>2687075</vt:i4>
      </vt:variant>
      <vt:variant>
        <vt:i4>285</vt:i4>
      </vt:variant>
      <vt:variant>
        <vt:i4>0</vt:i4>
      </vt:variant>
      <vt:variant>
        <vt:i4>5</vt:i4>
      </vt:variant>
      <vt:variant>
        <vt:lpwstr>http://www.planalto.gov.br/ccivil_03/_ato2019-2022/2021/lei/L14133.htm</vt:lpwstr>
      </vt:variant>
      <vt:variant>
        <vt:lpwstr>art23</vt:lpwstr>
      </vt:variant>
      <vt:variant>
        <vt:i4>9044052</vt:i4>
      </vt:variant>
      <vt:variant>
        <vt:i4>282</vt:i4>
      </vt:variant>
      <vt:variant>
        <vt:i4>0</vt:i4>
      </vt:variant>
      <vt:variant>
        <vt:i4>5</vt:i4>
      </vt:variant>
      <vt:variant>
        <vt:lpwstr>http://www.planalto.gov.br/ccivil_03/_ato2019-2022/2021/lei/L14133.htm</vt:lpwstr>
      </vt:variant>
      <vt:variant>
        <vt:lpwstr>art67§9</vt:lpwstr>
      </vt:variant>
      <vt:variant>
        <vt:i4>5308439</vt:i4>
      </vt:variant>
      <vt:variant>
        <vt:i4>279</vt:i4>
      </vt:variant>
      <vt:variant>
        <vt:i4>0</vt:i4>
      </vt:variant>
      <vt:variant>
        <vt:i4>5</vt:i4>
      </vt:variant>
      <vt:variant>
        <vt:lpwstr>https://antigo.agu.gov.br/page/atos/detalhe/idato/1778660</vt:lpwstr>
      </vt:variant>
      <vt:variant>
        <vt:lpwstr/>
      </vt:variant>
      <vt:variant>
        <vt:i4>1900593</vt:i4>
      </vt:variant>
      <vt:variant>
        <vt:i4>276</vt:i4>
      </vt:variant>
      <vt:variant>
        <vt:i4>0</vt:i4>
      </vt:variant>
      <vt:variant>
        <vt:i4>5</vt:i4>
      </vt:variant>
      <vt:variant>
        <vt:lpwstr>https://sapiens.agu.gov.br/valida_publico?id=701283242</vt:lpwstr>
      </vt:variant>
      <vt:variant>
        <vt:lpwstr/>
      </vt:variant>
      <vt:variant>
        <vt:i4>6946859</vt:i4>
      </vt:variant>
      <vt:variant>
        <vt:i4>273</vt:i4>
      </vt:variant>
      <vt:variant>
        <vt:i4>0</vt:i4>
      </vt:variant>
      <vt:variant>
        <vt:i4>5</vt:i4>
      </vt:variant>
      <vt:variant>
        <vt:lpwstr>http://www.planalto.gov.br/ccivil_03/_ato2019-2022/2021/lei/L14133.htm</vt:lpwstr>
      </vt:variant>
      <vt:variant>
        <vt:lpwstr>art69%C2%A71</vt:lpwstr>
      </vt:variant>
      <vt:variant>
        <vt:i4>2097176</vt:i4>
      </vt:variant>
      <vt:variant>
        <vt:i4>270</vt:i4>
      </vt:variant>
      <vt:variant>
        <vt:i4>0</vt:i4>
      </vt:variant>
      <vt:variant>
        <vt:i4>5</vt:i4>
      </vt:variant>
      <vt:variant>
        <vt:lpwstr>https://www.planalto.gov.br/ccivil_03/constituicao/constituicao.htm</vt:lpwstr>
      </vt:variant>
      <vt:variant>
        <vt:lpwstr/>
      </vt:variant>
      <vt:variant>
        <vt:i4>2883683</vt:i4>
      </vt:variant>
      <vt:variant>
        <vt:i4>267</vt:i4>
      </vt:variant>
      <vt:variant>
        <vt:i4>0</vt:i4>
      </vt:variant>
      <vt:variant>
        <vt:i4>5</vt:i4>
      </vt:variant>
      <vt:variant>
        <vt:lpwstr>http://www.planalto.gov.br/ccivil_03/_ato2019-2022/2021/lei/L14133.htm</vt:lpwstr>
      </vt:variant>
      <vt:variant>
        <vt:lpwstr>art70</vt:lpwstr>
      </vt:variant>
      <vt:variant>
        <vt:i4>2949219</vt:i4>
      </vt:variant>
      <vt:variant>
        <vt:i4>264</vt:i4>
      </vt:variant>
      <vt:variant>
        <vt:i4>0</vt:i4>
      </vt:variant>
      <vt:variant>
        <vt:i4>5</vt:i4>
      </vt:variant>
      <vt:variant>
        <vt:lpwstr>http://www.planalto.gov.br/ccivil_03/_ato2019-2022/2021/lei/L14133.htm</vt:lpwstr>
      </vt:variant>
      <vt:variant>
        <vt:lpwstr>art68</vt:lpwstr>
      </vt:variant>
      <vt:variant>
        <vt:i4>3604563</vt:i4>
      </vt:variant>
      <vt:variant>
        <vt:i4>261</vt:i4>
      </vt:variant>
      <vt:variant>
        <vt:i4>0</vt:i4>
      </vt:variant>
      <vt:variant>
        <vt:i4>5</vt:i4>
      </vt:variant>
      <vt:variant>
        <vt:lpwstr>https://www.planalto.gov.br/ccivil_03/leis/l5172compilado.htm</vt:lpwstr>
      </vt:variant>
      <vt:variant>
        <vt:lpwstr>art193</vt:lpwstr>
      </vt:variant>
      <vt:variant>
        <vt:i4>2949219</vt:i4>
      </vt:variant>
      <vt:variant>
        <vt:i4>258</vt:i4>
      </vt:variant>
      <vt:variant>
        <vt:i4>0</vt:i4>
      </vt:variant>
      <vt:variant>
        <vt:i4>5</vt:i4>
      </vt:variant>
      <vt:variant>
        <vt:lpwstr>http://www.planalto.gov.br/ccivil_03/_ato2019-2022/2021/lei/L14133.htm</vt:lpwstr>
      </vt:variant>
      <vt:variant>
        <vt:lpwstr>art66</vt:lpwstr>
      </vt:variant>
      <vt:variant>
        <vt:i4>7340040</vt:i4>
      </vt:variant>
      <vt:variant>
        <vt:i4>255</vt:i4>
      </vt:variant>
      <vt:variant>
        <vt:i4>0</vt:i4>
      </vt:variant>
      <vt:variant>
        <vt:i4>5</vt:i4>
      </vt:variant>
      <vt:variant>
        <vt:lpwstr>https://www.planalto.gov.br/ccivil_03/leis/2002/l10406compilada.htm</vt:lpwstr>
      </vt:variant>
      <vt:variant>
        <vt:lpwstr>art44</vt:lpwstr>
      </vt:variant>
      <vt:variant>
        <vt:i4>2752619</vt:i4>
      </vt:variant>
      <vt:variant>
        <vt:i4>252</vt:i4>
      </vt:variant>
      <vt:variant>
        <vt:i4>0</vt:i4>
      </vt:variant>
      <vt:variant>
        <vt:i4>5</vt:i4>
      </vt:variant>
      <vt:variant>
        <vt:lpwstr>http://www.planalto.gov.br/ccivil_03/_ato2019-2022/2022/lei/L14382.htm</vt:lpwstr>
      </vt:variant>
      <vt:variant>
        <vt:lpwstr>art20</vt:lpwstr>
      </vt:variant>
      <vt:variant>
        <vt:i4>2228348</vt:i4>
      </vt:variant>
      <vt:variant>
        <vt:i4>249</vt:i4>
      </vt:variant>
      <vt:variant>
        <vt:i4>0</vt:i4>
      </vt:variant>
      <vt:variant>
        <vt:i4>5</vt:i4>
      </vt:variant>
      <vt:variant>
        <vt:lpwstr>https://www.planalto.gov.br/ccivil_03/_ato2019-2022/2021/lei/L14195.htm</vt:lpwstr>
      </vt:variant>
      <vt:variant>
        <vt:lpwstr>art41</vt:lpwstr>
      </vt:variant>
      <vt:variant>
        <vt:i4>108</vt:i4>
      </vt:variant>
      <vt:variant>
        <vt:i4>246</vt:i4>
      </vt:variant>
      <vt:variant>
        <vt:i4>0</vt:i4>
      </vt:variant>
      <vt:variant>
        <vt:i4>5</vt:i4>
      </vt:variant>
      <vt:variant>
        <vt:lpwstr>http://www.planalto.gov.br/ccivil_03/leis/l9454.htm</vt:lpwstr>
      </vt:variant>
      <vt:variant>
        <vt:lpwstr>art3</vt:lpwstr>
      </vt:variant>
      <vt:variant>
        <vt:i4>3014671</vt:i4>
      </vt:variant>
      <vt:variant>
        <vt:i4>243</vt:i4>
      </vt:variant>
      <vt:variant>
        <vt:i4>0</vt:i4>
      </vt:variant>
      <vt:variant>
        <vt:i4>5</vt:i4>
      </vt:variant>
      <vt:variant>
        <vt:lpwstr>https://www.planalto.gov.br/ccivil_03/leis/1980-1988/l7116.htm</vt:lpwstr>
      </vt:variant>
      <vt:variant>
        <vt:lpwstr/>
      </vt:variant>
      <vt:variant>
        <vt:i4>7143525</vt:i4>
      </vt:variant>
      <vt:variant>
        <vt:i4>240</vt:i4>
      </vt:variant>
      <vt:variant>
        <vt:i4>0</vt:i4>
      </vt:variant>
      <vt:variant>
        <vt:i4>5</vt:i4>
      </vt:variant>
      <vt:variant>
        <vt:lpwstr>https://www.planalto.gov.br/ccivil_03/_ato2019-2022/2022/decreto/D10977.htm</vt:lpwstr>
      </vt:variant>
      <vt:variant>
        <vt:lpwstr/>
      </vt:variant>
      <vt:variant>
        <vt:i4>6881398</vt:i4>
      </vt:variant>
      <vt:variant>
        <vt:i4>237</vt:i4>
      </vt:variant>
      <vt:variant>
        <vt:i4>0</vt:i4>
      </vt:variant>
      <vt:variant>
        <vt:i4>5</vt:i4>
      </vt:variant>
      <vt:variant>
        <vt:lpwstr>http://www.planalto.gov.br/ccivil_03/_ato2019-2022/2021/lei/L14133.htm</vt:lpwstr>
      </vt:variant>
      <vt:variant>
        <vt:lpwstr/>
      </vt:variant>
      <vt:variant>
        <vt:i4>8192127</vt:i4>
      </vt:variant>
      <vt:variant>
        <vt:i4>234</vt:i4>
      </vt:variant>
      <vt:variant>
        <vt:i4>0</vt:i4>
      </vt:variant>
      <vt:variant>
        <vt:i4>5</vt:i4>
      </vt:variant>
      <vt:variant>
        <vt:lpwstr>https://www.gov.br/compras/pt-br/acesso-a-informacao/legislacao/instrucoes-normativas/instrucao-normativa-seges-me-no-116-de-21-de-dezembro-de-2021</vt:lpwstr>
      </vt:variant>
      <vt:variant>
        <vt:lpwstr/>
      </vt:variant>
      <vt:variant>
        <vt:i4>6881398</vt:i4>
      </vt:variant>
      <vt:variant>
        <vt:i4>231</vt:i4>
      </vt:variant>
      <vt:variant>
        <vt:i4>0</vt:i4>
      </vt:variant>
      <vt:variant>
        <vt:i4>5</vt:i4>
      </vt:variant>
      <vt:variant>
        <vt:lpwstr>http://www.planalto.gov.br/ccivil_03/_ato2019-2022/2021/lei/L14133.htm</vt:lpwstr>
      </vt:variant>
      <vt:variant>
        <vt:lpwstr/>
      </vt:variant>
      <vt:variant>
        <vt:i4>6881398</vt:i4>
      </vt:variant>
      <vt:variant>
        <vt:i4>228</vt:i4>
      </vt:variant>
      <vt:variant>
        <vt:i4>0</vt:i4>
      </vt:variant>
      <vt:variant>
        <vt:i4>5</vt:i4>
      </vt:variant>
      <vt:variant>
        <vt:lpwstr>http://www.planalto.gov.br/ccivil_03/_ato2019-2022/2021/lei/L14133.htm</vt:lpwstr>
      </vt:variant>
      <vt:variant>
        <vt:lpwstr/>
      </vt:variant>
      <vt:variant>
        <vt:i4>6357005</vt:i4>
      </vt:variant>
      <vt:variant>
        <vt:i4>225</vt:i4>
      </vt:variant>
      <vt:variant>
        <vt:i4>0</vt:i4>
      </vt:variant>
      <vt:variant>
        <vt:i4>5</vt:i4>
      </vt:variant>
      <vt:variant>
        <vt:lpwstr>https://www.planalto.gov.br/ccivil_03/constituicao/constituicao.htm</vt:lpwstr>
      </vt:variant>
      <vt:variant>
        <vt:lpwstr>art37</vt:lpwstr>
      </vt:variant>
      <vt:variant>
        <vt:i4>6881398</vt:i4>
      </vt:variant>
      <vt:variant>
        <vt:i4>222</vt:i4>
      </vt:variant>
      <vt:variant>
        <vt:i4>0</vt:i4>
      </vt:variant>
      <vt:variant>
        <vt:i4>5</vt:i4>
      </vt:variant>
      <vt:variant>
        <vt:lpwstr>http://www.planalto.gov.br/ccivil_03/_ato2019-2022/2021/lei/L14133.htm</vt:lpwstr>
      </vt:variant>
      <vt:variant>
        <vt:lpwstr/>
      </vt:variant>
      <vt:variant>
        <vt:i4>1507428</vt:i4>
      </vt:variant>
      <vt:variant>
        <vt:i4>219</vt:i4>
      </vt:variant>
      <vt:variant>
        <vt:i4>0</vt:i4>
      </vt:variant>
      <vt:variant>
        <vt:i4>5</vt:i4>
      </vt:variant>
      <vt:variant>
        <vt:lpwstr>https://www.comprasgovernamentais.gov.br/images/conteudo/ArquivosCGNOR/fato_gerador.pdf</vt:lpwstr>
      </vt:variant>
      <vt:variant>
        <vt:lpwstr/>
      </vt:variant>
      <vt:variant>
        <vt:i4>655380</vt:i4>
      </vt:variant>
      <vt:variant>
        <vt:i4>216</vt:i4>
      </vt:variant>
      <vt:variant>
        <vt:i4>0</vt:i4>
      </vt:variant>
      <vt:variant>
        <vt:i4>5</vt:i4>
      </vt:variant>
      <vt:variant>
        <vt:lpwstr>https://www.gov.br/compras/pt-br/acesso-a-informacao/legislacao/instrucoes-normativas/instrucao-normativa-no-53-de-8-de-julho-de-2020</vt:lpwstr>
      </vt:variant>
      <vt:variant>
        <vt:lpwstr/>
      </vt:variant>
      <vt:variant>
        <vt:i4>9306198</vt:i4>
      </vt:variant>
      <vt:variant>
        <vt:i4>213</vt:i4>
      </vt:variant>
      <vt:variant>
        <vt:i4>0</vt:i4>
      </vt:variant>
      <vt:variant>
        <vt:i4>5</vt:i4>
      </vt:variant>
      <vt:variant>
        <vt:lpwstr>http://www.planalto.gov.br/ccivil_03/_ato2019-2022/2021/lei/L14133.htm</vt:lpwstr>
      </vt:variant>
      <vt:variant>
        <vt:lpwstr>art25§7</vt:lpwstr>
      </vt:variant>
      <vt:variant>
        <vt:i4>2949360</vt:i4>
      </vt:variant>
      <vt:variant>
        <vt:i4>210</vt:i4>
      </vt:variant>
      <vt:variant>
        <vt:i4>0</vt:i4>
      </vt:variant>
      <vt:variant>
        <vt:i4>5</vt:i4>
      </vt:variant>
      <vt:variant>
        <vt:lpwstr>http://www.planalto.gov.br/ccivil_03/_ato2019-2022/2021/lei/L14133.htm</vt:lpwstr>
      </vt:variant>
      <vt:variant>
        <vt:lpwstr>art145§2</vt:lpwstr>
      </vt:variant>
      <vt:variant>
        <vt:i4>2031703</vt:i4>
      </vt:variant>
      <vt:variant>
        <vt:i4>207</vt:i4>
      </vt:variant>
      <vt:variant>
        <vt:i4>0</vt:i4>
      </vt:variant>
      <vt:variant>
        <vt:i4>5</vt:i4>
      </vt:variant>
      <vt:variant>
        <vt:lpwstr>http://www.planalto.gov.br/ccivil_03/_ato2019-2022/2021/lei/L14133.htm</vt:lpwstr>
      </vt:variant>
      <vt:variant>
        <vt:lpwstr>art145</vt:lpwstr>
      </vt:variant>
      <vt:variant>
        <vt:i4>720980</vt:i4>
      </vt:variant>
      <vt:variant>
        <vt:i4>204</vt:i4>
      </vt:variant>
      <vt:variant>
        <vt:i4>0</vt:i4>
      </vt:variant>
      <vt:variant>
        <vt:i4>5</vt:i4>
      </vt:variant>
      <vt:variant>
        <vt:lpwstr>https://www.gov.br/compras/pt-br/acesso-a-informacao/legislacao/instrucoes-normativas/instrucao-normativa-seges-me-no-77-de-4-de-novembro-de-2022</vt:lpwstr>
      </vt:variant>
      <vt:variant>
        <vt:lpwstr>art7</vt:lpwstr>
      </vt:variant>
      <vt:variant>
        <vt:i4>5111873</vt:i4>
      </vt:variant>
      <vt:variant>
        <vt:i4>201</vt:i4>
      </vt:variant>
      <vt:variant>
        <vt:i4>0</vt:i4>
      </vt:variant>
      <vt:variant>
        <vt:i4>5</vt:i4>
      </vt:variant>
      <vt:variant>
        <vt:lpwstr>https://www.gov.br/compras/pt-br/acesso-a-informacao/legislacao/instrucoes-normativas/instrucao-normativa-seges-me-no-77-de-4-de-novembro-de-2022</vt:lpwstr>
      </vt:variant>
      <vt:variant>
        <vt:lpwstr/>
      </vt:variant>
      <vt:variant>
        <vt:i4>2687074</vt:i4>
      </vt:variant>
      <vt:variant>
        <vt:i4>198</vt:i4>
      </vt:variant>
      <vt:variant>
        <vt:i4>0</vt:i4>
      </vt:variant>
      <vt:variant>
        <vt:i4>5</vt:i4>
      </vt:variant>
      <vt:variant>
        <vt:lpwstr>http://www.planalto.gov.br/ccivil_03/_ato2019-2022/2022/decreto/D11246.htm</vt:lpwstr>
      </vt:variant>
      <vt:variant>
        <vt:lpwstr>art25</vt:lpwstr>
      </vt:variant>
      <vt:variant>
        <vt:i4>6881399</vt:i4>
      </vt:variant>
      <vt:variant>
        <vt:i4>195</vt:i4>
      </vt:variant>
      <vt:variant>
        <vt:i4>0</vt:i4>
      </vt:variant>
      <vt:variant>
        <vt:i4>5</vt:i4>
      </vt:variant>
      <vt:variant>
        <vt:lpwstr>http://www.planalto.gov.br/ccivil_03/_ato2019-2022/2022/decreto/D11246.htm</vt:lpwstr>
      </vt:variant>
      <vt:variant>
        <vt:lpwstr/>
      </vt:variant>
      <vt:variant>
        <vt:i4>2883683</vt:i4>
      </vt:variant>
      <vt:variant>
        <vt:i4>192</vt:i4>
      </vt:variant>
      <vt:variant>
        <vt:i4>0</vt:i4>
      </vt:variant>
      <vt:variant>
        <vt:i4>5</vt:i4>
      </vt:variant>
      <vt:variant>
        <vt:lpwstr>http://www.planalto.gov.br/ccivil_03/_ato2019-2022/2021/lei/L14133.htm</vt:lpwstr>
      </vt:variant>
      <vt:variant>
        <vt:lpwstr>art7</vt:lpwstr>
      </vt:variant>
      <vt:variant>
        <vt:i4>8323192</vt:i4>
      </vt:variant>
      <vt:variant>
        <vt:i4>189</vt:i4>
      </vt:variant>
      <vt:variant>
        <vt:i4>0</vt:i4>
      </vt:variant>
      <vt:variant>
        <vt:i4>5</vt:i4>
      </vt:variant>
      <vt:variant>
        <vt:lpwstr>https://www.gov.br/compras/pt-br/acesso-a-informacao/legislacao/instrucoes-normativas/instrucao-normativa-seges-me-no-81-de-25-de-novembro-de-2022</vt:lpwstr>
      </vt:variant>
      <vt:variant>
        <vt:lpwstr/>
      </vt:variant>
      <vt:variant>
        <vt:i4>4259961</vt:i4>
      </vt:variant>
      <vt:variant>
        <vt:i4>186</vt:i4>
      </vt:variant>
      <vt:variant>
        <vt:i4>0</vt:i4>
      </vt:variant>
      <vt:variant>
        <vt:i4>5</vt:i4>
      </vt:variant>
      <vt:variant>
        <vt:lpwstr>http://www.planalto.gov.br/ccivil_03/leis/l9454.htm</vt:lpwstr>
      </vt:variant>
      <vt:variant>
        <vt:lpwstr/>
      </vt:variant>
      <vt:variant>
        <vt:i4>3014671</vt:i4>
      </vt:variant>
      <vt:variant>
        <vt:i4>183</vt:i4>
      </vt:variant>
      <vt:variant>
        <vt:i4>0</vt:i4>
      </vt:variant>
      <vt:variant>
        <vt:i4>5</vt:i4>
      </vt:variant>
      <vt:variant>
        <vt:lpwstr>https://www.planalto.gov.br/ccivil_03/LEIS/1980-1988/L7116.htm</vt:lpwstr>
      </vt:variant>
      <vt:variant>
        <vt:lpwstr/>
      </vt:variant>
      <vt:variant>
        <vt:i4>7143525</vt:i4>
      </vt:variant>
      <vt:variant>
        <vt:i4>180</vt:i4>
      </vt:variant>
      <vt:variant>
        <vt:i4>0</vt:i4>
      </vt:variant>
      <vt:variant>
        <vt:i4>5</vt:i4>
      </vt:variant>
      <vt:variant>
        <vt:lpwstr>https://www.planalto.gov.br/ccivil_03/_ato2019-2022/2022/decreto/d10977.htm</vt:lpwstr>
      </vt:variant>
      <vt:variant>
        <vt:lpwstr/>
      </vt:variant>
      <vt:variant>
        <vt:i4>5111909</vt:i4>
      </vt:variant>
      <vt:variant>
        <vt:i4>177</vt:i4>
      </vt:variant>
      <vt:variant>
        <vt:i4>0</vt:i4>
      </vt:variant>
      <vt:variant>
        <vt:i4>5</vt:i4>
      </vt:variant>
      <vt:variant>
        <vt:lpwstr>http://www.planalto.gov.br/ccivil_03/leis/l8666cons.htm</vt:lpwstr>
      </vt:variant>
      <vt:variant>
        <vt:lpwstr/>
      </vt:variant>
      <vt:variant>
        <vt:i4>9044048</vt:i4>
      </vt:variant>
      <vt:variant>
        <vt:i4>174</vt:i4>
      </vt:variant>
      <vt:variant>
        <vt:i4>0</vt:i4>
      </vt:variant>
      <vt:variant>
        <vt:i4>5</vt:i4>
      </vt:variant>
      <vt:variant>
        <vt:lpwstr>http://www.planalto.gov.br/ccivil_03/_ato2019-2022/2021/lei/L14133.htm</vt:lpwstr>
      </vt:variant>
      <vt:variant>
        <vt:lpwstr>art63§2</vt:lpwstr>
      </vt:variant>
      <vt:variant>
        <vt:i4>6881398</vt:i4>
      </vt:variant>
      <vt:variant>
        <vt:i4>171</vt:i4>
      </vt:variant>
      <vt:variant>
        <vt:i4>0</vt:i4>
      </vt:variant>
      <vt:variant>
        <vt:i4>5</vt:i4>
      </vt:variant>
      <vt:variant>
        <vt:lpwstr>http://www.planalto.gov.br/ccivil_03/_ato2019-2022/2021/lei/L14133.htm</vt:lpwstr>
      </vt:variant>
      <vt:variant>
        <vt:lpwstr/>
      </vt:variant>
      <vt:variant>
        <vt:i4>1572945</vt:i4>
      </vt:variant>
      <vt:variant>
        <vt:i4>168</vt:i4>
      </vt:variant>
      <vt:variant>
        <vt:i4>0</vt:i4>
      </vt:variant>
      <vt:variant>
        <vt:i4>5</vt:i4>
      </vt:variant>
      <vt:variant>
        <vt:lpwstr>http://www.planalto.gov.br/ccivil_03/_ato2019-2022/2021/lei/L14133.htm</vt:lpwstr>
      </vt:variant>
      <vt:variant>
        <vt:lpwstr>art122</vt:lpwstr>
      </vt:variant>
      <vt:variant>
        <vt:i4>1966164</vt:i4>
      </vt:variant>
      <vt:variant>
        <vt:i4>165</vt:i4>
      </vt:variant>
      <vt:variant>
        <vt:i4>0</vt:i4>
      </vt:variant>
      <vt:variant>
        <vt:i4>5</vt:i4>
      </vt:variant>
      <vt:variant>
        <vt:lpwstr>http://www.planalto.gov.br/ccivil_03/_ato2019-2022/2021/lei/L14133.htm</vt:lpwstr>
      </vt:variant>
      <vt:variant>
        <vt:lpwstr>art174</vt:lpwstr>
      </vt:variant>
      <vt:variant>
        <vt:i4>4325466</vt:i4>
      </vt:variant>
      <vt:variant>
        <vt:i4>162</vt:i4>
      </vt:variant>
      <vt:variant>
        <vt:i4>0</vt:i4>
      </vt:variant>
      <vt:variant>
        <vt:i4>5</vt:i4>
      </vt:variant>
      <vt:variant>
        <vt:lpwstr>https://www.gov.br/compras/pt-br/acesso-a-informacao/legislacao/instrucoes-normativas/instrucao-normativa-seges-no-58-de-8-de-agosto-de-2022</vt:lpwstr>
      </vt:variant>
      <vt:variant>
        <vt:lpwstr/>
      </vt:variant>
      <vt:variant>
        <vt:i4>8323192</vt:i4>
      </vt:variant>
      <vt:variant>
        <vt:i4>159</vt:i4>
      </vt:variant>
      <vt:variant>
        <vt:i4>0</vt:i4>
      </vt:variant>
      <vt:variant>
        <vt:i4>5</vt:i4>
      </vt:variant>
      <vt:variant>
        <vt:lpwstr>https://www.gov.br/compras/pt-br/acesso-a-informacao/legislacao/instrucoes-normativas/instrucao-normativa-seges-me-no-81-de-25-de-novembro-de-2022</vt:lpwstr>
      </vt:variant>
      <vt:variant>
        <vt:lpwstr/>
      </vt:variant>
      <vt:variant>
        <vt:i4>3080291</vt:i4>
      </vt:variant>
      <vt:variant>
        <vt:i4>156</vt:i4>
      </vt:variant>
      <vt:variant>
        <vt:i4>0</vt:i4>
      </vt:variant>
      <vt:variant>
        <vt:i4>5</vt:i4>
      </vt:variant>
      <vt:variant>
        <vt:lpwstr>http://www.planalto.gov.br/ccivil_03/_ato2019-2022/2021/lei/L14133.htm</vt:lpwstr>
      </vt:variant>
      <vt:variant>
        <vt:lpwstr>art43</vt:lpwstr>
      </vt:variant>
      <vt:variant>
        <vt:i4>6619178</vt:i4>
      </vt:variant>
      <vt:variant>
        <vt:i4>153</vt:i4>
      </vt:variant>
      <vt:variant>
        <vt:i4>0</vt:i4>
      </vt:variant>
      <vt:variant>
        <vt:i4>5</vt:i4>
      </vt:variant>
      <vt:variant>
        <vt:lpwstr>https://doacoes.gov.br/</vt:lpwstr>
      </vt:variant>
      <vt:variant>
        <vt:lpwstr/>
      </vt:variant>
      <vt:variant>
        <vt:i4>2228350</vt:i4>
      </vt:variant>
      <vt:variant>
        <vt:i4>150</vt:i4>
      </vt:variant>
      <vt:variant>
        <vt:i4>0</vt:i4>
      </vt:variant>
      <vt:variant>
        <vt:i4>5</vt:i4>
      </vt:variant>
      <vt:variant>
        <vt:lpwstr>https://www.planalto.gov.br/ccivil_03/_ato2007-2010/2010/lei/l12305.htm</vt:lpwstr>
      </vt:variant>
      <vt:variant>
        <vt:lpwstr>art7</vt:lpwstr>
      </vt:variant>
      <vt:variant>
        <vt:i4>589903</vt:i4>
      </vt:variant>
      <vt:variant>
        <vt:i4>147</vt:i4>
      </vt:variant>
      <vt:variant>
        <vt:i4>0</vt:i4>
      </vt:variant>
      <vt:variant>
        <vt:i4>5</vt:i4>
      </vt:variant>
      <vt:variant>
        <vt:lpwstr>https://www.gov.br/compras/pt-br/acesso-a-informacao/legislacao/instrucoes-normativas/instrucao-normativa-seges-no-58-de-8-de-agosto-de-2022</vt:lpwstr>
      </vt:variant>
      <vt:variant>
        <vt:lpwstr>art9</vt:lpwstr>
      </vt:variant>
      <vt:variant>
        <vt:i4>5898337</vt:i4>
      </vt:variant>
      <vt:variant>
        <vt:i4>144</vt:i4>
      </vt:variant>
      <vt:variant>
        <vt:i4>0</vt:i4>
      </vt:variant>
      <vt:variant>
        <vt:i4>5</vt:i4>
      </vt:variant>
      <vt:variant>
        <vt:lpwstr>https://www.gov.br/agu/pt-br/composicao/cgu/cgu/guias/gncs_082022.pdf</vt:lpwstr>
      </vt:variant>
      <vt:variant>
        <vt:lpwstr/>
      </vt:variant>
      <vt:variant>
        <vt:i4>3670248</vt:i4>
      </vt:variant>
      <vt:variant>
        <vt:i4>141</vt:i4>
      </vt:variant>
      <vt:variant>
        <vt:i4>0</vt:i4>
      </vt:variant>
      <vt:variant>
        <vt:i4>5</vt:i4>
      </vt:variant>
      <vt:variant>
        <vt:lpwstr>https://www.gov.br/compras/pt-br/acesso-a-informacao/legislacao/instrucoes-normativas/instrucao-normativa-seges-no-58-de-8-de-agosto-de-2022</vt:lpwstr>
      </vt:variant>
      <vt:variant>
        <vt:lpwstr>art9§1</vt:lpwstr>
      </vt:variant>
      <vt:variant>
        <vt:i4>1179697</vt:i4>
      </vt:variant>
      <vt:variant>
        <vt:i4>138</vt:i4>
      </vt:variant>
      <vt:variant>
        <vt:i4>0</vt:i4>
      </vt:variant>
      <vt:variant>
        <vt:i4>5</vt:i4>
      </vt:variant>
      <vt:variant>
        <vt:lpwstr>https://sapiens.agu.gov.br/valida_publico?id=627431320</vt:lpwstr>
      </vt:variant>
      <vt:variant>
        <vt:lpwstr/>
      </vt:variant>
      <vt:variant>
        <vt:i4>6750315</vt:i4>
      </vt:variant>
      <vt:variant>
        <vt:i4>135</vt:i4>
      </vt:variant>
      <vt:variant>
        <vt:i4>0</vt:i4>
      </vt:variant>
      <vt:variant>
        <vt:i4>5</vt:i4>
      </vt:variant>
      <vt:variant>
        <vt:lpwstr>https://www.planalto.gov.br/ccivil_03/_ato2007-2010/2010/lei/l12305.htm</vt:lpwstr>
      </vt:variant>
      <vt:variant>
        <vt:lpwstr/>
      </vt:variant>
      <vt:variant>
        <vt:i4>1179697</vt:i4>
      </vt:variant>
      <vt:variant>
        <vt:i4>132</vt:i4>
      </vt:variant>
      <vt:variant>
        <vt:i4>0</vt:i4>
      </vt:variant>
      <vt:variant>
        <vt:i4>5</vt:i4>
      </vt:variant>
      <vt:variant>
        <vt:lpwstr>https://sapiens.agu.gov.br/valida_publico?id=627431320</vt:lpwstr>
      </vt:variant>
      <vt:variant>
        <vt:lpwstr/>
      </vt:variant>
      <vt:variant>
        <vt:i4>589903</vt:i4>
      </vt:variant>
      <vt:variant>
        <vt:i4>129</vt:i4>
      </vt:variant>
      <vt:variant>
        <vt:i4>0</vt:i4>
      </vt:variant>
      <vt:variant>
        <vt:i4>5</vt:i4>
      </vt:variant>
      <vt:variant>
        <vt:lpwstr>https://www.gov.br/compras/pt-br/acesso-a-informacao/legislacao/instrucoes-normativas/instrucao-normativa-seges-no-58-de-8-de-agosto-de-2022</vt:lpwstr>
      </vt:variant>
      <vt:variant>
        <vt:lpwstr>art9</vt:lpwstr>
      </vt:variant>
      <vt:variant>
        <vt:i4>3211388</vt:i4>
      </vt:variant>
      <vt:variant>
        <vt:i4>126</vt:i4>
      </vt:variant>
      <vt:variant>
        <vt:i4>0</vt:i4>
      </vt:variant>
      <vt:variant>
        <vt:i4>5</vt:i4>
      </vt:variant>
      <vt:variant>
        <vt:lpwstr>https://www.gov.br/compras/pt-br/acesso-a-informacao/legislacao/instrucoes-normativas/instrucao-normativa-seges-me-no-73-de-30-de-setembro-de-2022</vt:lpwstr>
      </vt:variant>
      <vt:variant>
        <vt:lpwstr>art11</vt:lpwstr>
      </vt:variant>
      <vt:variant>
        <vt:i4>7077935</vt:i4>
      </vt:variant>
      <vt:variant>
        <vt:i4>123</vt:i4>
      </vt:variant>
      <vt:variant>
        <vt:i4>0</vt:i4>
      </vt:variant>
      <vt:variant>
        <vt:i4>5</vt:i4>
      </vt:variant>
      <vt:variant>
        <vt:lpwstr>https://www.gov.br/compras/pt-br/acesso-a-informacao/legislacao/portarias/portaria-seges-me-no-8-678-de-19-de-julho-de-2021</vt:lpwstr>
      </vt:variant>
      <vt:variant>
        <vt:lpwstr>art8</vt:lpwstr>
      </vt:variant>
      <vt:variant>
        <vt:i4>2490426</vt:i4>
      </vt:variant>
      <vt:variant>
        <vt:i4>120</vt:i4>
      </vt:variant>
      <vt:variant>
        <vt:i4>0</vt:i4>
      </vt:variant>
      <vt:variant>
        <vt:i4>5</vt:i4>
      </vt:variant>
      <vt:variant>
        <vt:lpwstr>https://www.gov.br/compras/pt-br/acesso-a-informacao/legislacao/portarias/portaria-seges-me-no-8-678-de-19-de-julho-de-2021</vt:lpwstr>
      </vt:variant>
      <vt:variant>
        <vt:lpwstr/>
      </vt:variant>
      <vt:variant>
        <vt:i4>4325466</vt:i4>
      </vt:variant>
      <vt:variant>
        <vt:i4>117</vt:i4>
      </vt:variant>
      <vt:variant>
        <vt:i4>0</vt:i4>
      </vt:variant>
      <vt:variant>
        <vt:i4>5</vt:i4>
      </vt:variant>
      <vt:variant>
        <vt:lpwstr>https://www.gov.br/compras/pt-br/acesso-a-informacao/legislacao/instrucoes-normativas/instrucao-normativa-seges-no-58-de-8-de-agosto-de-2022</vt:lpwstr>
      </vt:variant>
      <vt:variant>
        <vt:lpwstr/>
      </vt:variant>
      <vt:variant>
        <vt:i4>8323192</vt:i4>
      </vt:variant>
      <vt:variant>
        <vt:i4>114</vt:i4>
      </vt:variant>
      <vt:variant>
        <vt:i4>0</vt:i4>
      </vt:variant>
      <vt:variant>
        <vt:i4>5</vt:i4>
      </vt:variant>
      <vt:variant>
        <vt:lpwstr>https://www.gov.br/compras/pt-br/acesso-a-informacao/legislacao/instrucoes-normativas/instrucao-normativa-seges-me-no-81-de-25-de-novembro-de-2022</vt:lpwstr>
      </vt:variant>
      <vt:variant>
        <vt:lpwstr/>
      </vt:variant>
      <vt:variant>
        <vt:i4>4325466</vt:i4>
      </vt:variant>
      <vt:variant>
        <vt:i4>111</vt:i4>
      </vt:variant>
      <vt:variant>
        <vt:i4>0</vt:i4>
      </vt:variant>
      <vt:variant>
        <vt:i4>5</vt:i4>
      </vt:variant>
      <vt:variant>
        <vt:lpwstr>https://www.gov.br/compras/pt-br/acesso-a-informacao/legislacao/instrucoes-normativas/instrucao-normativa-seges-no-58-de-8-de-agosto-de-2022</vt:lpwstr>
      </vt:variant>
      <vt:variant>
        <vt:lpwstr/>
      </vt:variant>
      <vt:variant>
        <vt:i4>8323192</vt:i4>
      </vt:variant>
      <vt:variant>
        <vt:i4>108</vt:i4>
      </vt:variant>
      <vt:variant>
        <vt:i4>0</vt:i4>
      </vt:variant>
      <vt:variant>
        <vt:i4>5</vt:i4>
      </vt:variant>
      <vt:variant>
        <vt:lpwstr>https://www.gov.br/compras/pt-br/acesso-a-informacao/legislacao/instrucoes-normativas/instrucao-normativa-seges-me-no-81-de-25-de-novembro-de-2022</vt:lpwstr>
      </vt:variant>
      <vt:variant>
        <vt:lpwstr/>
      </vt:variant>
      <vt:variant>
        <vt:i4>5898337</vt:i4>
      </vt:variant>
      <vt:variant>
        <vt:i4>105</vt:i4>
      </vt:variant>
      <vt:variant>
        <vt:i4>0</vt:i4>
      </vt:variant>
      <vt:variant>
        <vt:i4>5</vt:i4>
      </vt:variant>
      <vt:variant>
        <vt:lpwstr>https://www.gov.br/agu/pt-br/composicao/cgu/cgu/guias/gncs_082022.pdf</vt:lpwstr>
      </vt:variant>
      <vt:variant>
        <vt:lpwstr/>
      </vt:variant>
      <vt:variant>
        <vt:i4>3407981</vt:i4>
      </vt:variant>
      <vt:variant>
        <vt:i4>102</vt:i4>
      </vt:variant>
      <vt:variant>
        <vt:i4>0</vt:i4>
      </vt:variant>
      <vt:variant>
        <vt:i4>5</vt:i4>
      </vt:variant>
      <vt:variant>
        <vt:lpwstr>https://www.gov.br/compras/pt-br/acesso-a-informacao/legislacao/instrucoes-normativas/instrucao-normativa-seges-me-no-81-de-25-de-novembro-de-2022</vt:lpwstr>
      </vt:variant>
      <vt:variant>
        <vt:lpwstr>art9</vt:lpwstr>
      </vt:variant>
      <vt:variant>
        <vt:i4>2949219</vt:i4>
      </vt:variant>
      <vt:variant>
        <vt:i4>99</vt:i4>
      </vt:variant>
      <vt:variant>
        <vt:i4>0</vt:i4>
      </vt:variant>
      <vt:variant>
        <vt:i4>5</vt:i4>
      </vt:variant>
      <vt:variant>
        <vt:lpwstr>http://www.planalto.gov.br/ccivil_03/_ato2019-2022/2021/lei/L14133.htm</vt:lpwstr>
      </vt:variant>
      <vt:variant>
        <vt:lpwstr>art6</vt:lpwstr>
      </vt:variant>
      <vt:variant>
        <vt:i4>2883683</vt:i4>
      </vt:variant>
      <vt:variant>
        <vt:i4>96</vt:i4>
      </vt:variant>
      <vt:variant>
        <vt:i4>0</vt:i4>
      </vt:variant>
      <vt:variant>
        <vt:i4>5</vt:i4>
      </vt:variant>
      <vt:variant>
        <vt:lpwstr>http://www.planalto.gov.br/ccivil_03/_ato2019-2022/2021/lei/L14133.htm</vt:lpwstr>
      </vt:variant>
      <vt:variant>
        <vt:lpwstr>art74</vt:lpwstr>
      </vt:variant>
      <vt:variant>
        <vt:i4>5439582</vt:i4>
      </vt:variant>
      <vt:variant>
        <vt:i4>93</vt:i4>
      </vt:variant>
      <vt:variant>
        <vt:i4>0</vt:i4>
      </vt:variant>
      <vt:variant>
        <vt:i4>5</vt:i4>
      </vt:variant>
      <vt:variant>
        <vt:lpwstr>https://www.gov.br/compras/pt-br/acesso-a-informacao/legislacao/portarias/portaria-seges-me-no-938-de-2-de-fevereiro-de-2022</vt:lpwstr>
      </vt:variant>
      <vt:variant>
        <vt:lpwstr/>
      </vt:variant>
      <vt:variant>
        <vt:i4>8323192</vt:i4>
      </vt:variant>
      <vt:variant>
        <vt:i4>90</vt:i4>
      </vt:variant>
      <vt:variant>
        <vt:i4>0</vt:i4>
      </vt:variant>
      <vt:variant>
        <vt:i4>5</vt:i4>
      </vt:variant>
      <vt:variant>
        <vt:lpwstr>https://www.gov.br/compras/pt-br/acesso-a-informacao/legislacao/instrucoes-normativas/instrucao-normativa-seges-me-no-81-de-25-de-novembro-de-2022</vt:lpwstr>
      </vt:variant>
      <vt:variant>
        <vt:lpwstr/>
      </vt:variant>
      <vt:variant>
        <vt:i4>3080291</vt:i4>
      </vt:variant>
      <vt:variant>
        <vt:i4>87</vt:i4>
      </vt:variant>
      <vt:variant>
        <vt:i4>0</vt:i4>
      </vt:variant>
      <vt:variant>
        <vt:i4>5</vt:i4>
      </vt:variant>
      <vt:variant>
        <vt:lpwstr>http://www.planalto.gov.br/ccivil_03/_ato2019-2022/2021/lei/L14133.htm</vt:lpwstr>
      </vt:variant>
      <vt:variant>
        <vt:lpwstr>art47</vt:lpwstr>
      </vt:variant>
      <vt:variant>
        <vt:i4>8323192</vt:i4>
      </vt:variant>
      <vt:variant>
        <vt:i4>84</vt:i4>
      </vt:variant>
      <vt:variant>
        <vt:i4>0</vt:i4>
      </vt:variant>
      <vt:variant>
        <vt:i4>5</vt:i4>
      </vt:variant>
      <vt:variant>
        <vt:lpwstr>https://www.gov.br/compras/pt-br/acesso-a-informacao/legislacao/instrucoes-normativas/instrucao-normativa-seges-me-no-81-de-25-de-novembro-de-2022</vt:lpwstr>
      </vt:variant>
      <vt:variant>
        <vt:lpwstr/>
      </vt:variant>
      <vt:variant>
        <vt:i4>2949219</vt:i4>
      </vt:variant>
      <vt:variant>
        <vt:i4>81</vt:i4>
      </vt:variant>
      <vt:variant>
        <vt:i4>0</vt:i4>
      </vt:variant>
      <vt:variant>
        <vt:i4>5</vt:i4>
      </vt:variant>
      <vt:variant>
        <vt:lpwstr>http://www.planalto.gov.br/ccivil_03/_ato2019-2022/2021/lei/L14133.htm</vt:lpwstr>
      </vt:variant>
      <vt:variant>
        <vt:lpwstr>art6</vt:lpwstr>
      </vt:variant>
      <vt:variant>
        <vt:i4>6357069</vt:i4>
      </vt:variant>
      <vt:variant>
        <vt:i4>78</vt:i4>
      </vt:variant>
      <vt:variant>
        <vt:i4>0</vt:i4>
      </vt:variant>
      <vt:variant>
        <vt:i4>5</vt:i4>
      </vt:variant>
      <vt:variant>
        <vt:lpwstr>https://www.planalto.gov.br/ccivil_03/leis/1950-1969/L4150.htm</vt:lpwstr>
      </vt:variant>
      <vt:variant>
        <vt:lpwstr>:~:text=LEI%20N%C2%BA%204.150%2C%20DE%2021,T%C3%A9cnicas%20e%20d%C3%A1%20outras%20provid%C3%AAncias.</vt:lpwstr>
      </vt:variant>
      <vt:variant>
        <vt:i4>9371735</vt:i4>
      </vt:variant>
      <vt:variant>
        <vt:i4>75</vt:i4>
      </vt:variant>
      <vt:variant>
        <vt:i4>0</vt:i4>
      </vt:variant>
      <vt:variant>
        <vt:i4>5</vt:i4>
      </vt:variant>
      <vt:variant>
        <vt:lpwstr>http://www.planalto.gov.br/ccivil_03/_ato2019-2022/2021/lei/L14133.htm</vt:lpwstr>
      </vt:variant>
      <vt:variant>
        <vt:lpwstr>art34§1</vt:lpwstr>
      </vt:variant>
      <vt:variant>
        <vt:i4>7471209</vt:i4>
      </vt:variant>
      <vt:variant>
        <vt:i4>72</vt:i4>
      </vt:variant>
      <vt:variant>
        <vt:i4>0</vt:i4>
      </vt:variant>
      <vt:variant>
        <vt:i4>5</vt:i4>
      </vt:variant>
      <vt:variant>
        <vt:lpwstr>https://www.gov.br/compras/pt-br/acesso-a-informacao/legislacao/instrucoes-normativas/instrucao-normativa-seges-me-no-73-de-30-de-setembro-de-2022</vt:lpwstr>
      </vt:variant>
      <vt:variant>
        <vt:lpwstr/>
      </vt:variant>
      <vt:variant>
        <vt:i4>8323192</vt:i4>
      </vt:variant>
      <vt:variant>
        <vt:i4>69</vt:i4>
      </vt:variant>
      <vt:variant>
        <vt:i4>0</vt:i4>
      </vt:variant>
      <vt:variant>
        <vt:i4>5</vt:i4>
      </vt:variant>
      <vt:variant>
        <vt:lpwstr>https://www.gov.br/compras/pt-br/acesso-a-informacao/legislacao/instrucoes-normativas/instrucao-normativa-seges-me-no-81-de-25-de-novembro-de-2022</vt:lpwstr>
      </vt:variant>
      <vt:variant>
        <vt:lpwstr/>
      </vt:variant>
      <vt:variant>
        <vt:i4>4325466</vt:i4>
      </vt:variant>
      <vt:variant>
        <vt:i4>66</vt:i4>
      </vt:variant>
      <vt:variant>
        <vt:i4>0</vt:i4>
      </vt:variant>
      <vt:variant>
        <vt:i4>5</vt:i4>
      </vt:variant>
      <vt:variant>
        <vt:lpwstr>https://www.gov.br/compras/pt-br/acesso-a-informacao/legislacao/instrucoes-normativas/instrucao-normativa-seges-no-58-de-8-de-agosto-de-2022</vt:lpwstr>
      </vt:variant>
      <vt:variant>
        <vt:lpwstr/>
      </vt:variant>
      <vt:variant>
        <vt:i4>9240667</vt:i4>
      </vt:variant>
      <vt:variant>
        <vt:i4>63</vt:i4>
      </vt:variant>
      <vt:variant>
        <vt:i4>0</vt:i4>
      </vt:variant>
      <vt:variant>
        <vt:i4>5</vt:i4>
      </vt:variant>
      <vt:variant>
        <vt:lpwstr>http://www.planalto.gov.br/ccivil_03/_ato2019-2022/2021/lei/L14133.htm</vt:lpwstr>
      </vt:variant>
      <vt:variant>
        <vt:lpwstr>art18§1</vt:lpwstr>
      </vt:variant>
      <vt:variant>
        <vt:i4>3407981</vt:i4>
      </vt:variant>
      <vt:variant>
        <vt:i4>60</vt:i4>
      </vt:variant>
      <vt:variant>
        <vt:i4>0</vt:i4>
      </vt:variant>
      <vt:variant>
        <vt:i4>5</vt:i4>
      </vt:variant>
      <vt:variant>
        <vt:lpwstr>https://www.gov.br/compras/pt-br/acesso-a-informacao/legislacao/instrucoes-normativas/instrucao-normativa-seges-me-no-81-de-25-de-novembro-de-2022</vt:lpwstr>
      </vt:variant>
      <vt:variant>
        <vt:lpwstr>art9</vt:lpwstr>
      </vt:variant>
      <vt:variant>
        <vt:i4>4325466</vt:i4>
      </vt:variant>
      <vt:variant>
        <vt:i4>57</vt:i4>
      </vt:variant>
      <vt:variant>
        <vt:i4>0</vt:i4>
      </vt:variant>
      <vt:variant>
        <vt:i4>5</vt:i4>
      </vt:variant>
      <vt:variant>
        <vt:lpwstr>https://www.gov.br/compras/pt-br/acesso-a-informacao/legislacao/instrucoes-normativas/instrucao-normativa-seges-no-58-de-8-de-agosto-de-2022</vt:lpwstr>
      </vt:variant>
      <vt:variant>
        <vt:lpwstr/>
      </vt:variant>
      <vt:variant>
        <vt:i4>2949219</vt:i4>
      </vt:variant>
      <vt:variant>
        <vt:i4>54</vt:i4>
      </vt:variant>
      <vt:variant>
        <vt:i4>0</vt:i4>
      </vt:variant>
      <vt:variant>
        <vt:i4>5</vt:i4>
      </vt:variant>
      <vt:variant>
        <vt:lpwstr>http://www.planalto.gov.br/ccivil_03/_ato2019-2022/2021/lei/L14133.htm</vt:lpwstr>
      </vt:variant>
      <vt:variant>
        <vt:lpwstr>art6</vt:lpwstr>
      </vt:variant>
      <vt:variant>
        <vt:i4>1900627</vt:i4>
      </vt:variant>
      <vt:variant>
        <vt:i4>51</vt:i4>
      </vt:variant>
      <vt:variant>
        <vt:i4>0</vt:i4>
      </vt:variant>
      <vt:variant>
        <vt:i4>5</vt:i4>
      </vt:variant>
      <vt:variant>
        <vt:lpwstr>http://www.planalto.gov.br/ccivil_03/_ato2019-2022/2021/lei/L14133.htm</vt:lpwstr>
      </vt:variant>
      <vt:variant>
        <vt:lpwstr>art107</vt:lpwstr>
      </vt:variant>
      <vt:variant>
        <vt:i4>1835091</vt:i4>
      </vt:variant>
      <vt:variant>
        <vt:i4>48</vt:i4>
      </vt:variant>
      <vt:variant>
        <vt:i4>0</vt:i4>
      </vt:variant>
      <vt:variant>
        <vt:i4>5</vt:i4>
      </vt:variant>
      <vt:variant>
        <vt:lpwstr>http://www.planalto.gov.br/ccivil_03/_ato2019-2022/2021/lei/L14133.htm</vt:lpwstr>
      </vt:variant>
      <vt:variant>
        <vt:lpwstr>art106</vt:lpwstr>
      </vt:variant>
      <vt:variant>
        <vt:i4>2949219</vt:i4>
      </vt:variant>
      <vt:variant>
        <vt:i4>45</vt:i4>
      </vt:variant>
      <vt:variant>
        <vt:i4>0</vt:i4>
      </vt:variant>
      <vt:variant>
        <vt:i4>5</vt:i4>
      </vt:variant>
      <vt:variant>
        <vt:lpwstr>http://www.planalto.gov.br/ccivil_03/_ato2019-2022/2021/lei/L14133.htm</vt:lpwstr>
      </vt:variant>
      <vt:variant>
        <vt:lpwstr>art6</vt:lpwstr>
      </vt:variant>
      <vt:variant>
        <vt:i4>1835091</vt:i4>
      </vt:variant>
      <vt:variant>
        <vt:i4>42</vt:i4>
      </vt:variant>
      <vt:variant>
        <vt:i4>0</vt:i4>
      </vt:variant>
      <vt:variant>
        <vt:i4>5</vt:i4>
      </vt:variant>
      <vt:variant>
        <vt:lpwstr>http://www.planalto.gov.br/ccivil_03/_ato2019-2022/2021/lei/L14133.htm</vt:lpwstr>
      </vt:variant>
      <vt:variant>
        <vt:lpwstr>art106</vt:lpwstr>
      </vt:variant>
      <vt:variant>
        <vt:i4>15466585</vt:i4>
      </vt:variant>
      <vt:variant>
        <vt:i4>39</vt:i4>
      </vt:variant>
      <vt:variant>
        <vt:i4>0</vt:i4>
      </vt:variant>
      <vt:variant>
        <vt:i4>5</vt:i4>
      </vt:variant>
      <vt:variant>
        <vt:lpwstr>http://www.planalto.gov.br/ccivil_03/decreto/d93872.htm</vt:lpwstr>
      </vt:variant>
      <vt:variant>
        <vt:lpwstr>art30§2</vt:lpwstr>
      </vt:variant>
      <vt:variant>
        <vt:i4>655484</vt:i4>
      </vt:variant>
      <vt:variant>
        <vt:i4>36</vt:i4>
      </vt:variant>
      <vt:variant>
        <vt:i4>0</vt:i4>
      </vt:variant>
      <vt:variant>
        <vt:i4>5</vt:i4>
      </vt:variant>
      <vt:variant>
        <vt:lpwstr>http://www.planalto.gov.br/ccivil_03/decreto/d93872.htm</vt:lpwstr>
      </vt:variant>
      <vt:variant>
        <vt:lpwstr/>
      </vt:variant>
      <vt:variant>
        <vt:i4>983072</vt:i4>
      </vt:variant>
      <vt:variant>
        <vt:i4>33</vt:i4>
      </vt:variant>
      <vt:variant>
        <vt:i4>0</vt:i4>
      </vt:variant>
      <vt:variant>
        <vt:i4>5</vt:i4>
      </vt:variant>
      <vt:variant>
        <vt:lpwstr>https://www.planalto.gov.br/ccivil_03/leis/l4320.htm</vt:lpwstr>
      </vt:variant>
      <vt:variant>
        <vt:lpwstr/>
      </vt:variant>
      <vt:variant>
        <vt:i4>2031699</vt:i4>
      </vt:variant>
      <vt:variant>
        <vt:i4>30</vt:i4>
      </vt:variant>
      <vt:variant>
        <vt:i4>0</vt:i4>
      </vt:variant>
      <vt:variant>
        <vt:i4>5</vt:i4>
      </vt:variant>
      <vt:variant>
        <vt:lpwstr>http://www.planalto.gov.br/ccivil_03/_ato2019-2022/2021/lei/L14133.htm</vt:lpwstr>
      </vt:variant>
      <vt:variant>
        <vt:lpwstr>art105</vt:lpwstr>
      </vt:variant>
      <vt:variant>
        <vt:i4>1835091</vt:i4>
      </vt:variant>
      <vt:variant>
        <vt:i4>27</vt:i4>
      </vt:variant>
      <vt:variant>
        <vt:i4>0</vt:i4>
      </vt:variant>
      <vt:variant>
        <vt:i4>5</vt:i4>
      </vt:variant>
      <vt:variant>
        <vt:lpwstr>http://www.planalto.gov.br/ccivil_03/_ato2019-2022/2021/lei/L14133.htm</vt:lpwstr>
      </vt:variant>
      <vt:variant>
        <vt:lpwstr>art106</vt:lpwstr>
      </vt:variant>
      <vt:variant>
        <vt:i4>2031699</vt:i4>
      </vt:variant>
      <vt:variant>
        <vt:i4>24</vt:i4>
      </vt:variant>
      <vt:variant>
        <vt:i4>0</vt:i4>
      </vt:variant>
      <vt:variant>
        <vt:i4>5</vt:i4>
      </vt:variant>
      <vt:variant>
        <vt:lpwstr>http://www.planalto.gov.br/ccivil_03/_ato2019-2022/2021/lei/L14133.htm</vt:lpwstr>
      </vt:variant>
      <vt:variant>
        <vt:lpwstr>art105</vt:lpwstr>
      </vt:variant>
      <vt:variant>
        <vt:i4>5963795</vt:i4>
      </vt:variant>
      <vt:variant>
        <vt:i4>21</vt:i4>
      </vt:variant>
      <vt:variant>
        <vt:i4>0</vt:i4>
      </vt:variant>
      <vt:variant>
        <vt:i4>5</vt:i4>
      </vt:variant>
      <vt:variant>
        <vt:lpwstr>https://antigo.agu.gov.br/page/atos/detalhe/idato/1256070</vt:lpwstr>
      </vt:variant>
      <vt:variant>
        <vt:lpwstr/>
      </vt:variant>
      <vt:variant>
        <vt:i4>4522064</vt:i4>
      </vt:variant>
      <vt:variant>
        <vt:i4>18</vt:i4>
      </vt:variant>
      <vt:variant>
        <vt:i4>0</vt:i4>
      </vt:variant>
      <vt:variant>
        <vt:i4>5</vt:i4>
      </vt:variant>
      <vt:variant>
        <vt:lpwstr>http://www.planalto.gov.br/ccivil_03/_Ato2015-2018/2015/Decreto/D8538.htm</vt:lpwstr>
      </vt:variant>
      <vt:variant>
        <vt:lpwstr>art6</vt:lpwstr>
      </vt:variant>
      <vt:variant>
        <vt:i4>7929856</vt:i4>
      </vt:variant>
      <vt:variant>
        <vt:i4>15</vt:i4>
      </vt:variant>
      <vt:variant>
        <vt:i4>0</vt:i4>
      </vt:variant>
      <vt:variant>
        <vt:i4>5</vt:i4>
      </vt:variant>
      <vt:variant>
        <vt:lpwstr>http://www.planalto.gov.br/ccivil_03/Leis/LCP/Lcp123.htm</vt:lpwstr>
      </vt:variant>
      <vt:variant>
        <vt:lpwstr>art48</vt:lpwstr>
      </vt:variant>
      <vt:variant>
        <vt:i4>8912980</vt:i4>
      </vt:variant>
      <vt:variant>
        <vt:i4>12</vt:i4>
      </vt:variant>
      <vt:variant>
        <vt:i4>0</vt:i4>
      </vt:variant>
      <vt:variant>
        <vt:i4>5</vt:i4>
      </vt:variant>
      <vt:variant>
        <vt:lpwstr>http://www.planalto.gov.br/ccivil_03/_ato2019-2022/2021/lei/L14133.htm</vt:lpwstr>
      </vt:variant>
      <vt:variant>
        <vt:lpwstr>art47§1</vt:lpwstr>
      </vt:variant>
      <vt:variant>
        <vt:i4>3080291</vt:i4>
      </vt:variant>
      <vt:variant>
        <vt:i4>9</vt:i4>
      </vt:variant>
      <vt:variant>
        <vt:i4>0</vt:i4>
      </vt:variant>
      <vt:variant>
        <vt:i4>5</vt:i4>
      </vt:variant>
      <vt:variant>
        <vt:lpwstr>http://www.planalto.gov.br/ccivil_03/_ato2019-2022/2021/lei/L14133.htm</vt:lpwstr>
      </vt:variant>
      <vt:variant>
        <vt:lpwstr>art47</vt:lpwstr>
      </vt:variant>
      <vt:variant>
        <vt:i4>589903</vt:i4>
      </vt:variant>
      <vt:variant>
        <vt:i4>6</vt:i4>
      </vt:variant>
      <vt:variant>
        <vt:i4>0</vt:i4>
      </vt:variant>
      <vt:variant>
        <vt:i4>5</vt:i4>
      </vt:variant>
      <vt:variant>
        <vt:lpwstr>https://www.gov.br/compras/pt-br/acesso-a-informacao/legislacao/instrucoes-normativas/instrucao-normativa-seges-no-58-de-8-de-agosto-de-2022</vt:lpwstr>
      </vt:variant>
      <vt:variant>
        <vt:lpwstr>art9</vt:lpwstr>
      </vt:variant>
      <vt:variant>
        <vt:i4>9240667</vt:i4>
      </vt:variant>
      <vt:variant>
        <vt:i4>3</vt:i4>
      </vt:variant>
      <vt:variant>
        <vt:i4>0</vt:i4>
      </vt:variant>
      <vt:variant>
        <vt:i4>5</vt:i4>
      </vt:variant>
      <vt:variant>
        <vt:lpwstr>http://www.planalto.gov.br/ccivil_03/_ato2019-2022/2021/lei/L14133.htm</vt:lpwstr>
      </vt:variant>
      <vt:variant>
        <vt:lpwstr>art18§1</vt:lpwstr>
      </vt:variant>
      <vt:variant>
        <vt:i4>2228230</vt:i4>
      </vt:variant>
      <vt:variant>
        <vt:i4>0</vt:i4>
      </vt:variant>
      <vt:variant>
        <vt:i4>0</vt:i4>
      </vt:variant>
      <vt:variant>
        <vt:i4>5</vt:i4>
      </vt:variant>
      <vt:variant>
        <vt:lpwstr>mailto:cgu.modeloscontratacao@agu.gov.br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2026-05-06T11:35:00Z</dcterms:created>
  <dcterms:modified xsi:type="dcterms:W3CDTF">2026-05-06T11:45:00Z</dcterms:modified>
</cp:coreProperties>
</file>