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ROTEIRO DE INSTRUÇÃO — INEXIGIBILIDADE ÁGUAS DO RIO / CPII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Uso interno de conferência. Referências estruturais: processos IFRJ/UFRRJ; modelo AGU de TR (maio/2026).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930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D9EA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D9EA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DOCUMENTO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D9EA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SITUAÇÃO E PROVIDÊNCIA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- 01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Documento de Formalização da Demanda — DFD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Já existe. Conferir se descreve as duas unidades/matrículas e a necessidade contínua.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- 02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Portaria da Equipe de Planejamento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Já existe. Conferir designação e assinaturas.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- 03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Estudo Técnico Preliminar — ETP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Já existe. Conferir aderência com o TR e com a inexigibilidade do art. 74, I.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- 04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Mapa de Riscos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Já existe. Conferir riscos de interrupção, faturamento, reajuste tarifário e fiscalização.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- 05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Nota Técnica de Justificativa de Preços + faturas/memória de cálculo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Área requisitante: preencher os dois campos anuais com R$ 1.180.116,40, retirar a fórmula-modelo em amarelo e assinar. Não há pesquisa competitiva; permanecem a justificativa tarifária e as faturas.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- 06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Formulário de Enquadramento da Inexigibilidade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Licitações, com validação técnica: equivalente ao documento interno citado pela UFRRJ. Juntar AGENERSA e declaração/contrato de concessão vinculando os endereços e matrículas do CPII.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- 07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Termo de Referência — padrão AGU maio/2026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Licitações/EPC: minuta adaptada diretamente do modelo oficial da AGU, com estrutura e cores do padrão. Completar campos azuis, compatibilizar com ETP e colher assinaturas.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- 08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Habilitação e regularidade da contratada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Licitações: consulta SICAF e demais documentos aplicáveis; representação da empresa; CNPJ e certidões que não constem válidas no SICAF.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- 09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Declaração de disponibilidade orçamentária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Área financeira/orçamentária: indicar crédito, fonte, natureza de despesa e disponibilidade para o exercício.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- 10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Enquadramento no Parecer Referencial AGU 00003/2025 e lista de verificação AGU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Licitações: usar somente se a orientação for aceita pelo fluxo jurídico interno do CPII; caso contrário, encaminhar para análise jurídica.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- 11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Autorização da inexigibilidade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Autoridade competente, após a instrução e os controles internos.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 ÁGUA - 12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Instrumento contratual/registro e publicação no PNCP</w:t>
            </w:r>
          </w:p>
        </w:tc>
        <w:tc>
          <w:tcPr>
            <w:tcW w:type="dxa" w:w="9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Licitações/contratos: providência posterior à autorização, conforme rito interno e orientação jurídica.</w:t>
            </w:r>
          </w:p>
        </w:tc>
      </w:tr>
    </w:tbl>
    <w:p>
      <w:pPr>
        <w:shd w:fill="FFF2CC" w:color="FFF2CC" w:val="clear"/>
        <w:spacing w:before="120" w:after="0"/>
      </w:pPr>
      <w:r>
        <w:rPr>
          <w:rFonts w:ascii="Arial" w:cs="Arial" w:eastAsia="Arial" w:hAnsi="Arial"/>
          <w:b/>
          <w:bCs/>
          <w:color w:val="7F6000"/>
          <w:sz w:val="15"/>
          <w:szCs w:val="15"/>
        </w:rPr>
        <w:t xml:space="preserve">Atenção: a AGENERSA confirma São Cristóvão no Bloco 4 da Águas do Rio; para o atesto conclusivo, falta vincular a prova às matrículas/endereço das unidades do CPII.</w:t>
      </w:r>
    </w:p>
    <w:sectPr>
      <w:headerReference w:type="default" r:id="rId6"/>
      <w:footerReference w:type="default" r:id="rId7"/>
      <w:pgSz w:w="12240" w:h="15840" w:orient="landscape"/>
      <w:pgMar w:top="520" w:right="520" w:bottom="52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CPII — rascunho para conferência —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ROTEIRO DE INSTRUÇÃO — ÁGUAS DO 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2026-09-13T18:45:01.482Z</dcterms:created>
  <dcterms:modified xsi:type="dcterms:W3CDTF">2026-09-13T18:45:01.484Z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