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LOAN AGREEMENT</w:t>
      </w:r>
    </w:p>
    <w:p>
      <w:r>
        <w:t>This Loan Agreement is made on 2 May 2025 between Suvarna Credit Private Limited, having its registered office at Nariman Point, Mumbai (hereinafter "the Lender"), and Mr. D. Pillai, residing at Thane (hereinafter "the Borrower").</w:t>
      </w:r>
    </w:p>
    <w:p>
      <w:r>
        <w:t>1. LOAN</w:t>
      </w:r>
    </w:p>
    <w:p>
      <w:r>
        <w:t>The Lender agrees to lend to the Borrower the principal amount of Rs. 5,00,000 on the terms set out in this Agreement.</w:t>
      </w:r>
    </w:p>
    <w:p>
      <w:r>
        <w:t>2. INTEREST</w:t>
      </w:r>
    </w:p>
    <w:p>
      <w:r>
        <w:t>The Loan shall carry interest at the rate of eighteen per cent per annum. The Lender reserves the right to amend the rate of interest at any time at its sole discretion by posting the revised rate on its website.</w:t>
      </w:r>
    </w:p>
    <w:p>
      <w:r>
        <w:t>3. REPAYMENT</w:t>
      </w:r>
    </w:p>
    <w:p>
      <w:r>
        <w:t>The Borrower shall repay the Loan together with interest in thirty six equated monthly instalments of Rs. 18,076 each, payable on the fifth day of every month.</w:t>
      </w:r>
    </w:p>
    <w:p>
      <w:r>
        <w:t>4. DEFAULT</w:t>
      </w:r>
    </w:p>
    <w:p>
      <w:r>
        <w:t>In the event of delay in payment of any instalment, the Borrower shall pay a penalty of Rs. 1,500 per day of delay in addition to interest on the overdue amount.</w:t>
      </w:r>
    </w:p>
    <w:p>
      <w:r>
        <w:t>5. DISPUTE RESOLUTION</w:t>
      </w:r>
    </w:p>
    <w:p>
      <w:r>
        <w:t>Any dispute arising out of this Agreement shall be referred to arbitration before a sole arbitrator appointed by the Lender, whose decision shall be final and binding on the Borrower.</w:t>
      </w:r>
    </w:p>
    <w:p>
      <w:r>
        <w:t>6. WAIVER</w:t>
      </w:r>
    </w:p>
    <w:p>
      <w:r>
        <w:t>The Borrower shall not be entitled to institute any suit or proceeding against the Lender in any court in respect of this Agreement, and hereby waives all statutory rights and remedies available to a borrower under applicable law.</w:t>
      </w:r>
    </w:p>
    <w:p>
      <w:r>
        <w:t>7. GOVERNING LAW</w:t>
      </w:r>
    </w:p>
    <w:p>
      <w:r>
        <w:t>This Agreement shall be governed by the laws of India and the courts at Mumbai shall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