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4003" w14:textId="4831E7E8" w:rsidR="00752A05" w:rsidRPr="00A82284" w:rsidRDefault="00752A05" w:rsidP="00752A05">
      <w:pPr>
        <w:rPr>
          <w:rFonts w:ascii="Times New Roman" w:hAnsi="Times New Roman"/>
          <w:color w:val="3B3838"/>
          <w:sz w:val="22"/>
          <w:szCs w:val="22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752A05">
        <w:rPr>
          <w:rFonts w:ascii="Times New Roman" w:hAnsi="Times New Roman"/>
          <w:color w:val="3B3838"/>
        </w:rPr>
        <w:t xml:space="preserve"> </w:t>
      </w:r>
      <w:r w:rsidRPr="00A82284">
        <w:rPr>
          <w:rFonts w:ascii="Times New Roman" w:hAnsi="Times New Roman"/>
          <w:color w:val="3B3838"/>
          <w:sz w:val="22"/>
          <w:szCs w:val="22"/>
        </w:rPr>
        <w:t>Sai Sree Gajjala</w:t>
      </w:r>
      <w:r w:rsidRPr="00A82284">
        <w:rPr>
          <w:rFonts w:ascii="Times New Roman" w:hAnsi="Times New Roman"/>
          <w:color w:val="3B3838"/>
          <w:sz w:val="22"/>
          <w:szCs w:val="22"/>
        </w:rPr>
        <w:tab/>
      </w:r>
      <w:r w:rsidRPr="00A82284">
        <w:rPr>
          <w:rFonts w:ascii="Times New Roman" w:hAnsi="Times New Roman"/>
          <w:color w:val="3B3838"/>
          <w:sz w:val="22"/>
          <w:szCs w:val="22"/>
        </w:rPr>
        <w:tab/>
      </w:r>
      <w:r w:rsidRPr="00A82284">
        <w:rPr>
          <w:rFonts w:ascii="Times New Roman" w:hAnsi="Times New Roman"/>
          <w:color w:val="3B3838"/>
          <w:sz w:val="22"/>
          <w:szCs w:val="22"/>
        </w:rPr>
        <w:tab/>
      </w:r>
      <w:r w:rsidRPr="00A82284">
        <w:rPr>
          <w:rFonts w:ascii="Times New Roman" w:hAnsi="Times New Roman"/>
          <w:color w:val="3B3838"/>
          <w:sz w:val="22"/>
          <w:szCs w:val="22"/>
        </w:rPr>
        <w:tab/>
      </w:r>
      <w:r w:rsidRPr="00A82284">
        <w:rPr>
          <w:rFonts w:ascii="Times New Roman" w:hAnsi="Times New Roman"/>
          <w:color w:val="3B3838"/>
          <w:sz w:val="22"/>
          <w:szCs w:val="22"/>
        </w:rPr>
        <w:tab/>
      </w:r>
      <w:r w:rsidRPr="00A82284">
        <w:rPr>
          <w:rFonts w:ascii="Times New Roman" w:hAnsi="Times New Roman"/>
          <w:color w:val="3B3838"/>
          <w:sz w:val="22"/>
          <w:szCs w:val="22"/>
        </w:rPr>
        <w:tab/>
      </w:r>
      <w:r w:rsidRPr="00A82284">
        <w:rPr>
          <w:rFonts w:ascii="Times New Roman" w:hAnsi="Times New Roman"/>
          <w:color w:val="3B3838"/>
          <w:sz w:val="22"/>
          <w:szCs w:val="22"/>
        </w:rPr>
        <w:tab/>
      </w:r>
      <w:r w:rsidRPr="00A82284">
        <w:rPr>
          <w:rFonts w:ascii="Times New Roman" w:hAnsi="Times New Roman"/>
          <w:color w:val="3B3838"/>
          <w:sz w:val="22"/>
          <w:szCs w:val="22"/>
        </w:rPr>
        <w:tab/>
      </w:r>
      <w:r w:rsidRPr="00A82284">
        <w:rPr>
          <w:rFonts w:ascii="Times New Roman" w:hAnsi="Times New Roman"/>
          <w:color w:val="3B3838"/>
          <w:sz w:val="22"/>
          <w:szCs w:val="22"/>
        </w:rPr>
        <w:tab/>
        <w:t>16329412</w:t>
      </w:r>
    </w:p>
    <w:p w14:paraId="0012B804" w14:textId="77777777" w:rsidR="00752A05" w:rsidRPr="00A82284" w:rsidRDefault="00752A05" w:rsidP="00752A05">
      <w:pPr>
        <w:rPr>
          <w:rFonts w:ascii="Times New Roman" w:hAnsi="Times New Roman"/>
          <w:b/>
          <w:bCs/>
          <w:color w:val="1F4E79"/>
          <w:sz w:val="28"/>
          <w:szCs w:val="28"/>
          <w:u w:val="single"/>
        </w:rPr>
      </w:pPr>
    </w:p>
    <w:p w14:paraId="692A2DEB" w14:textId="77777777" w:rsidR="00752A05" w:rsidRPr="00A82284" w:rsidRDefault="00752A05" w:rsidP="00752A05">
      <w:pPr>
        <w:jc w:val="center"/>
        <w:rPr>
          <w:rFonts w:ascii="Times New Roman" w:hAnsi="Times New Roman"/>
          <w:b/>
          <w:bCs/>
          <w:color w:val="1F4E79"/>
          <w:sz w:val="28"/>
          <w:szCs w:val="28"/>
          <w:u w:val="single"/>
        </w:rPr>
      </w:pPr>
      <w:r w:rsidRPr="00A82284">
        <w:rPr>
          <w:rFonts w:ascii="Times New Roman" w:hAnsi="Times New Roman"/>
          <w:b/>
          <w:bCs/>
          <w:color w:val="1F4E79"/>
          <w:sz w:val="28"/>
          <w:szCs w:val="28"/>
          <w:u w:val="single"/>
        </w:rPr>
        <w:t>Assignment-1</w:t>
      </w:r>
    </w:p>
    <w:p w14:paraId="1230809E" w14:textId="77777777" w:rsidR="00752A05" w:rsidRPr="00A82284" w:rsidRDefault="00752A05" w:rsidP="00752A05">
      <w:pPr>
        <w:jc w:val="center"/>
        <w:rPr>
          <w:rFonts w:ascii="Times New Roman" w:hAnsi="Times New Roman"/>
          <w:b/>
          <w:bCs/>
          <w:color w:val="1F4E79"/>
          <w:sz w:val="28"/>
          <w:szCs w:val="28"/>
          <w:u w:val="single"/>
        </w:rPr>
      </w:pPr>
    </w:p>
    <w:p w14:paraId="69C2F241" w14:textId="77777777" w:rsidR="00752A05" w:rsidRPr="00A82284" w:rsidRDefault="00752A05" w:rsidP="00752A05">
      <w:pPr>
        <w:jc w:val="center"/>
        <w:rPr>
          <w:rFonts w:ascii="Times New Roman" w:hAnsi="Times New Roman"/>
          <w:b/>
          <w:bCs/>
          <w:color w:val="C45911"/>
          <w:sz w:val="28"/>
          <w:szCs w:val="28"/>
          <w:u w:val="single"/>
        </w:rPr>
      </w:pPr>
      <w:r w:rsidRPr="00A82284">
        <w:rPr>
          <w:rFonts w:ascii="Times New Roman" w:hAnsi="Times New Roman"/>
          <w:b/>
          <w:bCs/>
          <w:color w:val="C45911"/>
          <w:sz w:val="28"/>
          <w:szCs w:val="28"/>
          <w:u w:val="single"/>
        </w:rPr>
        <w:t>Data Analysis of Student Performance Dataset Results</w:t>
      </w:r>
    </w:p>
    <w:p w14:paraId="76D4A50A" w14:textId="77777777" w:rsidR="00752A05" w:rsidRPr="00A82284" w:rsidRDefault="00752A05" w:rsidP="00752A05">
      <w:pPr>
        <w:rPr>
          <w:rFonts w:ascii="Times New Roman" w:hAnsi="Times New Roman"/>
          <w:b/>
          <w:bCs/>
          <w:color w:val="C45911"/>
          <w:sz w:val="28"/>
          <w:szCs w:val="28"/>
          <w:u w:val="single"/>
        </w:rPr>
      </w:pPr>
    </w:p>
    <w:p w14:paraId="56CC7362" w14:textId="77777777" w:rsidR="00752A05" w:rsidRPr="00A82284" w:rsidRDefault="00752A05" w:rsidP="00752A0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color w:val="000000"/>
        </w:rPr>
        <w:t xml:space="preserve">The graph below illustrates the distribution of males and females across different race/ethnicity groups in the dataset. The race/ethnicity categories are divided into Group A, Group B, Group C, Group D, and Group E. In the graph, females are represented by the color </w:t>
      </w:r>
      <w:proofErr w:type="gramStart"/>
      <w:r w:rsidRPr="00A82284">
        <w:rPr>
          <w:rFonts w:ascii="Times New Roman" w:hAnsi="Times New Roman"/>
          <w:color w:val="000000"/>
        </w:rPr>
        <w:t>period(</w:t>
      </w:r>
      <w:proofErr w:type="gramEnd"/>
      <w:r w:rsidRPr="00A82284">
        <w:rPr>
          <w:rFonts w:ascii="Times New Roman" w:hAnsi="Times New Roman"/>
          <w:color w:val="000000"/>
        </w:rPr>
        <w:t>light blue), while males are represented by the color blue.</w:t>
      </w:r>
    </w:p>
    <w:p w14:paraId="7C734F17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6EAE130C" w14:textId="6C5985D6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noProof/>
          <w:color w:val="000000"/>
        </w:rPr>
        <w:drawing>
          <wp:inline distT="0" distB="0" distL="0" distR="0" wp14:anchorId="08587279" wp14:editId="23B831C1">
            <wp:extent cx="5939790" cy="4433570"/>
            <wp:effectExtent l="0" t="0" r="3810" b="5080"/>
            <wp:docPr id="626032192" name="Picture 10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B091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390B723C" w14:textId="77777777" w:rsidR="00752A05" w:rsidRPr="00A82284" w:rsidRDefault="00752A05" w:rsidP="00752A05">
      <w:pPr>
        <w:rPr>
          <w:rFonts w:ascii="Times New Roman" w:hAnsi="Times New Roman"/>
          <w:b/>
          <w:bCs/>
          <w:i/>
          <w:iCs/>
          <w:color w:val="2F5496"/>
          <w:u w:val="single"/>
        </w:rPr>
      </w:pPr>
      <w:r w:rsidRPr="00A82284">
        <w:rPr>
          <w:rFonts w:ascii="Times New Roman" w:hAnsi="Times New Roman"/>
          <w:b/>
          <w:bCs/>
          <w:i/>
          <w:iCs/>
          <w:color w:val="2F5496"/>
          <w:u w:val="single"/>
        </w:rPr>
        <w:t>Conclusion:</w:t>
      </w:r>
    </w:p>
    <w:p w14:paraId="072A2D2F" w14:textId="77777777" w:rsidR="00752A05" w:rsidRPr="00A82284" w:rsidRDefault="00752A05" w:rsidP="00752A05">
      <w:pPr>
        <w:ind w:left="360"/>
        <w:rPr>
          <w:rFonts w:ascii="Times New Roman" w:hAnsi="Times New Roman"/>
          <w:color w:val="2F5496"/>
          <w:u w:val="single"/>
        </w:rPr>
      </w:pPr>
      <w:r w:rsidRPr="00A82284">
        <w:rPr>
          <w:rFonts w:ascii="Times New Roman" w:hAnsi="Times New Roman"/>
          <w:color w:val="000000"/>
        </w:rPr>
        <w:t xml:space="preserve">It is evident that </w:t>
      </w:r>
      <w:proofErr w:type="gramStart"/>
      <w:r w:rsidRPr="00A82284">
        <w:rPr>
          <w:rFonts w:ascii="Times New Roman" w:hAnsi="Times New Roman"/>
          <w:color w:val="000000"/>
        </w:rPr>
        <w:t>the majority of</w:t>
      </w:r>
      <w:proofErr w:type="gramEnd"/>
      <w:r w:rsidRPr="00A82284">
        <w:rPr>
          <w:rFonts w:ascii="Times New Roman" w:hAnsi="Times New Roman"/>
          <w:color w:val="000000"/>
        </w:rPr>
        <w:t xml:space="preserve"> both females and males fall into the Group C race/ethnicity category. The second highest count of both males and females can be observed in the Group D race/ethnicity category. Conversely, the lowest counts of both females and males are associated with the Group A race/ethnicity category.</w:t>
      </w:r>
    </w:p>
    <w:p w14:paraId="78141F31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2F5496"/>
          <w:u w:val="single"/>
        </w:rPr>
      </w:pPr>
    </w:p>
    <w:p w14:paraId="36FD80B4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2F5496"/>
          <w:u w:val="single"/>
        </w:rPr>
      </w:pPr>
    </w:p>
    <w:p w14:paraId="363F546E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2F5496"/>
          <w:u w:val="single"/>
        </w:rPr>
      </w:pPr>
    </w:p>
    <w:p w14:paraId="3696CE0A" w14:textId="77777777" w:rsidR="00752A05" w:rsidRPr="00A82284" w:rsidRDefault="00752A05" w:rsidP="00752A0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color w:val="000000"/>
        </w:rPr>
        <w:lastRenderedPageBreak/>
        <w:t>Histograms have been utilized to depict the distribution of Reading, Writing, and Math Scores. On the X-axis, you can observe the score ranges for Reading, Writing, and Math, while the Y-axis represents the frequency of occurrence.</w:t>
      </w:r>
    </w:p>
    <w:p w14:paraId="526B1373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70D5F6FE" w14:textId="6ED11265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noProof/>
          <w:color w:val="000000"/>
        </w:rPr>
        <w:drawing>
          <wp:inline distT="0" distB="0" distL="0" distR="0" wp14:anchorId="442C4BF2" wp14:editId="224C93DC">
            <wp:extent cx="5943600" cy="3924300"/>
            <wp:effectExtent l="0" t="0" r="0" b="0"/>
            <wp:docPr id="888348579" name="Picture 9" descr="A group of graphs showing different levels of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oup of graphs showing different levels of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74C5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2A998535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  <w:r w:rsidRPr="00A82284">
        <w:rPr>
          <w:rFonts w:ascii="Times New Roman" w:hAnsi="Times New Roman"/>
          <w:b/>
          <w:bCs/>
          <w:i/>
          <w:iCs/>
          <w:color w:val="2F5496"/>
          <w:u w:val="single"/>
        </w:rPr>
        <w:t>Conclusion:</w:t>
      </w:r>
    </w:p>
    <w:p w14:paraId="5E97FB59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07926EE9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color w:val="000000"/>
        </w:rPr>
        <w:t xml:space="preserve">It can be inferred that </w:t>
      </w:r>
      <w:proofErr w:type="gramStart"/>
      <w:r w:rsidRPr="00A82284">
        <w:rPr>
          <w:rFonts w:ascii="Times New Roman" w:hAnsi="Times New Roman"/>
          <w:color w:val="000000"/>
        </w:rPr>
        <w:t>the majority of</w:t>
      </w:r>
      <w:proofErr w:type="gramEnd"/>
      <w:r w:rsidRPr="00A82284">
        <w:rPr>
          <w:rFonts w:ascii="Times New Roman" w:hAnsi="Times New Roman"/>
          <w:color w:val="000000"/>
        </w:rPr>
        <w:t xml:space="preserve"> students have Reading Scores, Math Scores, and Writing Scores falling within the range of 60 to 80.</w:t>
      </w:r>
    </w:p>
    <w:p w14:paraId="17B59180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2B9B9F76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0C41420B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3E8F611C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1D8D4318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4F53B3FA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17E640A5" w14:textId="689F7D10" w:rsidR="00752A05" w:rsidRPr="00596E44" w:rsidRDefault="00752A05" w:rsidP="00596E44">
      <w:pPr>
        <w:rPr>
          <w:rFonts w:ascii="Times New Roman" w:hAnsi="Times New Roman"/>
          <w:color w:val="000000"/>
        </w:rPr>
      </w:pPr>
    </w:p>
    <w:p w14:paraId="774AA8FE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06421B2D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31194D6A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32BB9A99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6226B72C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024DF9CA" w14:textId="77777777" w:rsidR="00752A05" w:rsidRPr="00A82284" w:rsidRDefault="00752A05" w:rsidP="00752A0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color w:val="000000"/>
        </w:rPr>
        <w:t>Various types of scores have been compared between males and females. On the X-axis, you can see the different score categories being compared between the two genders, while the Y-axis represents the count or frequency of observations.</w:t>
      </w:r>
    </w:p>
    <w:p w14:paraId="047475F4" w14:textId="44F47940" w:rsidR="00752A05" w:rsidRPr="00A82284" w:rsidRDefault="00752A05" w:rsidP="00752A05">
      <w:pPr>
        <w:ind w:left="360"/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 wp14:anchorId="726A6165" wp14:editId="41F3E712">
            <wp:extent cx="5808980" cy="4126230"/>
            <wp:effectExtent l="0" t="0" r="1270" b="7620"/>
            <wp:docPr id="753304437" name="Picture 8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of different colored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D4A2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  <w:r w:rsidRPr="00A82284">
        <w:rPr>
          <w:rFonts w:ascii="Times New Roman" w:hAnsi="Times New Roman"/>
          <w:b/>
          <w:bCs/>
          <w:i/>
          <w:iCs/>
          <w:color w:val="2F5496"/>
          <w:u w:val="single"/>
        </w:rPr>
        <w:t>Conclusion:</w:t>
      </w:r>
    </w:p>
    <w:p w14:paraId="1332FDCC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263F331D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  <w:r w:rsidRPr="00A82284">
        <w:rPr>
          <w:rFonts w:ascii="Times New Roman" w:hAnsi="Times New Roman"/>
          <w:color w:val="000000"/>
        </w:rPr>
        <w:t>The figure indicates that, on average, males tend to excel in math scores, while females tend to achieve higher scores in reading and writing.</w:t>
      </w:r>
    </w:p>
    <w:p w14:paraId="6198A559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380C3421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4738A5F0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6342BAC2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120384C3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2C08EFFA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6DEB1A11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6F53EC9E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01A95FB7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59C99BC3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26696F18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35D7B633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2F758B22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4B677191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5A7C95D3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788CAACC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47814A92" w14:textId="77777777" w:rsidR="00752A05" w:rsidRPr="00A82284" w:rsidRDefault="00752A05" w:rsidP="00752A0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color w:val="000000"/>
        </w:rPr>
        <w:t xml:space="preserve">Scores are being compared against the Test Preparation course variable, categorized into "completed" or "none," for both males and females. On the X-axis, you can see the Test </w:t>
      </w:r>
      <w:r w:rsidRPr="00A82284">
        <w:rPr>
          <w:rFonts w:ascii="Times New Roman" w:hAnsi="Times New Roman"/>
          <w:color w:val="000000"/>
        </w:rPr>
        <w:lastRenderedPageBreak/>
        <w:t>Preparation course categories, while the Y-axis represents the types of scores being examined.</w:t>
      </w:r>
    </w:p>
    <w:p w14:paraId="4616A39F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6D8FE9C5" w14:textId="1849957D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noProof/>
          <w:color w:val="000000"/>
        </w:rPr>
        <w:drawing>
          <wp:inline distT="0" distB="0" distL="0" distR="0" wp14:anchorId="762761C4" wp14:editId="6866DB8A">
            <wp:extent cx="5662930" cy="2950845"/>
            <wp:effectExtent l="0" t="0" r="0" b="1905"/>
            <wp:docPr id="48116032" name="Picture 7" descr="A group of blue and orang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group of blue and orange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10B2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61754651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  <w:r w:rsidRPr="00A82284">
        <w:rPr>
          <w:rFonts w:ascii="Times New Roman" w:hAnsi="Times New Roman"/>
          <w:b/>
          <w:bCs/>
          <w:i/>
          <w:iCs/>
          <w:color w:val="2F5496"/>
          <w:u w:val="single"/>
        </w:rPr>
        <w:t>Conclusion:</w:t>
      </w:r>
    </w:p>
    <w:p w14:paraId="6B178078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7FA85CC6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color w:val="000000"/>
        </w:rPr>
        <w:t>Participating in test preparation courses can enhance students' performance, although the impact may vary slightly based on the type of score and gender.</w:t>
      </w:r>
    </w:p>
    <w:p w14:paraId="78FC0865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77DAFD41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27329C7A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5BA9C385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1ABE9EEF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1DE3F398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4D04CD9C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4C50A6C6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4D1AD03F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18B3E452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484AD2B0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79818CEA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7A07EB2F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1CD665C9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680B7F4C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1C1F780E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7E4D64B5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7A1D79B9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57D3A5B7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6D8952E4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483DE6DE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09CEBE2D" w14:textId="77777777" w:rsidR="00752A05" w:rsidRPr="00A82284" w:rsidRDefault="00752A05" w:rsidP="00752A0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color w:val="000000"/>
        </w:rPr>
        <w:lastRenderedPageBreak/>
        <w:t>The graph below illustrates a heatmap representing the correlation matrix for Writing, Reading, and Math Scores.</w:t>
      </w:r>
    </w:p>
    <w:p w14:paraId="5B626A8F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699EE236" w14:textId="0453A59B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noProof/>
          <w:color w:val="000000"/>
        </w:rPr>
        <w:drawing>
          <wp:inline distT="0" distB="0" distL="0" distR="0" wp14:anchorId="5FDE82A1" wp14:editId="41C02B8D">
            <wp:extent cx="5394325" cy="5163820"/>
            <wp:effectExtent l="0" t="0" r="0" b="0"/>
            <wp:docPr id="605262169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31E6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6BDBF6D4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  <w:r w:rsidRPr="00A82284">
        <w:rPr>
          <w:rFonts w:ascii="Times New Roman" w:hAnsi="Times New Roman"/>
          <w:b/>
          <w:bCs/>
          <w:i/>
          <w:iCs/>
          <w:color w:val="2F5496"/>
          <w:u w:val="single"/>
        </w:rPr>
        <w:t>Conclusion:</w:t>
      </w:r>
    </w:p>
    <w:p w14:paraId="70991EA5" w14:textId="77777777" w:rsidR="00752A05" w:rsidRPr="00A82284" w:rsidRDefault="00752A05" w:rsidP="00752A05">
      <w:pPr>
        <w:ind w:left="360"/>
        <w:rPr>
          <w:rFonts w:ascii="Times New Roman" w:hAnsi="Times New Roman"/>
          <w:color w:val="000000"/>
        </w:rPr>
      </w:pPr>
    </w:p>
    <w:p w14:paraId="3D39950E" w14:textId="77777777" w:rsidR="00752A05" w:rsidRPr="00A82284" w:rsidRDefault="00752A05" w:rsidP="00752A05">
      <w:pPr>
        <w:ind w:left="360"/>
        <w:rPr>
          <w:rFonts w:ascii="Times New Roman" w:hAnsi="Times New Roman"/>
          <w:color w:val="000000"/>
        </w:rPr>
      </w:pPr>
      <w:r w:rsidRPr="00A82284">
        <w:rPr>
          <w:rFonts w:ascii="Times New Roman" w:hAnsi="Times New Roman"/>
          <w:color w:val="000000"/>
        </w:rPr>
        <w:t>The Reading Score and Writing Score exhibit a positive correlation, while both the Reading Score and Writing Score show a negative correlation with the Math Score.</w:t>
      </w:r>
    </w:p>
    <w:p w14:paraId="65181054" w14:textId="77777777" w:rsidR="00752A05" w:rsidRPr="00A82284" w:rsidRDefault="00752A05" w:rsidP="00752A05">
      <w:pPr>
        <w:ind w:left="360"/>
        <w:rPr>
          <w:rFonts w:ascii="Times New Roman" w:hAnsi="Times New Roman"/>
          <w:color w:val="000000"/>
        </w:rPr>
      </w:pPr>
    </w:p>
    <w:p w14:paraId="673742FA" w14:textId="77777777" w:rsidR="00752A05" w:rsidRPr="00A82284" w:rsidRDefault="00752A05" w:rsidP="00752A05">
      <w:pPr>
        <w:pStyle w:val="ListParagraph"/>
        <w:rPr>
          <w:rFonts w:ascii="Times New Roman" w:hAnsi="Times New Roman"/>
          <w:color w:val="000000"/>
        </w:rPr>
      </w:pPr>
    </w:p>
    <w:p w14:paraId="4E115034" w14:textId="77777777" w:rsidR="00752A05" w:rsidRPr="00A82284" w:rsidRDefault="00752A05" w:rsidP="00752A05">
      <w:pPr>
        <w:pStyle w:val="ListParagraph"/>
        <w:rPr>
          <w:rFonts w:ascii="Times New Roman" w:hAnsi="Times New Roman"/>
          <w:b/>
          <w:bCs/>
          <w:i/>
          <w:iCs/>
          <w:color w:val="2F5496"/>
          <w:u w:val="single"/>
        </w:rPr>
      </w:pPr>
    </w:p>
    <w:p w14:paraId="093EBD80" w14:textId="77777777" w:rsidR="00752A05" w:rsidRDefault="00752A05" w:rsidP="00752A05"/>
    <w:p w14:paraId="70A71CF6" w14:textId="46F88C79" w:rsidR="00FD3F58" w:rsidRDefault="00FD3F58"/>
    <w:sectPr w:rsidR="00FD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685"/>
    <w:multiLevelType w:val="hybridMultilevel"/>
    <w:tmpl w:val="72D85D4C"/>
    <w:lvl w:ilvl="0" w:tplc="5524D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53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05"/>
    <w:rsid w:val="00045F71"/>
    <w:rsid w:val="00596E44"/>
    <w:rsid w:val="005F6070"/>
    <w:rsid w:val="00752A05"/>
    <w:rsid w:val="00755995"/>
    <w:rsid w:val="00FD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7F8C"/>
  <w15:chartTrackingRefBased/>
  <w15:docId w15:val="{0E2E19B3-A7E6-4655-9A49-AFCECAE6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A05"/>
    <w:pPr>
      <w:spacing w:after="0" w:line="240" w:lineRule="auto"/>
    </w:pPr>
    <w:rPr>
      <w:rFonts w:ascii="Calibri" w:eastAsia="Calibri" w:hAnsi="Calibri" w:cs="Times New Roman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7B14B1F4E904E909595FEC666C717" ma:contentTypeVersion="7" ma:contentTypeDescription="Create a new document." ma:contentTypeScope="" ma:versionID="12e291479baed610baf3576a248227a6">
  <xsd:schema xmlns:xsd="http://www.w3.org/2001/XMLSchema" xmlns:xs="http://www.w3.org/2001/XMLSchema" xmlns:p="http://schemas.microsoft.com/office/2006/metadata/properties" xmlns:ns3="c5b1b8d2-995b-4907-b1cc-23c6c887456d" xmlns:ns4="a2ddee16-a70d-42a0-a5ee-961b426e42f3" targetNamespace="http://schemas.microsoft.com/office/2006/metadata/properties" ma:root="true" ma:fieldsID="3dc7afd7c39bd84547ef9d2938a986f5" ns3:_="" ns4:_="">
    <xsd:import namespace="c5b1b8d2-995b-4907-b1cc-23c6c887456d"/>
    <xsd:import namespace="a2ddee16-a70d-42a0-a5ee-961b426e42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1b8d2-995b-4907-b1cc-23c6c887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dee16-a70d-42a0-a5ee-961b426e42f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b1b8d2-995b-4907-b1cc-23c6c887456d" xsi:nil="true"/>
  </documentManagement>
</p:properties>
</file>

<file path=customXml/itemProps1.xml><?xml version="1.0" encoding="utf-8"?>
<ds:datastoreItem xmlns:ds="http://schemas.openxmlformats.org/officeDocument/2006/customXml" ds:itemID="{29D5BB73-AF60-4702-BCC4-5D7403259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1b8d2-995b-4907-b1cc-23c6c887456d"/>
    <ds:schemaRef ds:uri="a2ddee16-a70d-42a0-a5ee-961b426e4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4BE9BD-C47C-4D3A-866D-DB8A8AEFF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42097-2E02-4D2A-813E-CC4530AEABC8}">
  <ds:schemaRefs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2ddee16-a70d-42a0-a5ee-961b426e42f3"/>
    <ds:schemaRef ds:uri="c5b1b8d2-995b-4907-b1cc-23c6c88745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Jaini, Rutvik</dc:creator>
  <cp:keywords/>
  <dc:description/>
  <cp:lastModifiedBy>Jaini, Rutvik</cp:lastModifiedBy>
  <cp:revision>2</cp:revision>
  <dcterms:created xsi:type="dcterms:W3CDTF">2023-09-27T03:07:00Z</dcterms:created>
  <dcterms:modified xsi:type="dcterms:W3CDTF">2023-09-27T03:07:00Z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0x0101003E57B14B1F4E904E909595FEC666C717</vt:lpwstr>
  </property>
</Properties>
</file>