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4D23D" w14:textId="16D18A85" w:rsidR="00E91152" w:rsidRPr="00B56D3E" w:rsidRDefault="00631DFC" w:rsidP="00E91152">
      <w:pPr>
        <w:spacing w:after="0"/>
        <w:rPr>
          <w:rFonts w:ascii="Segoe UI" w:eastAsia="Segoe UI" w:hAnsi="Segoe UI" w:cs="Segoe UI"/>
          <w:b/>
          <w:color w:val="666666"/>
          <w:sz w:val="26"/>
          <w:szCs w:val="26"/>
        </w:rPr>
      </w:pPr>
      <w:r w:rsidRPr="00631DFC">
        <w:rPr>
          <w:rFonts w:ascii="Segoe UI" w:eastAsia="Segoe UI" w:hAnsi="Segoe UI" w:cs="Segoe UI"/>
          <w:b/>
          <w:color w:val="666666"/>
          <w:sz w:val="26"/>
          <w:szCs w:val="26"/>
        </w:rPr>
        <w:t xml:space="preserve">Microsoft Cloud Strength </w:t>
      </w:r>
      <w:r w:rsidR="00C10720">
        <w:rPr>
          <w:rFonts w:ascii="Segoe UI" w:eastAsia="Segoe UI" w:hAnsi="Segoe UI" w:cs="Segoe UI"/>
          <w:b/>
          <w:color w:val="666666"/>
          <w:sz w:val="26"/>
          <w:szCs w:val="26"/>
        </w:rPr>
        <w:t>Powers</w:t>
      </w:r>
      <w:r w:rsidR="008902FB">
        <w:rPr>
          <w:rFonts w:ascii="Segoe UI" w:eastAsia="Segoe UI" w:hAnsi="Segoe UI" w:cs="Segoe UI"/>
          <w:b/>
          <w:color w:val="666666"/>
          <w:sz w:val="26"/>
          <w:szCs w:val="26"/>
        </w:rPr>
        <w:t xml:space="preserve"> Record</w:t>
      </w:r>
      <w:r w:rsidRPr="00631DFC">
        <w:rPr>
          <w:rFonts w:ascii="Segoe UI" w:eastAsia="Segoe UI" w:hAnsi="Segoe UI" w:cs="Segoe UI"/>
          <w:b/>
          <w:color w:val="666666"/>
          <w:sz w:val="26"/>
          <w:szCs w:val="26"/>
        </w:rPr>
        <w:t xml:space="preserve"> First Quarter Results</w:t>
      </w:r>
    </w:p>
    <w:p w14:paraId="44522BFA" w14:textId="0D06D2E2" w:rsidR="000856AD"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0D59A4">
        <w:rPr>
          <w:rFonts w:ascii="Segoe UI" w:eastAsia="Segoe UI" w:hAnsi="Segoe UI" w:cs="Segoe UI"/>
          <w:b/>
          <w:color w:val="666666"/>
          <w:sz w:val="20"/>
          <w:szCs w:val="20"/>
        </w:rPr>
        <w:t>October</w:t>
      </w:r>
      <w:r w:rsidRPr="31A6BAF1">
        <w:rPr>
          <w:rFonts w:ascii="Segoe UI" w:eastAsia="Segoe UI" w:hAnsi="Segoe UI" w:cs="Segoe UI"/>
          <w:b/>
          <w:color w:val="666666"/>
          <w:sz w:val="20"/>
          <w:szCs w:val="20"/>
        </w:rPr>
        <w:t xml:space="preserve"> </w:t>
      </w:r>
      <w:r w:rsidR="000D59A4">
        <w:rPr>
          <w:rFonts w:ascii="Segoe UI" w:eastAsia="Segoe UI" w:hAnsi="Segoe UI" w:cs="Segoe UI"/>
          <w:b/>
          <w:color w:val="666666"/>
          <w:sz w:val="20"/>
          <w:szCs w:val="20"/>
        </w:rPr>
        <w:t>24</w:t>
      </w:r>
      <w:r w:rsidRPr="31A6BAF1">
        <w:rPr>
          <w:rFonts w:ascii="Segoe UI" w:eastAsia="Segoe UI" w:hAnsi="Segoe UI" w:cs="Segoe UI"/>
          <w:b/>
          <w:color w:val="666666"/>
          <w:sz w:val="20"/>
          <w:szCs w:val="20"/>
        </w:rPr>
        <w:t>, 201</w:t>
      </w:r>
      <w:r w:rsidR="00FC4727" w:rsidRPr="31A6BAF1">
        <w:rPr>
          <w:rFonts w:ascii="Segoe UI" w:eastAsia="Segoe UI" w:hAnsi="Segoe UI" w:cs="Segoe UI"/>
          <w:b/>
          <w:color w:val="666666"/>
          <w:sz w:val="20"/>
          <w:szCs w:val="20"/>
        </w:rPr>
        <w:t>8</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sidR="000D59A4">
        <w:rPr>
          <w:rFonts w:ascii="Segoe UI" w:eastAsia="Segoe UI" w:hAnsi="Segoe UI" w:cs="Segoe UI"/>
          <w:color w:val="666666"/>
          <w:sz w:val="20"/>
          <w:szCs w:val="20"/>
        </w:rPr>
        <w:t>September</w:t>
      </w:r>
      <w:r w:rsidRPr="31A6BAF1">
        <w:rPr>
          <w:rFonts w:ascii="Segoe UI" w:eastAsia="Segoe UI" w:hAnsi="Segoe UI" w:cs="Segoe UI"/>
          <w:color w:val="666666"/>
          <w:sz w:val="20"/>
          <w:szCs w:val="20"/>
        </w:rPr>
        <w:t xml:space="preserve"> 3</w:t>
      </w:r>
      <w:r w:rsidR="00D65228" w:rsidRPr="31A6BAF1">
        <w:rPr>
          <w:rFonts w:ascii="Segoe UI" w:eastAsia="Segoe UI" w:hAnsi="Segoe UI" w:cs="Segoe UI"/>
          <w:color w:val="666666"/>
          <w:sz w:val="20"/>
          <w:szCs w:val="20"/>
        </w:rPr>
        <w:t>0</w:t>
      </w:r>
      <w:r w:rsidRPr="31A6BAF1">
        <w:rPr>
          <w:rFonts w:ascii="Segoe UI" w:eastAsia="Segoe UI" w:hAnsi="Segoe UI" w:cs="Segoe UI"/>
          <w:color w:val="666666"/>
          <w:sz w:val="20"/>
          <w:szCs w:val="20"/>
        </w:rPr>
        <w:t>, 201</w:t>
      </w:r>
      <w:r w:rsidR="00FC4727" w:rsidRPr="31A6BAF1">
        <w:rPr>
          <w:rFonts w:ascii="Segoe UI" w:eastAsia="Segoe UI" w:hAnsi="Segoe UI" w:cs="Segoe UI"/>
          <w:color w:val="666666"/>
          <w:sz w:val="20"/>
          <w:szCs w:val="20"/>
        </w:rPr>
        <w:t>8</w:t>
      </w:r>
      <w:r w:rsidR="00F4576F" w:rsidRPr="31A6BAF1">
        <w:rPr>
          <w:rFonts w:ascii="Segoe UI" w:eastAsia="Segoe UI" w:hAnsi="Segoe UI" w:cs="Segoe UI"/>
          <w:color w:val="666666"/>
          <w:sz w:val="20"/>
          <w:szCs w:val="20"/>
        </w:rPr>
        <w:t xml:space="preserve">, as compared to the </w:t>
      </w:r>
      <w:r w:rsidR="00BD7EBB" w:rsidRPr="31A6BAF1">
        <w:rPr>
          <w:rFonts w:ascii="Segoe UI" w:eastAsia="Segoe UI" w:hAnsi="Segoe UI" w:cs="Segoe UI"/>
          <w:color w:val="666666"/>
          <w:sz w:val="20"/>
          <w:szCs w:val="20"/>
        </w:rPr>
        <w:t xml:space="preserve">corresponding period </w:t>
      </w:r>
      <w:r w:rsidR="004B598D" w:rsidRPr="31A6BAF1">
        <w:rPr>
          <w:rFonts w:ascii="Segoe UI" w:eastAsia="Segoe UI" w:hAnsi="Segoe UI" w:cs="Segoe UI"/>
          <w:color w:val="666666"/>
          <w:sz w:val="20"/>
          <w:szCs w:val="20"/>
        </w:rPr>
        <w:t>of last fiscal year</w:t>
      </w:r>
      <w:r w:rsidRPr="31A6BAF1">
        <w:rPr>
          <w:rFonts w:ascii="Segoe UI" w:eastAsia="Segoe UI" w:hAnsi="Segoe UI" w:cs="Segoe UI"/>
          <w:color w:val="666666"/>
          <w:sz w:val="20"/>
          <w:szCs w:val="20"/>
        </w:rPr>
        <w:t>:</w:t>
      </w:r>
    </w:p>
    <w:p w14:paraId="1F6DEA0B" w14:textId="2E8EFC35" w:rsidR="006B50FC"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006E2881" w:rsidRPr="31A6BAF1">
        <w:rPr>
          <w:rFonts w:ascii="Segoe UI" w:eastAsia="Segoe UI" w:hAnsi="Segoe UI" w:cs="Segoe UI"/>
          <w:color w:val="666666"/>
          <w:sz w:val="20"/>
          <w:szCs w:val="20"/>
        </w:rPr>
        <w:t>$</w:t>
      </w:r>
      <w:r w:rsidR="00DD0AB4">
        <w:rPr>
          <w:rFonts w:ascii="Segoe UI" w:eastAsia="Segoe UI" w:hAnsi="Segoe UI" w:cs="Segoe UI"/>
          <w:color w:val="666666"/>
          <w:sz w:val="20"/>
          <w:szCs w:val="20"/>
        </w:rPr>
        <w:t>29.1</w:t>
      </w:r>
      <w:r w:rsidR="006E2881"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and increased </w:t>
      </w:r>
      <w:r w:rsidR="00DD0AB4">
        <w:rPr>
          <w:rFonts w:ascii="Segoe UI" w:eastAsia="Segoe UI" w:hAnsi="Segoe UI" w:cs="Segoe UI"/>
          <w:color w:val="666666"/>
          <w:sz w:val="20"/>
          <w:szCs w:val="20"/>
        </w:rPr>
        <w:t>19</w:t>
      </w:r>
      <w:r w:rsidR="00827DCE" w:rsidRPr="31A6BAF1">
        <w:rPr>
          <w:rFonts w:ascii="Segoe UI" w:eastAsia="Segoe UI" w:hAnsi="Segoe UI" w:cs="Segoe UI"/>
          <w:color w:val="666666"/>
          <w:sz w:val="20"/>
          <w:szCs w:val="20"/>
        </w:rPr>
        <w:t>%</w:t>
      </w:r>
    </w:p>
    <w:p w14:paraId="56B861C4" w14:textId="6976CA53" w:rsidR="00B573E3" w:rsidRPr="00243400"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00DD0AB4">
        <w:rPr>
          <w:rFonts w:ascii="Segoe UI" w:eastAsia="Segoe UI" w:hAnsi="Segoe UI" w:cs="Segoe UI"/>
          <w:color w:val="666666"/>
          <w:sz w:val="20"/>
          <w:szCs w:val="20"/>
        </w:rPr>
        <w:t>$</w:t>
      </w:r>
      <w:r w:rsidR="00123B96">
        <w:rPr>
          <w:rFonts w:ascii="Segoe UI" w:eastAsia="Segoe UI" w:hAnsi="Segoe UI" w:cs="Segoe UI"/>
          <w:color w:val="666666"/>
          <w:sz w:val="20"/>
          <w:szCs w:val="20"/>
        </w:rPr>
        <w:t>10.0</w:t>
      </w:r>
      <w:r w:rsidR="003F2194"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and increased </w:t>
      </w:r>
      <w:r w:rsidR="00123B96">
        <w:rPr>
          <w:rFonts w:ascii="Segoe UI" w:eastAsia="Segoe UI" w:hAnsi="Segoe UI" w:cs="Segoe UI"/>
          <w:color w:val="666666"/>
          <w:sz w:val="20"/>
          <w:szCs w:val="20"/>
        </w:rPr>
        <w:t>29</w:t>
      </w:r>
      <w:r w:rsidR="00827DCE" w:rsidRPr="31A6BAF1">
        <w:rPr>
          <w:rFonts w:ascii="Segoe UI" w:eastAsia="Segoe UI" w:hAnsi="Segoe UI" w:cs="Segoe UI"/>
          <w:color w:val="666666"/>
          <w:sz w:val="20"/>
          <w:szCs w:val="20"/>
        </w:rPr>
        <w:t>%</w:t>
      </w:r>
    </w:p>
    <w:p w14:paraId="7A8B77C3" w14:textId="663219D9" w:rsidR="00B573E3" w:rsidRPr="00DF2E5B" w:rsidRDefault="3A42354A" w:rsidP="3A42354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00011587">
        <w:rPr>
          <w:rFonts w:ascii="Segoe UI" w:eastAsia="Segoe UI" w:hAnsi="Segoe UI" w:cs="Segoe UI"/>
          <w:color w:val="666666"/>
          <w:sz w:val="20"/>
          <w:szCs w:val="20"/>
        </w:rPr>
        <w:t>$8.8</w:t>
      </w:r>
      <w:r w:rsidR="0020588F" w:rsidRPr="31A6BAF1">
        <w:rPr>
          <w:rFonts w:ascii="Segoe UI" w:eastAsia="Segoe UI" w:hAnsi="Segoe UI" w:cs="Segoe UI"/>
          <w:color w:val="666666"/>
          <w:sz w:val="20"/>
          <w:szCs w:val="20"/>
        </w:rPr>
        <w:t xml:space="preserve"> billion</w:t>
      </w:r>
      <w:r w:rsidR="00123B96">
        <w:rPr>
          <w:rFonts w:ascii="Segoe UI" w:eastAsia="Segoe UI" w:hAnsi="Segoe UI" w:cs="Segoe UI"/>
          <w:color w:val="666666"/>
          <w:sz w:val="20"/>
          <w:szCs w:val="20"/>
        </w:rPr>
        <w:t xml:space="preserve"> and in</w:t>
      </w:r>
      <w:r w:rsidR="00011587">
        <w:rPr>
          <w:rFonts w:ascii="Segoe UI" w:eastAsia="Segoe UI" w:hAnsi="Segoe UI" w:cs="Segoe UI"/>
          <w:color w:val="666666"/>
          <w:sz w:val="20"/>
          <w:szCs w:val="20"/>
        </w:rPr>
        <w:t>creased 34</w:t>
      </w:r>
      <w:r w:rsidR="000D59A4">
        <w:rPr>
          <w:rFonts w:ascii="Segoe UI" w:eastAsia="Segoe UI" w:hAnsi="Segoe UI" w:cs="Segoe UI"/>
          <w:color w:val="666666"/>
          <w:sz w:val="20"/>
          <w:szCs w:val="20"/>
        </w:rPr>
        <w:t>%</w:t>
      </w:r>
    </w:p>
    <w:p w14:paraId="690C04BE" w14:textId="4333405E" w:rsidR="00274255" w:rsidRPr="00760D9E" w:rsidRDefault="5988D9F6" w:rsidP="5988D9F6">
      <w:pPr>
        <w:pStyle w:val="ListParagraph"/>
        <w:numPr>
          <w:ilvl w:val="0"/>
          <w:numId w:val="5"/>
        </w:num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Dilu</w:t>
      </w:r>
      <w:r w:rsidR="0077001C">
        <w:rPr>
          <w:rFonts w:ascii="Segoe UI" w:eastAsia="Segoe UI" w:hAnsi="Segoe UI" w:cs="Segoe UI"/>
          <w:color w:val="666666"/>
          <w:sz w:val="20"/>
          <w:szCs w:val="20"/>
        </w:rPr>
        <w:t>ted earnings per share was $1.</w:t>
      </w:r>
      <w:r w:rsidR="00882711">
        <w:rPr>
          <w:rFonts w:ascii="Segoe UI" w:eastAsia="Segoe UI" w:hAnsi="Segoe UI" w:cs="Segoe UI"/>
          <w:color w:val="666666"/>
          <w:sz w:val="20"/>
          <w:szCs w:val="20"/>
        </w:rPr>
        <w:t>14</w:t>
      </w:r>
      <w:r w:rsidRPr="5988D9F6">
        <w:rPr>
          <w:rFonts w:ascii="Segoe UI" w:eastAsia="Segoe UI" w:hAnsi="Segoe UI" w:cs="Segoe UI"/>
          <w:color w:val="666666"/>
          <w:sz w:val="20"/>
          <w:szCs w:val="20"/>
        </w:rPr>
        <w:t xml:space="preserve"> and </w:t>
      </w:r>
      <w:r w:rsidR="00011587">
        <w:rPr>
          <w:rFonts w:ascii="Segoe UI" w:eastAsia="Segoe UI" w:hAnsi="Segoe UI" w:cs="Segoe UI"/>
          <w:color w:val="666666"/>
          <w:sz w:val="20"/>
          <w:szCs w:val="20"/>
        </w:rPr>
        <w:t>increased 36</w:t>
      </w:r>
      <w:r w:rsidRPr="5988D9F6">
        <w:rPr>
          <w:rFonts w:ascii="Segoe UI" w:eastAsia="Segoe UI" w:hAnsi="Segoe UI" w:cs="Segoe UI"/>
          <w:color w:val="666666"/>
          <w:sz w:val="20"/>
          <w:szCs w:val="20"/>
        </w:rPr>
        <w:t>%</w:t>
      </w:r>
    </w:p>
    <w:p w14:paraId="3FEB1892" w14:textId="251EB6A9" w:rsidR="00A16858" w:rsidRDefault="00C2292B" w:rsidP="3A42354A">
      <w:pPr>
        <w:spacing w:after="160"/>
        <w:rPr>
          <w:rFonts w:ascii="Segoe UI" w:eastAsia="Segoe UI" w:hAnsi="Segoe UI" w:cs="Segoe UI"/>
          <w:color w:val="666666"/>
          <w:sz w:val="20"/>
          <w:szCs w:val="20"/>
        </w:rPr>
      </w:pPr>
      <w:r w:rsidRPr="00C2292B">
        <w:rPr>
          <w:rFonts w:ascii="Segoe UI" w:eastAsia="Segoe UI" w:hAnsi="Segoe UI" w:cs="Segoe UI"/>
          <w:color w:val="666666"/>
          <w:sz w:val="20"/>
          <w:szCs w:val="20"/>
        </w:rPr>
        <w:t xml:space="preserve">“We are off to a </w:t>
      </w:r>
      <w:r w:rsidR="004D0466">
        <w:rPr>
          <w:rFonts w:ascii="Segoe UI" w:eastAsia="Segoe UI" w:hAnsi="Segoe UI" w:cs="Segoe UI"/>
          <w:color w:val="666666"/>
          <w:sz w:val="20"/>
          <w:szCs w:val="20"/>
        </w:rPr>
        <w:t>great</w:t>
      </w:r>
      <w:r w:rsidRPr="00C2292B">
        <w:rPr>
          <w:rFonts w:ascii="Segoe UI" w:eastAsia="Segoe UI" w:hAnsi="Segoe UI" w:cs="Segoe UI"/>
          <w:color w:val="666666"/>
          <w:sz w:val="20"/>
          <w:szCs w:val="20"/>
        </w:rPr>
        <w:t xml:space="preserve"> start in fiscal 2019, a result of our innovation and the trust customers are placing in us to power their digital transformation,” </w:t>
      </w:r>
      <w:r w:rsidR="00C5548E">
        <w:rPr>
          <w:rFonts w:ascii="Segoe UI" w:eastAsia="Segoe UI" w:hAnsi="Segoe UI" w:cs="Segoe UI"/>
          <w:color w:val="666666"/>
          <w:sz w:val="20"/>
          <w:szCs w:val="20"/>
        </w:rPr>
        <w:t xml:space="preserve">said </w:t>
      </w:r>
      <w:r w:rsidR="000B4B82" w:rsidRPr="000B4B82">
        <w:rPr>
          <w:rFonts w:ascii="Segoe UI" w:eastAsia="Segoe UI" w:hAnsi="Segoe UI" w:cs="Segoe UI"/>
          <w:color w:val="666666"/>
          <w:sz w:val="20"/>
          <w:szCs w:val="20"/>
        </w:rPr>
        <w:t>Satya Nadella, chief executive officer of Microsoft</w:t>
      </w:r>
      <w:r w:rsidRPr="00C2292B">
        <w:rPr>
          <w:rFonts w:ascii="Segoe UI" w:eastAsia="Segoe UI" w:hAnsi="Segoe UI" w:cs="Segoe UI"/>
          <w:color w:val="666666"/>
          <w:sz w:val="20"/>
          <w:szCs w:val="20"/>
        </w:rPr>
        <w:t>. “We</w:t>
      </w:r>
      <w:r w:rsidR="00757F96">
        <w:rPr>
          <w:rFonts w:ascii="Segoe UI" w:eastAsia="Segoe UI" w:hAnsi="Segoe UI" w:cs="Segoe UI"/>
          <w:color w:val="666666"/>
          <w:sz w:val="20"/>
          <w:szCs w:val="20"/>
        </w:rPr>
        <w:t>’</w:t>
      </w:r>
      <w:r w:rsidRPr="00C2292B">
        <w:rPr>
          <w:rFonts w:ascii="Segoe UI" w:eastAsia="Segoe UI" w:hAnsi="Segoe UI" w:cs="Segoe UI"/>
          <w:color w:val="666666"/>
          <w:sz w:val="20"/>
          <w:szCs w:val="20"/>
        </w:rPr>
        <w:t xml:space="preserve">re </w:t>
      </w:r>
      <w:r w:rsidR="00757F96">
        <w:rPr>
          <w:rFonts w:ascii="Segoe UI" w:eastAsia="Segoe UI" w:hAnsi="Segoe UI" w:cs="Segoe UI"/>
          <w:color w:val="666666"/>
          <w:sz w:val="20"/>
          <w:szCs w:val="20"/>
        </w:rPr>
        <w:t xml:space="preserve">excited </w:t>
      </w:r>
      <w:r w:rsidR="00D264D5">
        <w:rPr>
          <w:rFonts w:ascii="Segoe UI" w:eastAsia="Segoe UI" w:hAnsi="Segoe UI" w:cs="Segoe UI"/>
          <w:color w:val="666666"/>
          <w:sz w:val="20"/>
          <w:szCs w:val="20"/>
        </w:rPr>
        <w:t xml:space="preserve">to </w:t>
      </w:r>
      <w:r w:rsidRPr="00C2292B">
        <w:rPr>
          <w:rFonts w:ascii="Segoe UI" w:eastAsia="Segoe UI" w:hAnsi="Segoe UI" w:cs="Segoe UI"/>
          <w:color w:val="666666"/>
          <w:sz w:val="20"/>
          <w:szCs w:val="20"/>
        </w:rPr>
        <w:t>help our customers build the digital capability they need to thrive and grow, with a business model that is fundamentally aligned to their success.”</w:t>
      </w:r>
    </w:p>
    <w:p w14:paraId="7F14820A" w14:textId="577BB567" w:rsidR="003B4F4D" w:rsidRPr="003E0AD1" w:rsidRDefault="3A42354A" w:rsidP="3A42354A">
      <w:pPr>
        <w:spacing w:after="16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returned </w:t>
      </w:r>
      <w:r w:rsidR="0026256C" w:rsidRPr="31A6BAF1">
        <w:rPr>
          <w:rFonts w:ascii="Segoe UI" w:eastAsia="Segoe UI" w:hAnsi="Segoe UI" w:cs="Segoe UI"/>
          <w:color w:val="666666"/>
          <w:sz w:val="20"/>
          <w:szCs w:val="20"/>
        </w:rPr>
        <w:t>$</w:t>
      </w:r>
      <w:r w:rsidR="003178FF">
        <w:rPr>
          <w:rFonts w:ascii="Segoe UI" w:eastAsia="Segoe UI" w:hAnsi="Segoe UI" w:cs="Segoe UI"/>
          <w:color w:val="666666"/>
          <w:sz w:val="20"/>
          <w:szCs w:val="20"/>
        </w:rPr>
        <w:t>6.1 billion</w:t>
      </w:r>
      <w:r w:rsidRPr="00AB4C95">
        <w:rPr>
          <w:rFonts w:ascii="Segoe UI" w:eastAsia="Segoe UI" w:hAnsi="Segoe UI" w:cs="Segoe UI"/>
          <w:color w:val="FF0000"/>
          <w:sz w:val="20"/>
          <w:szCs w:val="20"/>
        </w:rPr>
        <w:t xml:space="preserve"> </w:t>
      </w:r>
      <w:r w:rsidRPr="31A6BAF1">
        <w:rPr>
          <w:rFonts w:ascii="Segoe UI" w:eastAsia="Segoe UI" w:hAnsi="Segoe UI" w:cs="Segoe UI"/>
          <w:color w:val="666666"/>
          <w:sz w:val="20"/>
          <w:szCs w:val="20"/>
        </w:rPr>
        <w:t xml:space="preserve">to shareholders in the form of </w:t>
      </w:r>
      <w:r w:rsidR="00741785" w:rsidRPr="31A6BAF1">
        <w:rPr>
          <w:rFonts w:ascii="Segoe UI" w:eastAsia="Segoe UI" w:hAnsi="Segoe UI" w:cs="Segoe UI"/>
          <w:color w:val="666666"/>
          <w:sz w:val="20"/>
          <w:szCs w:val="20"/>
        </w:rPr>
        <w:t xml:space="preserve">dividends and </w:t>
      </w:r>
      <w:r w:rsidRPr="31A6BAF1">
        <w:rPr>
          <w:rFonts w:ascii="Segoe UI" w:eastAsia="Segoe UI" w:hAnsi="Segoe UI" w:cs="Segoe UI"/>
          <w:color w:val="666666"/>
          <w:sz w:val="20"/>
          <w:szCs w:val="20"/>
        </w:rPr>
        <w:t xml:space="preserve">share repurchases in the </w:t>
      </w:r>
      <w:r w:rsidR="000D59A4">
        <w:rPr>
          <w:rFonts w:ascii="Segoe UI" w:eastAsia="Segoe UI" w:hAnsi="Segoe UI" w:cs="Segoe UI"/>
          <w:color w:val="666666"/>
          <w:sz w:val="20"/>
          <w:szCs w:val="20"/>
        </w:rPr>
        <w:t>first</w:t>
      </w:r>
      <w:r w:rsidRPr="31A6BAF1">
        <w:rPr>
          <w:rFonts w:ascii="Segoe UI" w:eastAsia="Segoe UI" w:hAnsi="Segoe UI" w:cs="Segoe UI"/>
          <w:color w:val="666666"/>
          <w:sz w:val="20"/>
          <w:szCs w:val="20"/>
        </w:rPr>
        <w:t xml:space="preserve"> quarter of fiscal year 201</w:t>
      </w:r>
      <w:r w:rsidR="000D59A4">
        <w:rPr>
          <w:rFonts w:ascii="Segoe UI" w:eastAsia="Segoe UI" w:hAnsi="Segoe UI" w:cs="Segoe UI"/>
          <w:color w:val="666666"/>
          <w:sz w:val="20"/>
          <w:szCs w:val="20"/>
        </w:rPr>
        <w:t>9</w:t>
      </w:r>
      <w:r w:rsidR="004A5CBC" w:rsidRPr="31A6BAF1">
        <w:rPr>
          <w:rFonts w:ascii="Segoe UI" w:eastAsia="Segoe UI" w:hAnsi="Segoe UI" w:cs="Segoe UI"/>
          <w:color w:val="666666"/>
          <w:sz w:val="20"/>
          <w:szCs w:val="20"/>
        </w:rPr>
        <w:t xml:space="preserve">, an increase of </w:t>
      </w:r>
      <w:r w:rsidR="00FE434D" w:rsidRPr="00FE434D">
        <w:rPr>
          <w:rFonts w:ascii="Segoe UI" w:eastAsia="Segoe UI" w:hAnsi="Segoe UI" w:cs="Segoe UI"/>
          <w:color w:val="666666"/>
          <w:sz w:val="20"/>
          <w:szCs w:val="20"/>
        </w:rPr>
        <w:t>27</w:t>
      </w:r>
      <w:r w:rsidR="004A5CBC" w:rsidRPr="31A6BAF1">
        <w:rPr>
          <w:rFonts w:ascii="Segoe UI" w:eastAsia="Segoe UI" w:hAnsi="Segoe UI" w:cs="Segoe UI"/>
          <w:color w:val="666666"/>
          <w:sz w:val="20"/>
          <w:szCs w:val="20"/>
        </w:rPr>
        <w:t>%</w:t>
      </w:r>
      <w:r w:rsidR="00DA451D">
        <w:rPr>
          <w:rFonts w:ascii="Segoe UI" w:eastAsia="Segoe UI" w:hAnsi="Segoe UI" w:cs="Segoe UI"/>
          <w:color w:val="666666"/>
          <w:sz w:val="20"/>
          <w:szCs w:val="20"/>
        </w:rPr>
        <w:t xml:space="preserve"> </w:t>
      </w:r>
      <w:r w:rsidR="00C34F7B">
        <w:rPr>
          <w:rFonts w:ascii="Segoe UI" w:eastAsia="Segoe UI" w:hAnsi="Segoe UI" w:cs="Segoe UI"/>
          <w:color w:val="666666"/>
          <w:sz w:val="20"/>
          <w:szCs w:val="20"/>
        </w:rPr>
        <w:t>compared to the first</w:t>
      </w:r>
      <w:r w:rsidR="000D59A4">
        <w:rPr>
          <w:rFonts w:ascii="Segoe UI" w:eastAsia="Segoe UI" w:hAnsi="Segoe UI" w:cs="Segoe UI"/>
          <w:color w:val="666666"/>
          <w:sz w:val="20"/>
          <w:szCs w:val="20"/>
        </w:rPr>
        <w:t xml:space="preserve"> quarter of fiscal year 2018</w:t>
      </w:r>
      <w:r w:rsidR="00EA7AC8">
        <w:rPr>
          <w:rFonts w:ascii="Segoe UI" w:eastAsia="Segoe UI" w:hAnsi="Segoe UI" w:cs="Segoe UI"/>
          <w:color w:val="666666"/>
          <w:sz w:val="20"/>
          <w:szCs w:val="20"/>
        </w:rPr>
        <w:t>.</w:t>
      </w:r>
    </w:p>
    <w:p w14:paraId="113F46BA" w14:textId="7A98A0E9" w:rsidR="00A16858" w:rsidRPr="00A16858" w:rsidRDefault="00A16858" w:rsidP="00A16858">
      <w:pPr>
        <w:spacing w:after="160"/>
        <w:rPr>
          <w:rFonts w:ascii="Segoe UI" w:eastAsia="Segoe UI" w:hAnsi="Segoe UI" w:cs="Segoe UI"/>
          <w:color w:val="666666"/>
          <w:sz w:val="20"/>
          <w:szCs w:val="20"/>
        </w:rPr>
      </w:pPr>
      <w:r>
        <w:rPr>
          <w:rFonts w:ascii="Segoe UI" w:eastAsia="Segoe UI" w:hAnsi="Segoe UI" w:cs="Segoe UI"/>
          <w:color w:val="666666"/>
          <w:sz w:val="20"/>
          <w:szCs w:val="20"/>
        </w:rPr>
        <w:t xml:space="preserve">"Our record </w:t>
      </w:r>
      <w:r w:rsidRPr="00A16858">
        <w:rPr>
          <w:rFonts w:ascii="Segoe UI" w:eastAsia="Segoe UI" w:hAnsi="Segoe UI" w:cs="Segoe UI"/>
          <w:color w:val="666666"/>
          <w:sz w:val="20"/>
          <w:szCs w:val="20"/>
        </w:rPr>
        <w:t>results for Q1 reflect our commitment to long-term strategic investments and consistent execution to drive revenue growth and operating margin expansion,” said Amy Hood, executive vice presiden</w:t>
      </w:r>
      <w:r w:rsidR="00AF00A5">
        <w:rPr>
          <w:rFonts w:ascii="Segoe UI" w:eastAsia="Segoe UI" w:hAnsi="Segoe UI" w:cs="Segoe UI"/>
          <w:color w:val="666666"/>
          <w:sz w:val="20"/>
          <w:szCs w:val="20"/>
        </w:rPr>
        <w:t>t and chief financial officer of</w:t>
      </w:r>
      <w:r w:rsidRPr="00A16858">
        <w:rPr>
          <w:rFonts w:ascii="Segoe UI" w:eastAsia="Segoe UI" w:hAnsi="Segoe UI" w:cs="Segoe UI"/>
          <w:color w:val="666666"/>
          <w:sz w:val="20"/>
          <w:szCs w:val="20"/>
        </w:rPr>
        <w:t xml:space="preserve"> Microsoft. “We see continued demand for our cloud offerings, reflected in our commercial cloud revenue of $8.5 billion, up 47% year over year.”</w:t>
      </w:r>
    </w:p>
    <w:p w14:paraId="00398EAA" w14:textId="5C5A5A19"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Productivity and Business Processes was </w:t>
      </w:r>
      <w:r w:rsidR="000D59A4">
        <w:rPr>
          <w:rFonts w:ascii="Segoe UI" w:eastAsia="Segoe UI" w:hAnsi="Segoe UI" w:cs="Segoe UI"/>
          <w:color w:val="666666"/>
          <w:sz w:val="20"/>
          <w:szCs w:val="20"/>
        </w:rPr>
        <w:t>$</w:t>
      </w:r>
      <w:r w:rsidR="00123B96">
        <w:rPr>
          <w:rFonts w:ascii="Segoe UI" w:eastAsia="Segoe UI" w:hAnsi="Segoe UI" w:cs="Segoe UI"/>
          <w:color w:val="666666"/>
          <w:sz w:val="20"/>
          <w:szCs w:val="20"/>
        </w:rPr>
        <w:t>9.8</w:t>
      </w:r>
      <w:r w:rsidR="004D1D0B"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and increased </w:t>
      </w:r>
      <w:r w:rsidR="00123B96">
        <w:rPr>
          <w:rFonts w:ascii="Segoe UI" w:eastAsia="Segoe UI" w:hAnsi="Segoe UI" w:cs="Segoe UI"/>
          <w:color w:val="666666"/>
          <w:sz w:val="20"/>
          <w:szCs w:val="20"/>
        </w:rPr>
        <w:t>19</w:t>
      </w:r>
      <w:r w:rsidR="006E2881"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123B96">
        <w:rPr>
          <w:rFonts w:ascii="Segoe UI" w:eastAsia="Segoe UI" w:hAnsi="Segoe UI" w:cs="Segoe UI"/>
          <w:color w:val="666666"/>
          <w:sz w:val="20"/>
          <w:szCs w:val="20"/>
        </w:rPr>
        <w:t>18</w:t>
      </w:r>
      <w:r w:rsidR="00BE0F82"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with the following business highlights:</w:t>
      </w:r>
    </w:p>
    <w:p w14:paraId="3B22C375" w14:textId="06504171"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commercial products and cloud services revenue increased </w:t>
      </w:r>
      <w:r w:rsidR="00A314F8">
        <w:rPr>
          <w:rFonts w:ascii="Segoe UI" w:eastAsia="Segoe UI" w:hAnsi="Segoe UI" w:cs="Segoe UI"/>
          <w:color w:val="666666"/>
          <w:sz w:val="20"/>
          <w:szCs w:val="20"/>
        </w:rPr>
        <w:t>17</w:t>
      </w:r>
      <w:r w:rsidR="00FB0261"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A314F8">
        <w:rPr>
          <w:rFonts w:ascii="Segoe UI" w:eastAsia="Segoe UI" w:hAnsi="Segoe UI" w:cs="Segoe UI"/>
          <w:color w:val="666666"/>
          <w:sz w:val="20"/>
          <w:szCs w:val="20"/>
        </w:rPr>
        <w:t>16</w:t>
      </w:r>
      <w:r w:rsidR="00C636D6"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driven by Office 365 commercial revenue growth of </w:t>
      </w:r>
      <w:r w:rsidR="00B0116F">
        <w:rPr>
          <w:rFonts w:ascii="Segoe UI" w:eastAsia="Segoe UI" w:hAnsi="Segoe UI" w:cs="Segoe UI"/>
          <w:color w:val="666666"/>
          <w:sz w:val="20"/>
          <w:szCs w:val="20"/>
        </w:rPr>
        <w:t>36</w:t>
      </w:r>
      <w:r w:rsidR="00BE0F82"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A076C4">
        <w:rPr>
          <w:rFonts w:ascii="Segoe UI" w:eastAsia="Segoe UI" w:hAnsi="Segoe UI" w:cs="Segoe UI"/>
          <w:color w:val="666666"/>
          <w:sz w:val="20"/>
          <w:szCs w:val="20"/>
        </w:rPr>
        <w:t>35</w:t>
      </w:r>
      <w:r w:rsidR="00CC5D57"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p>
    <w:p w14:paraId="3FB14615" w14:textId="57F97BA9"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Office consumer products and cloud services revenue increased </w:t>
      </w:r>
      <w:r w:rsidR="00ED165A">
        <w:rPr>
          <w:rFonts w:ascii="Segoe UI" w:eastAsia="Segoe UI" w:hAnsi="Segoe UI" w:cs="Segoe UI"/>
          <w:color w:val="666666"/>
          <w:sz w:val="20"/>
          <w:szCs w:val="20"/>
        </w:rPr>
        <w:t>16</w:t>
      </w:r>
      <w:r w:rsidR="00CB49B4"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ED165A">
        <w:rPr>
          <w:rFonts w:ascii="Segoe UI" w:eastAsia="Segoe UI" w:hAnsi="Segoe UI" w:cs="Segoe UI"/>
          <w:color w:val="666666"/>
          <w:sz w:val="20"/>
          <w:szCs w:val="20"/>
        </w:rPr>
        <w:t>17</w:t>
      </w:r>
      <w:r w:rsidR="00CB49B4"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8606A4">
        <w:rPr>
          <w:rFonts w:ascii="Segoe UI" w:eastAsia="Segoe UI" w:hAnsi="Segoe UI" w:cs="Segoe UI"/>
          <w:color w:val="666666"/>
          <w:sz w:val="20"/>
          <w:szCs w:val="20"/>
        </w:rPr>
        <w:t>with</w:t>
      </w:r>
      <w:r w:rsidR="0064357B">
        <w:rPr>
          <w:rFonts w:ascii="Segoe UI" w:eastAsia="Segoe UI" w:hAnsi="Segoe UI" w:cs="Segoe UI"/>
          <w:color w:val="666666"/>
          <w:sz w:val="20"/>
          <w:szCs w:val="20"/>
        </w:rPr>
        <w:t xml:space="preserve"> continued growth in</w:t>
      </w:r>
      <w:r w:rsidR="008606A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Office 365 consumer subscribers </w:t>
      </w:r>
      <w:r w:rsidR="008F2329">
        <w:rPr>
          <w:rFonts w:ascii="Segoe UI" w:eastAsia="Segoe UI" w:hAnsi="Segoe UI" w:cs="Segoe UI"/>
          <w:color w:val="666666"/>
          <w:sz w:val="20"/>
          <w:szCs w:val="20"/>
        </w:rPr>
        <w:t>to</w:t>
      </w:r>
      <w:r w:rsidRPr="31A6BAF1">
        <w:rPr>
          <w:rFonts w:ascii="Segoe UI" w:eastAsia="Segoe UI" w:hAnsi="Segoe UI" w:cs="Segoe UI"/>
          <w:color w:val="666666"/>
          <w:sz w:val="20"/>
          <w:szCs w:val="20"/>
        </w:rPr>
        <w:t xml:space="preserve"> </w:t>
      </w:r>
      <w:r w:rsidR="00ED165A">
        <w:rPr>
          <w:rFonts w:ascii="Segoe UI" w:eastAsia="Segoe UI" w:hAnsi="Segoe UI" w:cs="Segoe UI"/>
          <w:color w:val="666666"/>
          <w:sz w:val="20"/>
          <w:szCs w:val="20"/>
        </w:rPr>
        <w:t>32.5</w:t>
      </w:r>
      <w:r w:rsidR="00F1682B" w:rsidRPr="31A6BAF1">
        <w:rPr>
          <w:rFonts w:ascii="Segoe UI" w:eastAsia="Segoe UI" w:hAnsi="Segoe UI" w:cs="Segoe UI"/>
          <w:color w:val="666666"/>
          <w:sz w:val="20"/>
          <w:szCs w:val="20"/>
        </w:rPr>
        <w:t xml:space="preserve"> million</w:t>
      </w:r>
    </w:p>
    <w:p w14:paraId="0EDA6F0B" w14:textId="1DCF1380" w:rsidR="0004606B" w:rsidRPr="0049464B" w:rsidRDefault="0004606B"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LinkedIn revenue increased </w:t>
      </w:r>
      <w:r w:rsidR="00ED165A">
        <w:rPr>
          <w:rFonts w:ascii="Segoe UI" w:eastAsia="Segoe UI" w:hAnsi="Segoe UI" w:cs="Segoe UI"/>
          <w:color w:val="666666"/>
          <w:sz w:val="20"/>
          <w:szCs w:val="20"/>
        </w:rPr>
        <w:t>33</w:t>
      </w:r>
      <w:r w:rsidR="008D559D"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ED165A">
        <w:rPr>
          <w:rFonts w:ascii="Segoe UI" w:eastAsia="Segoe UI" w:hAnsi="Segoe UI" w:cs="Segoe UI"/>
          <w:color w:val="666666"/>
          <w:sz w:val="20"/>
          <w:szCs w:val="20"/>
        </w:rPr>
        <w:t>33</w:t>
      </w:r>
      <w:r w:rsidR="008D559D"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D518C2" w:rsidRPr="31A6BAF1">
        <w:rPr>
          <w:rFonts w:ascii="Segoe UI" w:eastAsia="Segoe UI" w:hAnsi="Segoe UI" w:cs="Segoe UI"/>
          <w:color w:val="666666"/>
          <w:sz w:val="20"/>
          <w:szCs w:val="20"/>
        </w:rPr>
        <w:t xml:space="preserve">with </w:t>
      </w:r>
      <w:r w:rsidR="00422EF2">
        <w:rPr>
          <w:rFonts w:ascii="Segoe UI" w:eastAsia="Segoe UI" w:hAnsi="Segoe UI" w:cs="Segoe UI"/>
          <w:color w:val="666666"/>
          <w:sz w:val="20"/>
          <w:szCs w:val="20"/>
        </w:rPr>
        <w:t xml:space="preserve">record levels of </w:t>
      </w:r>
      <w:r w:rsidR="00F82A00" w:rsidRPr="31A6BAF1">
        <w:rPr>
          <w:rFonts w:ascii="Segoe UI" w:eastAsia="Segoe UI" w:hAnsi="Segoe UI" w:cs="Segoe UI"/>
          <w:color w:val="666666"/>
          <w:sz w:val="20"/>
          <w:szCs w:val="20"/>
        </w:rPr>
        <w:t xml:space="preserve">engagement </w:t>
      </w:r>
      <w:r w:rsidR="0014589C" w:rsidRPr="31A6BAF1">
        <w:rPr>
          <w:rFonts w:ascii="Segoe UI" w:eastAsia="Segoe UI" w:hAnsi="Segoe UI" w:cs="Segoe UI"/>
          <w:color w:val="666666"/>
          <w:sz w:val="20"/>
          <w:szCs w:val="20"/>
        </w:rPr>
        <w:t>highlighted by</w:t>
      </w:r>
      <w:r w:rsidR="00814B0E" w:rsidRPr="31A6BAF1">
        <w:rPr>
          <w:rFonts w:ascii="Segoe UI" w:eastAsia="Segoe UI" w:hAnsi="Segoe UI" w:cs="Segoe UI"/>
          <w:color w:val="666666"/>
          <w:sz w:val="20"/>
          <w:szCs w:val="20"/>
        </w:rPr>
        <w:t xml:space="preserve"> </w:t>
      </w:r>
      <w:r w:rsidR="00F82A00" w:rsidRPr="31A6BAF1">
        <w:rPr>
          <w:rFonts w:ascii="Segoe UI" w:eastAsia="Segoe UI" w:hAnsi="Segoe UI" w:cs="Segoe UI"/>
          <w:color w:val="666666"/>
          <w:sz w:val="20"/>
          <w:szCs w:val="20"/>
        </w:rPr>
        <w:t xml:space="preserve">LinkedIn sessions growth </w:t>
      </w:r>
      <w:r w:rsidR="00814B0E" w:rsidRPr="31A6BAF1">
        <w:rPr>
          <w:rFonts w:ascii="Segoe UI" w:eastAsia="Segoe UI" w:hAnsi="Segoe UI" w:cs="Segoe UI"/>
          <w:color w:val="666666"/>
          <w:sz w:val="20"/>
          <w:szCs w:val="20"/>
        </w:rPr>
        <w:t xml:space="preserve">of </w:t>
      </w:r>
      <w:r w:rsidR="002D267F" w:rsidRPr="00FE434D">
        <w:rPr>
          <w:rFonts w:ascii="Segoe UI" w:eastAsia="Segoe UI" w:hAnsi="Segoe UI" w:cs="Segoe UI"/>
          <w:color w:val="666666"/>
          <w:sz w:val="20"/>
          <w:szCs w:val="20"/>
        </w:rPr>
        <w:t>34</w:t>
      </w:r>
      <w:r w:rsidR="00F82A00" w:rsidRPr="31A6BAF1">
        <w:rPr>
          <w:rFonts w:ascii="Segoe UI" w:eastAsia="Segoe UI" w:hAnsi="Segoe UI" w:cs="Segoe UI"/>
          <w:color w:val="666666"/>
          <w:sz w:val="20"/>
          <w:szCs w:val="20"/>
        </w:rPr>
        <w:t>%</w:t>
      </w:r>
    </w:p>
    <w:p w14:paraId="6CE2C38C" w14:textId="77C3D1C5" w:rsidR="000856AD" w:rsidRPr="00243400"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Dynamics products and cloud services revenue increased </w:t>
      </w:r>
      <w:r w:rsidR="00ED165A">
        <w:rPr>
          <w:rFonts w:ascii="Segoe UI" w:eastAsia="Segoe UI" w:hAnsi="Segoe UI" w:cs="Segoe UI"/>
          <w:color w:val="666666"/>
          <w:sz w:val="20"/>
          <w:szCs w:val="20"/>
        </w:rPr>
        <w:t>20</w:t>
      </w:r>
      <w:r w:rsidR="00B300F1"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ED165A">
        <w:rPr>
          <w:rFonts w:ascii="Segoe UI" w:eastAsia="Segoe UI" w:hAnsi="Segoe UI" w:cs="Segoe UI"/>
          <w:color w:val="666666"/>
          <w:sz w:val="20"/>
          <w:szCs w:val="20"/>
        </w:rPr>
        <w:t>20</w:t>
      </w:r>
      <w:r w:rsidR="00B300F1"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driven by Dynamics 365 revenue growth of </w:t>
      </w:r>
      <w:r w:rsidR="00B0116F">
        <w:rPr>
          <w:rFonts w:ascii="Segoe UI" w:eastAsia="Segoe UI" w:hAnsi="Segoe UI" w:cs="Segoe UI"/>
          <w:color w:val="666666"/>
          <w:sz w:val="20"/>
          <w:szCs w:val="20"/>
        </w:rPr>
        <w:t>51</w:t>
      </w:r>
      <w:r w:rsidR="00B300F1"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2D267F" w:rsidRPr="00FE434D">
        <w:rPr>
          <w:rFonts w:ascii="Segoe UI" w:eastAsia="Segoe UI" w:hAnsi="Segoe UI" w:cs="Segoe UI"/>
          <w:color w:val="666666"/>
          <w:sz w:val="20"/>
          <w:szCs w:val="20"/>
        </w:rPr>
        <w:t>49</w:t>
      </w:r>
      <w:r w:rsidR="00A37BE2"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p>
    <w:p w14:paraId="5274C7CC" w14:textId="663DEA73" w:rsidR="000856AD" w:rsidRPr="00D60058"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Intelligent Cloud was </w:t>
      </w:r>
      <w:r w:rsidR="00123B96">
        <w:rPr>
          <w:rFonts w:ascii="Segoe UI" w:eastAsia="Segoe UI" w:hAnsi="Segoe UI" w:cs="Segoe UI"/>
          <w:color w:val="666666"/>
          <w:sz w:val="20"/>
          <w:szCs w:val="20"/>
        </w:rPr>
        <w:t>$8.6</w:t>
      </w:r>
      <w:r w:rsidR="00827DCE"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and increased </w:t>
      </w:r>
      <w:r w:rsidR="00123B96">
        <w:rPr>
          <w:rFonts w:ascii="Segoe UI" w:eastAsia="Segoe UI" w:hAnsi="Segoe UI" w:cs="Segoe UI"/>
          <w:color w:val="666666"/>
          <w:sz w:val="20"/>
          <w:szCs w:val="20"/>
        </w:rPr>
        <w:t>24</w:t>
      </w:r>
      <w:r w:rsidR="003F2194"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123B96">
        <w:rPr>
          <w:rFonts w:ascii="Segoe UI" w:eastAsia="Segoe UI" w:hAnsi="Segoe UI" w:cs="Segoe UI"/>
          <w:color w:val="666666"/>
          <w:sz w:val="20"/>
          <w:szCs w:val="20"/>
        </w:rPr>
        <w:t>24</w:t>
      </w:r>
      <w:r w:rsidR="003F2194"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with the following business highlights:</w:t>
      </w:r>
    </w:p>
    <w:p w14:paraId="6521B35A" w14:textId="20825098" w:rsidR="00411162" w:rsidRDefault="5988D9F6" w:rsidP="5988D9F6">
      <w:pPr>
        <w:pStyle w:val="ListParagraph"/>
        <w:numPr>
          <w:ilvl w:val="0"/>
          <w:numId w:val="5"/>
        </w:num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Server products and cloud services revenue increased 28% (up 28% in constant currency) driven by Azure revenue growth of 7</w:t>
      </w:r>
      <w:r w:rsidR="00356917">
        <w:rPr>
          <w:rFonts w:ascii="Segoe UI" w:eastAsia="Segoe UI" w:hAnsi="Segoe UI" w:cs="Segoe UI"/>
          <w:color w:val="666666"/>
          <w:sz w:val="20"/>
          <w:szCs w:val="20"/>
        </w:rPr>
        <w:t>6</w:t>
      </w:r>
      <w:r w:rsidRPr="5988D9F6">
        <w:rPr>
          <w:rFonts w:ascii="Segoe UI" w:eastAsia="Segoe UI" w:hAnsi="Segoe UI" w:cs="Segoe UI"/>
          <w:color w:val="666666"/>
          <w:sz w:val="20"/>
          <w:szCs w:val="20"/>
        </w:rPr>
        <w:t xml:space="preserve">% (up </w:t>
      </w:r>
      <w:r w:rsidR="002D267F" w:rsidRPr="00406A2F">
        <w:rPr>
          <w:rFonts w:ascii="Segoe UI" w:eastAsia="Segoe UI" w:hAnsi="Segoe UI" w:cs="Segoe UI"/>
          <w:color w:val="666666"/>
          <w:sz w:val="20"/>
          <w:szCs w:val="20"/>
        </w:rPr>
        <w:t>7</w:t>
      </w:r>
      <w:r w:rsidR="00356917" w:rsidRPr="00406A2F">
        <w:rPr>
          <w:rFonts w:ascii="Segoe UI" w:eastAsia="Segoe UI" w:hAnsi="Segoe UI" w:cs="Segoe UI"/>
          <w:color w:val="666666"/>
          <w:sz w:val="20"/>
          <w:szCs w:val="20"/>
        </w:rPr>
        <w:t>6</w:t>
      </w:r>
      <w:r w:rsidRPr="00406A2F">
        <w:rPr>
          <w:rFonts w:ascii="Segoe UI" w:eastAsia="Segoe UI" w:hAnsi="Segoe UI" w:cs="Segoe UI"/>
          <w:color w:val="666666"/>
          <w:sz w:val="20"/>
          <w:szCs w:val="20"/>
        </w:rPr>
        <w:t>%</w:t>
      </w:r>
      <w:r w:rsidRPr="5988D9F6">
        <w:rPr>
          <w:rFonts w:ascii="Segoe UI" w:eastAsia="Segoe UI" w:hAnsi="Segoe UI" w:cs="Segoe UI"/>
          <w:color w:val="666666"/>
          <w:sz w:val="20"/>
          <w:szCs w:val="20"/>
        </w:rPr>
        <w:t xml:space="preserve"> in constant currency)</w:t>
      </w:r>
    </w:p>
    <w:p w14:paraId="3277BDEB" w14:textId="4CF70AFA" w:rsidR="000856AD" w:rsidRPr="00243400" w:rsidRDefault="3A42354A" w:rsidP="000500A1">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Enterprise Services revenue increased </w:t>
      </w:r>
      <w:r w:rsidR="00ED165A">
        <w:rPr>
          <w:rFonts w:ascii="Segoe UI" w:eastAsia="Segoe UI" w:hAnsi="Segoe UI" w:cs="Segoe UI"/>
          <w:color w:val="666666"/>
          <w:sz w:val="20"/>
          <w:szCs w:val="20"/>
        </w:rPr>
        <w:t>6</w:t>
      </w:r>
      <w:r w:rsidR="006F537D"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w:t>
      </w:r>
      <w:r w:rsidR="00D47CB9" w:rsidRPr="31A6BAF1">
        <w:rPr>
          <w:rFonts w:ascii="Segoe UI" w:eastAsia="Segoe UI" w:hAnsi="Segoe UI" w:cs="Segoe UI"/>
          <w:color w:val="666666"/>
          <w:sz w:val="20"/>
          <w:szCs w:val="20"/>
        </w:rPr>
        <w:t xml:space="preserve">up </w:t>
      </w:r>
      <w:r w:rsidR="00ED165A">
        <w:rPr>
          <w:rFonts w:ascii="Segoe UI" w:eastAsia="Segoe UI" w:hAnsi="Segoe UI" w:cs="Segoe UI"/>
          <w:color w:val="666666"/>
          <w:sz w:val="20"/>
          <w:szCs w:val="20"/>
        </w:rPr>
        <w:t>6</w:t>
      </w:r>
      <w:r w:rsidR="006F537D"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p>
    <w:p w14:paraId="36BD9C9D" w14:textId="7FF0D52C" w:rsidR="000856AD" w:rsidRPr="00243400" w:rsidRDefault="3A42354A" w:rsidP="3A42354A">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in More Personal Computing was </w:t>
      </w:r>
      <w:r w:rsidR="00123B96">
        <w:rPr>
          <w:rFonts w:ascii="Segoe UI" w:eastAsia="Segoe UI" w:hAnsi="Segoe UI" w:cs="Segoe UI"/>
          <w:color w:val="666666"/>
          <w:sz w:val="20"/>
          <w:szCs w:val="20"/>
        </w:rPr>
        <w:t>$10.7</w:t>
      </w:r>
      <w:r w:rsidR="00BE0F82" w:rsidRPr="31A6BAF1">
        <w:rPr>
          <w:rFonts w:ascii="Segoe UI" w:eastAsia="Segoe UI" w:hAnsi="Segoe UI" w:cs="Segoe UI"/>
          <w:color w:val="666666"/>
          <w:sz w:val="20"/>
          <w:szCs w:val="20"/>
        </w:rPr>
        <w:t xml:space="preserve"> billion</w:t>
      </w:r>
      <w:r w:rsidRPr="31A6BAF1">
        <w:rPr>
          <w:rFonts w:ascii="Segoe UI" w:eastAsia="Segoe UI" w:hAnsi="Segoe UI" w:cs="Segoe UI"/>
          <w:color w:val="666666"/>
          <w:sz w:val="20"/>
          <w:szCs w:val="20"/>
        </w:rPr>
        <w:t xml:space="preserve"> </w:t>
      </w:r>
      <w:r w:rsidR="007B187D" w:rsidRPr="31A6BAF1">
        <w:rPr>
          <w:rFonts w:ascii="Segoe UI" w:eastAsia="Segoe UI" w:hAnsi="Segoe UI" w:cs="Segoe UI"/>
          <w:color w:val="666666"/>
          <w:sz w:val="20"/>
          <w:szCs w:val="20"/>
        </w:rPr>
        <w:t xml:space="preserve">and increased </w:t>
      </w:r>
      <w:r w:rsidR="00123B96">
        <w:rPr>
          <w:rFonts w:ascii="Segoe UI" w:eastAsia="Segoe UI" w:hAnsi="Segoe UI" w:cs="Segoe UI"/>
          <w:color w:val="666666"/>
          <w:sz w:val="20"/>
          <w:szCs w:val="20"/>
        </w:rPr>
        <w:t>15</w:t>
      </w:r>
      <w:r w:rsidR="00633ADF"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w:t>
      </w:r>
      <w:r w:rsidR="007B187D" w:rsidRPr="31A6BAF1">
        <w:rPr>
          <w:rFonts w:ascii="Segoe UI" w:eastAsia="Segoe UI" w:hAnsi="Segoe UI" w:cs="Segoe UI"/>
          <w:color w:val="666666"/>
          <w:sz w:val="20"/>
          <w:szCs w:val="20"/>
        </w:rPr>
        <w:t>up</w:t>
      </w:r>
      <w:r w:rsidRPr="31A6BAF1">
        <w:rPr>
          <w:rFonts w:ascii="Segoe UI" w:eastAsia="Segoe UI" w:hAnsi="Segoe UI" w:cs="Segoe UI"/>
          <w:color w:val="666666"/>
          <w:sz w:val="20"/>
          <w:szCs w:val="20"/>
        </w:rPr>
        <w:t xml:space="preserve"> </w:t>
      </w:r>
      <w:r w:rsidR="00123B96">
        <w:rPr>
          <w:rFonts w:ascii="Segoe UI" w:eastAsia="Segoe UI" w:hAnsi="Segoe UI" w:cs="Segoe UI"/>
          <w:color w:val="666666"/>
          <w:sz w:val="20"/>
          <w:szCs w:val="20"/>
        </w:rPr>
        <w:t>15%</w:t>
      </w:r>
      <w:r w:rsidRPr="31A6BAF1">
        <w:rPr>
          <w:rFonts w:ascii="Segoe UI" w:eastAsia="Segoe UI" w:hAnsi="Segoe UI" w:cs="Segoe UI"/>
          <w:color w:val="666666"/>
          <w:sz w:val="20"/>
          <w:szCs w:val="20"/>
        </w:rPr>
        <w:t xml:space="preserve"> in constant currency), with the following business highlights:</w:t>
      </w:r>
    </w:p>
    <w:p w14:paraId="232E0E60" w14:textId="77DE36D2" w:rsidR="000856AD" w:rsidRPr="00D60058" w:rsidRDefault="3A42354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OEM revenue increased </w:t>
      </w:r>
      <w:r w:rsidR="001A5139">
        <w:rPr>
          <w:rFonts w:ascii="Segoe UI" w:eastAsia="Segoe UI" w:hAnsi="Segoe UI" w:cs="Segoe UI"/>
          <w:color w:val="666666"/>
          <w:sz w:val="20"/>
          <w:szCs w:val="20"/>
        </w:rPr>
        <w:t>3</w:t>
      </w:r>
      <w:r w:rsidR="00761029"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1A5139">
        <w:rPr>
          <w:rFonts w:ascii="Segoe UI" w:eastAsia="Segoe UI" w:hAnsi="Segoe UI" w:cs="Segoe UI"/>
          <w:color w:val="666666"/>
          <w:sz w:val="20"/>
          <w:szCs w:val="20"/>
        </w:rPr>
        <w:t>3</w:t>
      </w:r>
      <w:r w:rsidR="00761029"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w:t>
      </w:r>
      <w:r w:rsidR="008569A7" w:rsidRPr="31A6BAF1">
        <w:rPr>
          <w:rFonts w:ascii="Segoe UI" w:eastAsia="Segoe UI" w:hAnsi="Segoe UI" w:cs="Segoe UI"/>
          <w:color w:val="666666"/>
          <w:sz w:val="20"/>
          <w:szCs w:val="20"/>
        </w:rPr>
        <w:t xml:space="preserve"> driven by OEM Pro revenue growth of </w:t>
      </w:r>
      <w:r w:rsidR="00ED165A">
        <w:rPr>
          <w:rFonts w:ascii="Segoe UI" w:eastAsia="Segoe UI" w:hAnsi="Segoe UI" w:cs="Segoe UI"/>
          <w:color w:val="666666"/>
          <w:sz w:val="20"/>
          <w:szCs w:val="20"/>
        </w:rPr>
        <w:t>8</w:t>
      </w:r>
      <w:r w:rsidR="00DE5C89"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w:t>
      </w:r>
    </w:p>
    <w:p w14:paraId="38EA3C76" w14:textId="01D945D3" w:rsidR="00AF5A71" w:rsidRPr="00157015" w:rsidRDefault="3A42354A" w:rsidP="00157015">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Windows commercial products and cloud services revenue increased </w:t>
      </w:r>
      <w:r w:rsidR="00ED165A">
        <w:rPr>
          <w:rFonts w:ascii="Segoe UI" w:eastAsia="Segoe UI" w:hAnsi="Segoe UI" w:cs="Segoe UI"/>
          <w:color w:val="666666"/>
          <w:sz w:val="20"/>
          <w:szCs w:val="20"/>
        </w:rPr>
        <w:t>12</w:t>
      </w:r>
      <w:r w:rsidR="00D45D68"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(up </w:t>
      </w:r>
      <w:r w:rsidR="00D45D68" w:rsidRPr="31A6BAF1">
        <w:rPr>
          <w:rFonts w:ascii="Segoe UI" w:eastAsia="Segoe UI" w:hAnsi="Segoe UI" w:cs="Segoe UI"/>
          <w:color w:val="666666"/>
          <w:sz w:val="20"/>
          <w:szCs w:val="20"/>
        </w:rPr>
        <w:t>1</w:t>
      </w:r>
      <w:r w:rsidR="00ED165A">
        <w:rPr>
          <w:rFonts w:ascii="Segoe UI" w:eastAsia="Segoe UI" w:hAnsi="Segoe UI" w:cs="Segoe UI"/>
          <w:color w:val="666666"/>
          <w:sz w:val="20"/>
          <w:szCs w:val="20"/>
        </w:rPr>
        <w:t>2</w:t>
      </w:r>
      <w:r w:rsidR="00D45D68"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157015" w:rsidRPr="00B56D3E">
        <w:rPr>
          <w:rFonts w:ascii="Segoe UI" w:eastAsia="Segoe UI" w:hAnsi="Segoe UI" w:cs="Segoe UI"/>
          <w:color w:val="666666"/>
          <w:sz w:val="20"/>
          <w:szCs w:val="20"/>
        </w:rPr>
        <w:t>driven by an increased volume of multi-year agreements</w:t>
      </w:r>
    </w:p>
    <w:p w14:paraId="0D1E4E91" w14:textId="26FB1AEE" w:rsidR="001C52FA" w:rsidRPr="00565611" w:rsidRDefault="001C52FA" w:rsidP="007E5ECA">
      <w:pPr>
        <w:pStyle w:val="ListParagraph"/>
        <w:numPr>
          <w:ilvl w:val="0"/>
          <w:numId w:val="5"/>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Gaming revenue increased </w:t>
      </w:r>
      <w:r w:rsidR="00B0116F">
        <w:rPr>
          <w:rFonts w:ascii="Segoe UI" w:eastAsia="Segoe UI" w:hAnsi="Segoe UI" w:cs="Segoe UI"/>
          <w:color w:val="666666"/>
          <w:sz w:val="20"/>
          <w:szCs w:val="20"/>
        </w:rPr>
        <w:t>44</w:t>
      </w:r>
      <w:r w:rsidR="000332D2"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w:t>
      </w:r>
      <w:r w:rsidR="00F800B7" w:rsidRPr="31A6BAF1">
        <w:rPr>
          <w:rFonts w:ascii="Segoe UI" w:eastAsia="Segoe UI" w:hAnsi="Segoe UI" w:cs="Segoe UI"/>
          <w:color w:val="666666"/>
          <w:sz w:val="20"/>
          <w:szCs w:val="20"/>
        </w:rPr>
        <w:t xml:space="preserve">up </w:t>
      </w:r>
      <w:r w:rsidR="002D267F">
        <w:rPr>
          <w:rFonts w:ascii="Segoe UI" w:eastAsia="Segoe UI" w:hAnsi="Segoe UI" w:cs="Segoe UI"/>
          <w:color w:val="666666"/>
          <w:sz w:val="20"/>
          <w:szCs w:val="20"/>
        </w:rPr>
        <w:t>45</w:t>
      </w:r>
      <w:r w:rsidR="00BE0F82"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B225AF" w:rsidRPr="31A6BAF1">
        <w:rPr>
          <w:rFonts w:ascii="Segoe UI" w:eastAsia="Segoe UI" w:hAnsi="Segoe UI" w:cs="Segoe UI"/>
          <w:color w:val="666666"/>
          <w:sz w:val="20"/>
          <w:szCs w:val="20"/>
        </w:rPr>
        <w:t>with</w:t>
      </w:r>
      <w:r w:rsidRPr="31A6BAF1">
        <w:rPr>
          <w:rFonts w:ascii="Segoe UI" w:eastAsia="Segoe UI" w:hAnsi="Segoe UI" w:cs="Segoe UI"/>
          <w:color w:val="666666"/>
          <w:sz w:val="20"/>
          <w:szCs w:val="20"/>
        </w:rPr>
        <w:t xml:space="preserve"> Xbox software and services revenue growth of </w:t>
      </w:r>
      <w:r w:rsidR="000C31F2" w:rsidRPr="31A6BAF1">
        <w:rPr>
          <w:rFonts w:ascii="Segoe UI" w:eastAsia="Segoe UI" w:hAnsi="Segoe UI" w:cs="Segoe UI"/>
          <w:color w:val="666666"/>
          <w:sz w:val="20"/>
          <w:szCs w:val="20"/>
        </w:rPr>
        <w:t>36%</w:t>
      </w:r>
      <w:r w:rsidRPr="31A6BAF1">
        <w:rPr>
          <w:rFonts w:ascii="Segoe UI" w:eastAsia="Segoe UI" w:hAnsi="Segoe UI" w:cs="Segoe UI"/>
          <w:color w:val="666666"/>
          <w:sz w:val="20"/>
          <w:szCs w:val="20"/>
        </w:rPr>
        <w:t xml:space="preserve"> (up </w:t>
      </w:r>
      <w:r w:rsidR="005D4ED5">
        <w:rPr>
          <w:rFonts w:ascii="Segoe UI" w:eastAsia="Segoe UI" w:hAnsi="Segoe UI" w:cs="Segoe UI"/>
          <w:color w:val="666666"/>
          <w:sz w:val="20"/>
          <w:szCs w:val="20"/>
        </w:rPr>
        <w:t>36</w:t>
      </w:r>
      <w:r w:rsidR="000C31F2" w:rsidRPr="31A6BAF1">
        <w:rPr>
          <w:rFonts w:ascii="Segoe UI" w:eastAsia="Segoe UI" w:hAnsi="Segoe UI" w:cs="Segoe UI"/>
          <w:color w:val="666666"/>
          <w:sz w:val="20"/>
          <w:szCs w:val="20"/>
        </w:rPr>
        <w:t>%</w:t>
      </w:r>
      <w:r w:rsidRPr="31A6BAF1">
        <w:rPr>
          <w:rFonts w:ascii="Segoe UI" w:eastAsia="Segoe UI" w:hAnsi="Segoe UI" w:cs="Segoe UI"/>
          <w:color w:val="666666"/>
          <w:sz w:val="20"/>
          <w:szCs w:val="20"/>
        </w:rPr>
        <w:t xml:space="preserve"> in constant currency) </w:t>
      </w:r>
      <w:r w:rsidR="00F60446" w:rsidRPr="31A6BAF1">
        <w:rPr>
          <w:rFonts w:ascii="Segoe UI" w:eastAsia="Segoe UI" w:hAnsi="Segoe UI" w:cs="Segoe UI"/>
          <w:color w:val="666666"/>
          <w:sz w:val="20"/>
          <w:szCs w:val="20"/>
        </w:rPr>
        <w:t xml:space="preserve">mainly from </w:t>
      </w:r>
      <w:r w:rsidR="004B598D" w:rsidRPr="31A6BAF1">
        <w:rPr>
          <w:rFonts w:ascii="Segoe UI" w:eastAsia="Segoe UI" w:hAnsi="Segoe UI" w:cs="Segoe UI"/>
          <w:color w:val="666666"/>
          <w:sz w:val="20"/>
          <w:szCs w:val="20"/>
        </w:rPr>
        <w:t>third</w:t>
      </w:r>
      <w:r w:rsidR="00932F63">
        <w:rPr>
          <w:rFonts w:ascii="Segoe UI" w:eastAsia="Segoe UI" w:hAnsi="Segoe UI" w:cs="Segoe UI"/>
          <w:color w:val="666666"/>
          <w:sz w:val="20"/>
          <w:szCs w:val="20"/>
        </w:rPr>
        <w:t>-</w:t>
      </w:r>
      <w:r w:rsidR="00F60446" w:rsidRPr="31A6BAF1">
        <w:rPr>
          <w:rFonts w:ascii="Segoe UI" w:eastAsia="Segoe UI" w:hAnsi="Segoe UI" w:cs="Segoe UI"/>
          <w:color w:val="666666"/>
          <w:sz w:val="20"/>
          <w:szCs w:val="20"/>
        </w:rPr>
        <w:t>party title strength</w:t>
      </w:r>
    </w:p>
    <w:p w14:paraId="0F34A309" w14:textId="25DD7073" w:rsidR="00A076C4" w:rsidRPr="00BB6C36" w:rsidRDefault="55BB0DAC" w:rsidP="55BB0DAC">
      <w:pPr>
        <w:pStyle w:val="ListParagraph"/>
        <w:numPr>
          <w:ilvl w:val="0"/>
          <w:numId w:val="5"/>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lastRenderedPageBreak/>
        <w:t xml:space="preserve">Search advertising revenue excluding traffic acquisition costs increased 17% (up 17% in constant currency) </w:t>
      </w:r>
    </w:p>
    <w:p w14:paraId="0994701F" w14:textId="1F51EA09" w:rsidR="00BB6C36" w:rsidRDefault="55BB0DAC" w:rsidP="55BB0DAC">
      <w:pPr>
        <w:pStyle w:val="ListParagraph"/>
        <w:numPr>
          <w:ilvl w:val="0"/>
          <w:numId w:val="5"/>
        </w:numPr>
        <w:spacing w:before="240" w:after="240"/>
        <w:rPr>
          <w:rFonts w:ascii="Segoe UI" w:eastAsia="Segoe UI" w:hAnsi="Segoe UI" w:cs="Segoe UI"/>
          <w:color w:val="666666"/>
          <w:sz w:val="20"/>
          <w:szCs w:val="20"/>
        </w:rPr>
      </w:pPr>
      <w:r w:rsidRPr="55BB0DAC">
        <w:rPr>
          <w:rFonts w:ascii="Segoe UI" w:eastAsia="Segoe UI" w:hAnsi="Segoe UI" w:cs="Segoe UI"/>
          <w:color w:val="666666"/>
          <w:sz w:val="20"/>
          <w:szCs w:val="20"/>
        </w:rPr>
        <w:t>Surface revenue increased 14% (up 14% in constant currency)</w:t>
      </w:r>
    </w:p>
    <w:p w14:paraId="1E2698CF" w14:textId="77777777" w:rsidR="00B5626E" w:rsidRDefault="3A42354A" w:rsidP="3A42354A">
      <w:pPr>
        <w:spacing w:before="240" w:after="240"/>
        <w:rPr>
          <w:rFonts w:ascii="Segoe UI" w:eastAsia="Segoe UI" w:hAnsi="Segoe UI" w:cs="Segoe UI"/>
          <w:b/>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sidRPr="31A6BAF1">
        <w:rPr>
          <w:rFonts w:ascii="Segoe UI" w:eastAsia="Segoe UI" w:hAnsi="Segoe UI" w:cs="Segoe UI"/>
          <w:b/>
          <w:color w:val="666666"/>
          <w:sz w:val="20"/>
          <w:szCs w:val="20"/>
        </w:rPr>
        <w:t>Business Outlook</w:t>
      </w:r>
    </w:p>
    <w:p w14:paraId="49C10DF9" w14:textId="77777777" w:rsidR="00B5626E" w:rsidRPr="00243400" w:rsidRDefault="5988D9F6" w:rsidP="5988D9F6">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13570FDC" w14:textId="2060492C" w:rsidR="00A37F36" w:rsidRPr="00A37F36" w:rsidRDefault="00A37F36" w:rsidP="00A37F36">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sidR="002F387C">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0E083900" w14:textId="77839A9C" w:rsidR="00A37F36" w:rsidRPr="00A37F36" w:rsidRDefault="55BB0DAC" w:rsidP="55BB0DAC">
      <w:pPr>
        <w:pStyle w:val="paragraph"/>
        <w:spacing w:before="0" w:beforeAutospacing="0" w:after="0" w:afterAutospacing="0"/>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sidR="00E4434A">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sidR="00AB12B6">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6C7F72D0" w14:textId="77777777" w:rsidR="00A37F36" w:rsidRPr="00A37F36" w:rsidRDefault="00A37F36" w:rsidP="00A37F36">
      <w:pPr>
        <w:pStyle w:val="paragraph"/>
        <w:spacing w:before="0" w:beforeAutospacing="0" w:after="0" w:afterAutospacing="0"/>
        <w:textAlignment w:val="baseline"/>
        <w:rPr>
          <w:rFonts w:ascii="Segoe UI" w:eastAsia="Segoe UI" w:hAnsi="Segoe UI" w:cs="Segoe UI"/>
          <w:color w:val="666666"/>
          <w:sz w:val="20"/>
          <w:szCs w:val="20"/>
        </w:rPr>
      </w:pPr>
    </w:p>
    <w:p w14:paraId="70649024" w14:textId="6E6406B6" w:rsidR="00A37F36" w:rsidRPr="00A37F36" w:rsidRDefault="00A37F36" w:rsidP="00A37F36">
      <w:pPr>
        <w:pStyle w:val="paragraph"/>
        <w:spacing w:before="0" w:beforeAutospacing="0" w:after="0" w:afterAutospacing="0"/>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7" w:history="1">
        <w:r w:rsidRPr="004B4C46">
          <w:rPr>
            <w:rStyle w:val="Hyperlink"/>
            <w:rFonts w:ascii="Segoe UI" w:eastAsia="Segoe UI" w:hAnsi="Segoe UI" w:cs="Segoe UI"/>
            <w:sz w:val="20"/>
            <w:szCs w:val="20"/>
          </w:rPr>
          <w:t>major product releases and other highlights</w:t>
        </w:r>
      </w:hyperlink>
      <w:r w:rsidRPr="00A37F36">
        <w:rPr>
          <w:rFonts w:ascii="Segoe UI" w:eastAsia="Segoe UI" w:hAnsi="Segoe UI" w:cs="Segoe UI"/>
          <w:color w:val="666666"/>
          <w:sz w:val="20"/>
          <w:szCs w:val="20"/>
        </w:rPr>
        <w:t xml:space="preserve"> for the quarter, organized by product categories, to help illustrate how we are accelerating innovation across our businesses while expanding our market opportunities.</w:t>
      </w:r>
    </w:p>
    <w:p w14:paraId="05C99589" w14:textId="4E396BB2" w:rsidR="00B5626E" w:rsidRPr="00A138B1" w:rsidRDefault="3A42354A" w:rsidP="3A42354A">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217A6B88" w14:textId="04C592C8" w:rsidR="00B5626E" w:rsidRPr="00243400" w:rsidRDefault="5988D9F6" w:rsidP="5988D9F6">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Satya Nadella, chief executive officer, Amy Hood, executive vice president and chief financial officer, Frank Brod, chief accounting officer, Carolyn Frantz, deputy general counsel and corporate secretary, and Michael Spencer,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8">
        <w:r w:rsidRPr="5988D9F6">
          <w:rPr>
            <w:rStyle w:val="Hyperlink"/>
            <w:color w:val="666666"/>
          </w:rPr>
          <w:t>http://www.microsoft.com/en-us/investor</w:t>
        </w:r>
      </w:hyperlink>
      <w:r w:rsidRPr="5988D9F6">
        <w:rPr>
          <w:rFonts w:ascii="Segoe UI" w:eastAsia="Segoe UI" w:hAnsi="Segoe UI" w:cs="Segoe UI"/>
          <w:color w:val="666666"/>
          <w:sz w:val="20"/>
          <w:szCs w:val="20"/>
        </w:rPr>
        <w:t xml:space="preserve">. The webcast will be available for replay through the close of business on </w:t>
      </w:r>
      <w:r w:rsidR="003B4927">
        <w:rPr>
          <w:rFonts w:ascii="Segoe UI" w:eastAsia="Segoe UI" w:hAnsi="Segoe UI" w:cs="Segoe UI"/>
          <w:color w:val="666666"/>
          <w:sz w:val="20"/>
          <w:szCs w:val="20"/>
        </w:rPr>
        <w:t>October</w:t>
      </w:r>
      <w:r w:rsidRPr="5988D9F6">
        <w:rPr>
          <w:rFonts w:ascii="Segoe UI" w:eastAsia="Segoe UI" w:hAnsi="Segoe UI" w:cs="Segoe UI"/>
          <w:color w:val="666666"/>
          <w:sz w:val="20"/>
          <w:szCs w:val="20"/>
        </w:rPr>
        <w:t xml:space="preserve"> </w:t>
      </w:r>
      <w:r w:rsidR="003B4927">
        <w:rPr>
          <w:rFonts w:ascii="Segoe UI" w:eastAsia="Segoe UI" w:hAnsi="Segoe UI" w:cs="Segoe UI"/>
          <w:color w:val="666666"/>
          <w:sz w:val="20"/>
          <w:szCs w:val="20"/>
        </w:rPr>
        <w:t>24</w:t>
      </w:r>
      <w:r w:rsidRPr="5988D9F6">
        <w:rPr>
          <w:rFonts w:ascii="Segoe UI" w:eastAsia="Segoe UI" w:hAnsi="Segoe UI" w:cs="Segoe UI"/>
          <w:color w:val="666666"/>
          <w:sz w:val="20"/>
          <w:szCs w:val="20"/>
        </w:rPr>
        <w:t>, 2019.</w:t>
      </w:r>
    </w:p>
    <w:p w14:paraId="690FD341" w14:textId="77777777" w:rsidR="00B5626E" w:rsidRPr="00243400" w:rsidRDefault="3A42354A" w:rsidP="3A42354A">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1F2851B6" w14:textId="6685DAA0" w:rsidR="00CF6323" w:rsidRPr="00243400" w:rsidRDefault="3A42354A" w:rsidP="00CF6323">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sidR="00CF6323" w:rsidRPr="31A6BAF1">
        <w:rPr>
          <w:rFonts w:ascii="Segoe UI" w:eastAsia="Segoe UI" w:hAnsi="Segoe UI" w:cs="Segoe UI"/>
          <w:color w:val="666666"/>
          <w:sz w:val="20"/>
          <w:szCs w:val="20"/>
        </w:rPr>
        <w:t xml:space="preserve"> Microsoft has provided this non-GAAP financial information to aid investors in better understanding </w:t>
      </w:r>
      <w:r w:rsidR="00F4576F" w:rsidRPr="31A6BAF1">
        <w:rPr>
          <w:rFonts w:ascii="Segoe UI" w:eastAsia="Segoe UI" w:hAnsi="Segoe UI" w:cs="Segoe UI"/>
          <w:color w:val="666666"/>
          <w:sz w:val="20"/>
          <w:szCs w:val="20"/>
        </w:rPr>
        <w:t>our</w:t>
      </w:r>
      <w:r w:rsidR="00CF6323" w:rsidRPr="31A6BAF1">
        <w:rPr>
          <w:rFonts w:ascii="Segoe UI" w:eastAsia="Segoe UI" w:hAnsi="Segoe UI" w:cs="Segoe UI"/>
          <w:color w:val="666666"/>
          <w:sz w:val="20"/>
          <w:szCs w:val="20"/>
        </w:rPr>
        <w:t xml:space="preserve"> performance. The non-GAAP financial measures presented in this release should not be considered as a substitute for, or superior to, the measures of financial performance prepared in accordance with </w:t>
      </w:r>
      <w:r w:rsidR="004C466F">
        <w:rPr>
          <w:rFonts w:ascii="Segoe UI" w:eastAsia="Segoe UI" w:hAnsi="Segoe UI" w:cs="Segoe UI"/>
          <w:color w:val="666666"/>
          <w:sz w:val="20"/>
          <w:szCs w:val="20"/>
        </w:rPr>
        <w:t xml:space="preserve">generally accepted accounting principles </w:t>
      </w:r>
      <w:r w:rsidR="005502AD">
        <w:rPr>
          <w:rFonts w:ascii="Segoe UI" w:eastAsia="Segoe UI" w:hAnsi="Segoe UI" w:cs="Segoe UI"/>
          <w:color w:val="666666"/>
          <w:sz w:val="20"/>
          <w:szCs w:val="20"/>
        </w:rPr>
        <w:t>(</w:t>
      </w:r>
      <w:r w:rsidR="000E1CC0">
        <w:rPr>
          <w:rFonts w:ascii="Segoe UI" w:eastAsia="Segoe UI" w:hAnsi="Segoe UI" w:cs="Segoe UI"/>
          <w:color w:val="666666"/>
          <w:sz w:val="20"/>
          <w:szCs w:val="20"/>
        </w:rPr>
        <w:t>GAAP</w:t>
      </w:r>
      <w:r w:rsidR="005502AD">
        <w:rPr>
          <w:rFonts w:ascii="Segoe UI" w:eastAsia="Segoe UI" w:hAnsi="Segoe UI" w:cs="Segoe UI"/>
          <w:color w:val="666666"/>
          <w:sz w:val="20"/>
          <w:szCs w:val="20"/>
        </w:rPr>
        <w:t>)</w:t>
      </w:r>
      <w:r w:rsidR="000E1CC0">
        <w:rPr>
          <w:rFonts w:ascii="Segoe UI" w:eastAsia="Segoe UI" w:hAnsi="Segoe UI" w:cs="Segoe UI"/>
          <w:color w:val="666666"/>
          <w:sz w:val="20"/>
          <w:szCs w:val="20"/>
        </w:rPr>
        <w:t>.</w:t>
      </w:r>
    </w:p>
    <w:p w14:paraId="033BC99F" w14:textId="2E182217" w:rsidR="00123B96" w:rsidRPr="00243400" w:rsidRDefault="45064EBB" w:rsidP="00BB4720">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br w:type="page"/>
      </w:r>
      <w:r w:rsidR="00123B96"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123B96" w:rsidRPr="00243400" w14:paraId="075248C0" w14:textId="77777777" w:rsidTr="0054537D">
        <w:trPr>
          <w:trHeight w:val="340"/>
        </w:trPr>
        <w:tc>
          <w:tcPr>
            <w:tcW w:w="5474" w:type="dxa"/>
            <w:tcBorders>
              <w:top w:val="nil"/>
              <w:left w:val="nil"/>
              <w:bottom w:val="single" w:sz="8" w:space="0" w:color="auto"/>
              <w:right w:val="nil"/>
            </w:tcBorders>
          </w:tcPr>
          <w:p w14:paraId="27B2947B" w14:textId="77777777" w:rsidR="00123B96" w:rsidRPr="00243400" w:rsidRDefault="00123B96" w:rsidP="0054537D">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08F7039D" w14:textId="5276E8EE" w:rsidR="00123B96" w:rsidRPr="00243400" w:rsidRDefault="00B0116F" w:rsidP="00A2105E">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September</w:t>
            </w:r>
            <w:r w:rsidR="00123B96" w:rsidRPr="3A42354A">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00123B96" w:rsidRPr="3A42354A">
              <w:rPr>
                <w:rFonts w:ascii="Segoe UI" w:eastAsia="Times New Roman" w:hAnsi="Segoe UI" w:cs="Segoe UI"/>
                <w:b/>
                <w:bCs/>
                <w:color w:val="666666"/>
                <w:sz w:val="16"/>
                <w:szCs w:val="16"/>
              </w:rPr>
              <w:t>,</w:t>
            </w:r>
          </w:p>
        </w:tc>
      </w:tr>
      <w:tr w:rsidR="00123B96" w:rsidRPr="00243400" w14:paraId="41AA9C0B" w14:textId="77777777" w:rsidTr="0054537D">
        <w:trPr>
          <w:trHeight w:val="365"/>
        </w:trPr>
        <w:tc>
          <w:tcPr>
            <w:tcW w:w="5474" w:type="dxa"/>
            <w:tcBorders>
              <w:top w:val="single" w:sz="8" w:space="0" w:color="666666"/>
              <w:left w:val="nil"/>
              <w:bottom w:val="single" w:sz="8" w:space="0" w:color="666666"/>
              <w:right w:val="nil"/>
            </w:tcBorders>
            <w:vAlign w:val="bottom"/>
            <w:hideMark/>
          </w:tcPr>
          <w:p w14:paraId="7ABD8F64"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5532DE85"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1B8F8370"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BB22179"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2BBB0B3B"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123B96" w:rsidRPr="00243400" w14:paraId="2DBF4929" w14:textId="77777777" w:rsidTr="0054537D">
        <w:trPr>
          <w:trHeight w:val="288"/>
        </w:trPr>
        <w:tc>
          <w:tcPr>
            <w:tcW w:w="5474" w:type="dxa"/>
            <w:tcBorders>
              <w:top w:val="single" w:sz="8" w:space="0" w:color="666666"/>
              <w:left w:val="nil"/>
              <w:bottom w:val="single" w:sz="4" w:space="0" w:color="auto"/>
              <w:right w:val="nil"/>
            </w:tcBorders>
            <w:noWrap/>
            <w:vAlign w:val="center"/>
          </w:tcPr>
          <w:p w14:paraId="49312205"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3A42354A">
              <w:rPr>
                <w:rFonts w:ascii="Segoe UI" w:eastAsia="Times New Roman" w:hAnsi="Segoe UI" w:cs="Segoe UI"/>
                <w:b/>
                <w:bCs/>
                <w:color w:val="666666"/>
                <w:sz w:val="16"/>
                <w:szCs w:val="16"/>
              </w:rPr>
              <w:t xml:space="preserve"> As Reported </w:t>
            </w:r>
          </w:p>
        </w:tc>
        <w:tc>
          <w:tcPr>
            <w:tcW w:w="1008" w:type="dxa"/>
            <w:tcBorders>
              <w:top w:val="single" w:sz="8" w:space="0" w:color="666666"/>
              <w:left w:val="nil"/>
              <w:bottom w:val="single" w:sz="4" w:space="0" w:color="auto"/>
              <w:right w:val="nil"/>
            </w:tcBorders>
            <w:shd w:val="clear" w:color="auto" w:fill="auto"/>
            <w:vAlign w:val="center"/>
          </w:tcPr>
          <w:p w14:paraId="7CF2F35A" w14:textId="58397899" w:rsidR="00123B96" w:rsidRPr="00243400" w:rsidRDefault="00C34F7B"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$24,538</w:t>
            </w:r>
          </w:p>
        </w:tc>
        <w:tc>
          <w:tcPr>
            <w:tcW w:w="1008" w:type="dxa"/>
            <w:tcBorders>
              <w:top w:val="single" w:sz="8" w:space="0" w:color="666666"/>
              <w:left w:val="nil"/>
              <w:bottom w:val="single" w:sz="4" w:space="0" w:color="auto"/>
              <w:right w:val="nil"/>
            </w:tcBorders>
            <w:shd w:val="clear" w:color="auto" w:fill="auto"/>
            <w:vAlign w:val="center"/>
          </w:tcPr>
          <w:p w14:paraId="0F6EC639" w14:textId="156AF52F" w:rsidR="00123B96" w:rsidRPr="00243400" w:rsidRDefault="00C34F7B" w:rsidP="0054537D">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$7,708</w:t>
            </w:r>
          </w:p>
        </w:tc>
        <w:tc>
          <w:tcPr>
            <w:tcW w:w="970" w:type="dxa"/>
            <w:tcBorders>
              <w:top w:val="single" w:sz="8" w:space="0" w:color="666666"/>
              <w:left w:val="nil"/>
              <w:bottom w:val="single" w:sz="4" w:space="0" w:color="auto"/>
              <w:right w:val="nil"/>
            </w:tcBorders>
            <w:shd w:val="clear" w:color="auto" w:fill="auto"/>
            <w:vAlign w:val="center"/>
          </w:tcPr>
          <w:p w14:paraId="27B73C5E" w14:textId="312E1367" w:rsidR="00123B96" w:rsidRPr="00243400" w:rsidRDefault="00C34F7B" w:rsidP="0054537D">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$6,576</w:t>
            </w:r>
          </w:p>
        </w:tc>
        <w:tc>
          <w:tcPr>
            <w:tcW w:w="1046" w:type="dxa"/>
            <w:tcBorders>
              <w:top w:val="single" w:sz="8" w:space="0" w:color="666666"/>
              <w:left w:val="nil"/>
              <w:bottom w:val="single" w:sz="4" w:space="0" w:color="auto"/>
              <w:right w:val="nil"/>
            </w:tcBorders>
            <w:shd w:val="clear" w:color="auto" w:fill="auto"/>
            <w:vAlign w:val="center"/>
          </w:tcPr>
          <w:p w14:paraId="3B93BCD0" w14:textId="71EA8735" w:rsidR="00123B96" w:rsidRPr="00243400" w:rsidRDefault="00123B96" w:rsidP="0054537D">
            <w:pPr>
              <w:spacing w:after="0"/>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$0.</w:t>
            </w:r>
            <w:r w:rsidR="00C34F7B">
              <w:rPr>
                <w:rFonts w:ascii="Segoe UI" w:eastAsia="Times New Roman" w:hAnsi="Segoe UI" w:cs="Segoe UI"/>
                <w:b/>
                <w:color w:val="666666"/>
                <w:sz w:val="16"/>
                <w:szCs w:val="16"/>
              </w:rPr>
              <w:t>84</w:t>
            </w:r>
          </w:p>
        </w:tc>
      </w:tr>
      <w:tr w:rsidR="00123B96" w:rsidRPr="00243400" w14:paraId="113E1A51" w14:textId="77777777" w:rsidTr="0054537D">
        <w:trPr>
          <w:trHeight w:val="288"/>
        </w:trPr>
        <w:tc>
          <w:tcPr>
            <w:tcW w:w="5474" w:type="dxa"/>
            <w:tcBorders>
              <w:top w:val="single" w:sz="4" w:space="0" w:color="auto"/>
              <w:left w:val="nil"/>
              <w:bottom w:val="single" w:sz="4" w:space="0" w:color="auto"/>
              <w:right w:val="nil"/>
            </w:tcBorders>
            <w:noWrap/>
            <w:vAlign w:val="center"/>
          </w:tcPr>
          <w:p w14:paraId="1E667C51"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008" w:type="dxa"/>
            <w:tcBorders>
              <w:top w:val="single" w:sz="4" w:space="0" w:color="auto"/>
              <w:left w:val="nil"/>
              <w:bottom w:val="single" w:sz="4" w:space="0" w:color="auto"/>
              <w:right w:val="nil"/>
            </w:tcBorders>
            <w:shd w:val="clear" w:color="auto" w:fill="auto"/>
            <w:vAlign w:val="center"/>
          </w:tcPr>
          <w:p w14:paraId="5CBC01C5" w14:textId="1378A18D" w:rsidR="00123B96" w:rsidRPr="009240F6" w:rsidRDefault="00C34F7B"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$29,084</w:t>
            </w:r>
          </w:p>
        </w:tc>
        <w:tc>
          <w:tcPr>
            <w:tcW w:w="1008" w:type="dxa"/>
            <w:tcBorders>
              <w:top w:val="single" w:sz="4" w:space="0" w:color="auto"/>
              <w:left w:val="nil"/>
              <w:bottom w:val="single" w:sz="4" w:space="0" w:color="auto"/>
              <w:right w:val="nil"/>
            </w:tcBorders>
            <w:shd w:val="clear" w:color="auto" w:fill="auto"/>
            <w:vAlign w:val="center"/>
          </w:tcPr>
          <w:p w14:paraId="339CD44F" w14:textId="003678AE" w:rsidR="00123B96" w:rsidRPr="009240F6" w:rsidRDefault="00C34F7B"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$9,955</w:t>
            </w:r>
          </w:p>
        </w:tc>
        <w:tc>
          <w:tcPr>
            <w:tcW w:w="970" w:type="dxa"/>
            <w:tcBorders>
              <w:top w:val="single" w:sz="4" w:space="0" w:color="auto"/>
              <w:left w:val="nil"/>
              <w:bottom w:val="single" w:sz="4" w:space="0" w:color="auto"/>
              <w:right w:val="nil"/>
            </w:tcBorders>
            <w:shd w:val="clear" w:color="auto" w:fill="auto"/>
            <w:vAlign w:val="center"/>
          </w:tcPr>
          <w:p w14:paraId="2289AA33" w14:textId="07397961" w:rsidR="00123B96" w:rsidRPr="009240F6" w:rsidRDefault="00A94551"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$8,824</w:t>
            </w:r>
          </w:p>
        </w:tc>
        <w:tc>
          <w:tcPr>
            <w:tcW w:w="1046" w:type="dxa"/>
            <w:tcBorders>
              <w:top w:val="single" w:sz="4" w:space="0" w:color="auto"/>
              <w:left w:val="nil"/>
              <w:bottom w:val="single" w:sz="4" w:space="0" w:color="auto"/>
              <w:right w:val="nil"/>
            </w:tcBorders>
            <w:shd w:val="clear" w:color="auto" w:fill="auto"/>
            <w:vAlign w:val="center"/>
          </w:tcPr>
          <w:p w14:paraId="165335A8" w14:textId="019DADFD" w:rsidR="00123B96" w:rsidRPr="009240F6" w:rsidRDefault="00123B96" w:rsidP="0054537D">
            <w:pPr>
              <w:spacing w:after="0"/>
              <w:ind w:firstLine="82"/>
              <w:jc w:val="right"/>
              <w:rPr>
                <w:rFonts w:ascii="Segoe UI" w:eastAsia="Times New Roman" w:hAnsi="Segoe UI" w:cs="Segoe UI"/>
                <w:b/>
                <w:bCs/>
                <w:color w:val="666666"/>
                <w:sz w:val="16"/>
                <w:szCs w:val="16"/>
              </w:rPr>
            </w:pPr>
            <w:r w:rsidRPr="0022574A">
              <w:rPr>
                <w:rFonts w:ascii="Segoe UI" w:eastAsia="Times New Roman" w:hAnsi="Segoe UI" w:cs="Segoe UI"/>
                <w:b/>
                <w:color w:val="666666"/>
                <w:sz w:val="16"/>
                <w:szCs w:val="16"/>
              </w:rPr>
              <w:t>$</w:t>
            </w:r>
            <w:r w:rsidR="002A063B">
              <w:rPr>
                <w:rFonts w:ascii="Segoe UI" w:eastAsia="Times New Roman" w:hAnsi="Segoe UI" w:cs="Segoe UI"/>
                <w:b/>
                <w:color w:val="666666"/>
                <w:sz w:val="16"/>
                <w:szCs w:val="16"/>
              </w:rPr>
              <w:t>1.</w:t>
            </w:r>
            <w:r w:rsidR="00C34F7B">
              <w:rPr>
                <w:rFonts w:ascii="Segoe UI" w:eastAsia="Times New Roman" w:hAnsi="Segoe UI" w:cs="Segoe UI"/>
                <w:b/>
                <w:color w:val="666666"/>
                <w:sz w:val="16"/>
                <w:szCs w:val="16"/>
              </w:rPr>
              <w:t>1</w:t>
            </w:r>
            <w:r w:rsidR="00B12DED">
              <w:rPr>
                <w:rFonts w:ascii="Segoe UI" w:eastAsia="Times New Roman" w:hAnsi="Segoe UI" w:cs="Segoe UI"/>
                <w:b/>
                <w:color w:val="666666"/>
                <w:sz w:val="16"/>
                <w:szCs w:val="16"/>
              </w:rPr>
              <w:t>4</w:t>
            </w:r>
          </w:p>
        </w:tc>
      </w:tr>
      <w:tr w:rsidR="00123B96" w:rsidRPr="00243400" w14:paraId="2EDFDF1D" w14:textId="77777777" w:rsidTr="0054537D">
        <w:trPr>
          <w:trHeight w:val="288"/>
        </w:trPr>
        <w:tc>
          <w:tcPr>
            <w:tcW w:w="5474" w:type="dxa"/>
            <w:tcBorders>
              <w:top w:val="single" w:sz="4" w:space="0" w:color="666666"/>
              <w:left w:val="nil"/>
              <w:right w:val="nil"/>
            </w:tcBorders>
            <w:noWrap/>
            <w:vAlign w:val="center"/>
          </w:tcPr>
          <w:p w14:paraId="16845651"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008" w:type="dxa"/>
            <w:tcBorders>
              <w:top w:val="single" w:sz="4" w:space="0" w:color="666666"/>
              <w:left w:val="nil"/>
              <w:right w:val="nil"/>
            </w:tcBorders>
            <w:shd w:val="clear" w:color="auto" w:fill="auto"/>
            <w:vAlign w:val="center"/>
          </w:tcPr>
          <w:p w14:paraId="6DF02070" w14:textId="2D7F8258" w:rsidR="00123B96" w:rsidRPr="00243400" w:rsidRDefault="00C34F7B" w:rsidP="0054537D">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19</w:t>
            </w:r>
            <w:r w:rsidR="00123B96" w:rsidRPr="0022574A">
              <w:rPr>
                <w:rFonts w:ascii="Segoe UI" w:eastAsia="Times New Roman" w:hAnsi="Segoe UI" w:cs="Segoe UI"/>
                <w:color w:val="666666"/>
                <w:sz w:val="16"/>
                <w:szCs w:val="16"/>
              </w:rPr>
              <w:t>%</w:t>
            </w:r>
          </w:p>
        </w:tc>
        <w:tc>
          <w:tcPr>
            <w:tcW w:w="1008" w:type="dxa"/>
            <w:tcBorders>
              <w:top w:val="single" w:sz="4" w:space="0" w:color="666666"/>
              <w:left w:val="nil"/>
              <w:right w:val="nil"/>
            </w:tcBorders>
            <w:shd w:val="clear" w:color="auto" w:fill="auto"/>
            <w:vAlign w:val="center"/>
          </w:tcPr>
          <w:p w14:paraId="30195FAD" w14:textId="7D309E69" w:rsidR="00123B96" w:rsidRPr="00243400" w:rsidRDefault="00C34F7B" w:rsidP="0054537D">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29</w:t>
            </w:r>
            <w:r w:rsidR="00123B96" w:rsidRPr="0022574A">
              <w:rPr>
                <w:rFonts w:ascii="Segoe UI" w:eastAsia="Times New Roman" w:hAnsi="Segoe UI" w:cs="Segoe UI"/>
                <w:color w:val="666666"/>
                <w:sz w:val="16"/>
                <w:szCs w:val="16"/>
              </w:rPr>
              <w:t>%</w:t>
            </w:r>
          </w:p>
        </w:tc>
        <w:tc>
          <w:tcPr>
            <w:tcW w:w="970" w:type="dxa"/>
            <w:tcBorders>
              <w:top w:val="single" w:sz="4" w:space="0" w:color="666666"/>
              <w:left w:val="nil"/>
              <w:right w:val="nil"/>
            </w:tcBorders>
            <w:shd w:val="clear" w:color="auto" w:fill="auto"/>
            <w:vAlign w:val="center"/>
          </w:tcPr>
          <w:p w14:paraId="58783468" w14:textId="36DB97A0" w:rsidR="00123B96" w:rsidRPr="00243400" w:rsidRDefault="002D267F" w:rsidP="0054537D">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34</w:t>
            </w:r>
            <w:r w:rsidR="00123B96" w:rsidRPr="0022574A">
              <w:rPr>
                <w:rFonts w:ascii="Segoe UI" w:eastAsia="Times New Roman" w:hAnsi="Segoe UI" w:cs="Segoe UI"/>
                <w:color w:val="666666"/>
                <w:sz w:val="16"/>
                <w:szCs w:val="16"/>
              </w:rPr>
              <w:t>%</w:t>
            </w:r>
          </w:p>
        </w:tc>
        <w:tc>
          <w:tcPr>
            <w:tcW w:w="1046" w:type="dxa"/>
            <w:tcBorders>
              <w:top w:val="single" w:sz="4" w:space="0" w:color="666666"/>
              <w:left w:val="nil"/>
              <w:right w:val="nil"/>
            </w:tcBorders>
            <w:shd w:val="clear" w:color="auto" w:fill="auto"/>
            <w:vAlign w:val="center"/>
          </w:tcPr>
          <w:p w14:paraId="167F5B57" w14:textId="26C6B5AD" w:rsidR="00123B96" w:rsidRPr="00243400" w:rsidRDefault="00123B96" w:rsidP="0054537D">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3</w:t>
            </w:r>
            <w:r w:rsidR="00B12DED">
              <w:rPr>
                <w:rFonts w:ascii="Segoe UI" w:eastAsia="Times New Roman" w:hAnsi="Segoe UI" w:cs="Segoe UI"/>
                <w:color w:val="666666"/>
                <w:sz w:val="16"/>
                <w:szCs w:val="16"/>
              </w:rPr>
              <w:t>6</w:t>
            </w:r>
            <w:r w:rsidRPr="0022574A">
              <w:rPr>
                <w:rFonts w:ascii="Segoe UI" w:eastAsia="Times New Roman" w:hAnsi="Segoe UI" w:cs="Segoe UI"/>
                <w:color w:val="666666"/>
                <w:sz w:val="16"/>
                <w:szCs w:val="16"/>
              </w:rPr>
              <w:t>%</w:t>
            </w:r>
          </w:p>
        </w:tc>
      </w:tr>
      <w:tr w:rsidR="00123B96" w:rsidRPr="00243400" w14:paraId="538B814F" w14:textId="77777777" w:rsidTr="0054537D">
        <w:trPr>
          <w:trHeight w:val="288"/>
        </w:trPr>
        <w:tc>
          <w:tcPr>
            <w:tcW w:w="5474" w:type="dxa"/>
            <w:tcBorders>
              <w:top w:val="single" w:sz="4" w:space="0" w:color="auto"/>
              <w:left w:val="nil"/>
              <w:bottom w:val="single" w:sz="4" w:space="0" w:color="auto"/>
              <w:right w:val="nil"/>
            </w:tcBorders>
            <w:noWrap/>
            <w:vAlign w:val="center"/>
          </w:tcPr>
          <w:p w14:paraId="5D7F3273"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vAlign w:val="center"/>
          </w:tcPr>
          <w:p w14:paraId="73BF5A96" w14:textId="434E1295" w:rsidR="00123B96" w:rsidRPr="00E679DD" w:rsidRDefault="00123B96" w:rsidP="0054537D">
            <w:pPr>
              <w:spacing w:after="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sidR="00F84CC5" w:rsidRPr="00E679DD">
              <w:rPr>
                <w:rFonts w:ascii="Segoe UI" w:eastAsia="Times New Roman" w:hAnsi="Segoe UI" w:cs="Segoe UI"/>
                <w:b/>
                <w:color w:val="666666"/>
                <w:sz w:val="16"/>
                <w:szCs w:val="16"/>
              </w:rPr>
              <w:t>27</w:t>
            </w:r>
          </w:p>
        </w:tc>
        <w:tc>
          <w:tcPr>
            <w:tcW w:w="1008" w:type="dxa"/>
            <w:tcBorders>
              <w:top w:val="single" w:sz="4" w:space="0" w:color="auto"/>
              <w:left w:val="nil"/>
              <w:bottom w:val="single" w:sz="4" w:space="0" w:color="auto"/>
              <w:right w:val="nil"/>
            </w:tcBorders>
            <w:shd w:val="clear" w:color="auto" w:fill="auto"/>
            <w:vAlign w:val="center"/>
          </w:tcPr>
          <w:p w14:paraId="0F033384" w14:textId="1FF25711" w:rsidR="00123B96" w:rsidRPr="00E679DD" w:rsidRDefault="00123B96" w:rsidP="0054537D">
            <w:pPr>
              <w:spacing w:after="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sidR="008D0FD4" w:rsidRPr="00E679DD">
              <w:rPr>
                <w:rFonts w:ascii="Segoe UI" w:eastAsia="Times New Roman" w:hAnsi="Segoe UI" w:cs="Segoe UI"/>
                <w:b/>
                <w:color w:val="666666"/>
                <w:sz w:val="16"/>
                <w:szCs w:val="16"/>
              </w:rPr>
              <w:t>105</w:t>
            </w:r>
          </w:p>
        </w:tc>
        <w:tc>
          <w:tcPr>
            <w:tcW w:w="970" w:type="dxa"/>
            <w:tcBorders>
              <w:top w:val="single" w:sz="4" w:space="0" w:color="auto"/>
              <w:left w:val="nil"/>
              <w:bottom w:val="single" w:sz="4" w:space="0" w:color="auto"/>
              <w:right w:val="nil"/>
            </w:tcBorders>
            <w:shd w:val="clear" w:color="auto" w:fill="auto"/>
            <w:vAlign w:val="center"/>
          </w:tcPr>
          <w:p w14:paraId="08DC0EB9" w14:textId="6D50773D" w:rsidR="00123B96" w:rsidRPr="00E679DD" w:rsidRDefault="00123B96" w:rsidP="0054537D">
            <w:pPr>
              <w:spacing w:after="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sidR="008D0FD4" w:rsidRPr="00E679DD">
              <w:rPr>
                <w:rFonts w:ascii="Segoe UI" w:eastAsia="Times New Roman" w:hAnsi="Segoe UI" w:cs="Segoe UI"/>
                <w:b/>
                <w:color w:val="666666"/>
                <w:sz w:val="16"/>
                <w:szCs w:val="16"/>
              </w:rPr>
              <w:t>158</w:t>
            </w:r>
          </w:p>
        </w:tc>
        <w:tc>
          <w:tcPr>
            <w:tcW w:w="1046" w:type="dxa"/>
            <w:tcBorders>
              <w:top w:val="single" w:sz="4" w:space="0" w:color="auto"/>
              <w:left w:val="nil"/>
              <w:bottom w:val="single" w:sz="4" w:space="0" w:color="auto"/>
              <w:right w:val="nil"/>
            </w:tcBorders>
            <w:shd w:val="clear" w:color="auto" w:fill="auto"/>
            <w:vAlign w:val="center"/>
          </w:tcPr>
          <w:p w14:paraId="7D2D726C" w14:textId="64C75145" w:rsidR="00123B96" w:rsidRPr="00E679DD" w:rsidRDefault="00123B96" w:rsidP="0054537D">
            <w:pPr>
              <w:spacing w:after="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sidR="008D0FD4" w:rsidRPr="00E679DD">
              <w:rPr>
                <w:rFonts w:ascii="Segoe UI" w:eastAsia="Times New Roman" w:hAnsi="Segoe UI" w:cs="Segoe UI"/>
                <w:b/>
                <w:color w:val="666666"/>
                <w:sz w:val="16"/>
                <w:szCs w:val="16"/>
              </w:rPr>
              <w:t>0.02</w:t>
            </w:r>
          </w:p>
        </w:tc>
      </w:tr>
      <w:tr w:rsidR="00123B96" w:rsidRPr="00E9670A" w14:paraId="1EE2FF3F" w14:textId="77777777" w:rsidTr="0054537D">
        <w:trPr>
          <w:trHeight w:val="288"/>
        </w:trPr>
        <w:tc>
          <w:tcPr>
            <w:tcW w:w="5474" w:type="dxa"/>
            <w:tcBorders>
              <w:top w:val="single" w:sz="4" w:space="0" w:color="auto"/>
              <w:left w:val="nil"/>
              <w:bottom w:val="single" w:sz="4" w:space="0" w:color="auto"/>
              <w:right w:val="nil"/>
            </w:tcBorders>
            <w:shd w:val="clear" w:color="auto" w:fill="auto"/>
            <w:noWrap/>
            <w:vAlign w:val="center"/>
          </w:tcPr>
          <w:p w14:paraId="29EC9914"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008" w:type="dxa"/>
            <w:tcBorders>
              <w:top w:val="single" w:sz="4" w:space="0" w:color="auto"/>
              <w:left w:val="nil"/>
              <w:bottom w:val="single" w:sz="4" w:space="0" w:color="auto"/>
              <w:right w:val="nil"/>
            </w:tcBorders>
            <w:shd w:val="clear" w:color="auto" w:fill="auto"/>
            <w:vAlign w:val="center"/>
          </w:tcPr>
          <w:p w14:paraId="74B964E3" w14:textId="2BA04E2F" w:rsidR="00123B96" w:rsidRPr="00E9670A" w:rsidRDefault="002D267F" w:rsidP="0054537D">
            <w:pPr>
              <w:spacing w:after="0"/>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18</w:t>
            </w:r>
            <w:r w:rsidR="00123B96" w:rsidRPr="00E9670A">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07604364" w14:textId="750C5AAF" w:rsidR="00123B96" w:rsidRPr="00E9670A" w:rsidRDefault="002D267F" w:rsidP="0054537D">
            <w:pPr>
              <w:spacing w:after="0"/>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28</w:t>
            </w:r>
            <w:r w:rsidR="00123B96" w:rsidRPr="00E9670A">
              <w:rPr>
                <w:rFonts w:ascii="Segoe UI" w:eastAsia="Times New Roman"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13060E99" w14:textId="33B2E135" w:rsidR="00123B96" w:rsidRPr="00E9670A" w:rsidRDefault="002D267F" w:rsidP="0054537D">
            <w:pPr>
              <w:spacing w:after="0"/>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32</w:t>
            </w:r>
            <w:r w:rsidR="00123B96" w:rsidRPr="00E9670A">
              <w:rPr>
                <w:rFonts w:ascii="Segoe UI" w:eastAsia="Times New Roman" w:hAnsi="Segoe UI" w:cs="Segoe UI"/>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6A6AD10E" w14:textId="120F76FF" w:rsidR="00123B96" w:rsidRPr="00E9670A" w:rsidRDefault="00E9670A" w:rsidP="0054537D">
            <w:pPr>
              <w:spacing w:after="0"/>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33</w:t>
            </w:r>
            <w:r w:rsidR="00123B96" w:rsidRPr="00E9670A">
              <w:rPr>
                <w:rFonts w:ascii="Segoe UI" w:eastAsia="Times New Roman" w:hAnsi="Segoe UI" w:cs="Segoe UI"/>
                <w:color w:val="666666"/>
                <w:sz w:val="16"/>
                <w:szCs w:val="16"/>
              </w:rPr>
              <w:t>%</w:t>
            </w:r>
          </w:p>
        </w:tc>
      </w:tr>
    </w:tbl>
    <w:p w14:paraId="3C9B68E6" w14:textId="76B93B64" w:rsidR="000C5117" w:rsidRPr="00477061" w:rsidRDefault="000C5117" w:rsidP="3A42354A">
      <w:pPr>
        <w:spacing w:before="240" w:after="240"/>
        <w:ind w:left="720"/>
        <w:rPr>
          <w:rFonts w:ascii="Segoe UI" w:eastAsia="Times New Roman" w:hAnsi="Segoe UI" w:cs="Segoe UI"/>
          <w:b/>
          <w:bCs/>
          <w:color w:val="666666"/>
          <w:sz w:val="10"/>
          <w:szCs w:val="20"/>
        </w:rPr>
      </w:pPr>
    </w:p>
    <w:p w14:paraId="386E86DA" w14:textId="77777777" w:rsidR="00123B96" w:rsidRPr="00243400" w:rsidRDefault="00123B96" w:rsidP="00A2105E">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123B96" w:rsidRPr="00243400" w14:paraId="50860645" w14:textId="77777777" w:rsidTr="0054537D">
        <w:trPr>
          <w:trHeight w:val="340"/>
        </w:trPr>
        <w:tc>
          <w:tcPr>
            <w:tcW w:w="4608" w:type="dxa"/>
            <w:tcBorders>
              <w:top w:val="nil"/>
              <w:left w:val="nil"/>
              <w:bottom w:val="single" w:sz="8" w:space="0" w:color="auto"/>
              <w:right w:val="nil"/>
            </w:tcBorders>
          </w:tcPr>
          <w:p w14:paraId="033832D0" w14:textId="77777777" w:rsidR="00123B96" w:rsidRPr="00243400" w:rsidRDefault="00123B96" w:rsidP="0054537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E021255" w14:textId="4754FEBF"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0116F">
              <w:rPr>
                <w:rFonts w:ascii="Segoe UI" w:eastAsia="Times New Roman" w:hAnsi="Segoe UI" w:cs="Segoe UI"/>
                <w:b/>
                <w:bCs/>
                <w:color w:val="666666"/>
                <w:sz w:val="16"/>
                <w:szCs w:val="16"/>
              </w:rPr>
              <w:t>September</w:t>
            </w:r>
            <w:r w:rsidRPr="3A42354A">
              <w:rPr>
                <w:rFonts w:ascii="Segoe UI" w:eastAsia="Times New Roman" w:hAnsi="Segoe UI" w:cs="Segoe UI"/>
                <w:b/>
                <w:bCs/>
                <w:color w:val="666666"/>
                <w:sz w:val="16"/>
                <w:szCs w:val="16"/>
              </w:rPr>
              <w:t xml:space="preserve"> 3</w:t>
            </w:r>
            <w:r w:rsidR="00B0116F">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123B96" w:rsidRPr="00243400" w14:paraId="7C7F63BA" w14:textId="77777777" w:rsidTr="0054537D">
        <w:trPr>
          <w:trHeight w:val="432"/>
        </w:trPr>
        <w:tc>
          <w:tcPr>
            <w:tcW w:w="4608" w:type="dxa"/>
            <w:tcBorders>
              <w:top w:val="single" w:sz="8" w:space="0" w:color="666666"/>
              <w:left w:val="nil"/>
              <w:bottom w:val="single" w:sz="8" w:space="0" w:color="666666"/>
              <w:right w:val="nil"/>
            </w:tcBorders>
            <w:vAlign w:val="bottom"/>
            <w:hideMark/>
          </w:tcPr>
          <w:p w14:paraId="40AB692C"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0AEE8A3D"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7C3A040C"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58BA41E9"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123B96" w:rsidRPr="00243400" w14:paraId="65241BFE" w14:textId="77777777" w:rsidTr="0054537D">
        <w:trPr>
          <w:trHeight w:val="288"/>
        </w:trPr>
        <w:tc>
          <w:tcPr>
            <w:tcW w:w="4608" w:type="dxa"/>
            <w:tcBorders>
              <w:top w:val="single" w:sz="8" w:space="0" w:color="666666"/>
              <w:left w:val="nil"/>
              <w:bottom w:val="single" w:sz="4" w:space="0" w:color="auto"/>
              <w:right w:val="nil"/>
            </w:tcBorders>
            <w:noWrap/>
            <w:vAlign w:val="center"/>
          </w:tcPr>
          <w:p w14:paraId="3E21DFD7"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7</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34950BF4" w14:textId="0D3A9CA9" w:rsidR="00123B96" w:rsidRPr="00D60058" w:rsidRDefault="00C34F7B"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$8,238</w:t>
            </w:r>
          </w:p>
        </w:tc>
        <w:tc>
          <w:tcPr>
            <w:tcW w:w="1629" w:type="dxa"/>
            <w:tcBorders>
              <w:top w:val="single" w:sz="8" w:space="0" w:color="666666"/>
              <w:left w:val="nil"/>
              <w:bottom w:val="single" w:sz="4" w:space="0" w:color="auto"/>
              <w:right w:val="nil"/>
            </w:tcBorders>
            <w:vAlign w:val="center"/>
          </w:tcPr>
          <w:p w14:paraId="54F8691B" w14:textId="4BC2AA22" w:rsidR="00123B96" w:rsidRPr="00D60058" w:rsidRDefault="00C34F7B" w:rsidP="0054537D">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$6,922</w:t>
            </w:r>
          </w:p>
        </w:tc>
        <w:tc>
          <w:tcPr>
            <w:tcW w:w="1632" w:type="dxa"/>
            <w:tcBorders>
              <w:top w:val="single" w:sz="8" w:space="0" w:color="666666"/>
              <w:left w:val="nil"/>
              <w:bottom w:val="single" w:sz="4" w:space="0" w:color="auto"/>
              <w:right w:val="nil"/>
            </w:tcBorders>
            <w:vAlign w:val="center"/>
          </w:tcPr>
          <w:p w14:paraId="58E50600" w14:textId="62D731E3" w:rsidR="00123B96" w:rsidRPr="00D60058" w:rsidRDefault="00C34F7B" w:rsidP="0054537D">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$9,378</w:t>
            </w:r>
          </w:p>
        </w:tc>
      </w:tr>
      <w:tr w:rsidR="00123B96" w:rsidRPr="00243400" w14:paraId="740F68E1" w14:textId="77777777" w:rsidTr="0054537D">
        <w:trPr>
          <w:trHeight w:val="288"/>
        </w:trPr>
        <w:tc>
          <w:tcPr>
            <w:tcW w:w="4608" w:type="dxa"/>
            <w:tcBorders>
              <w:top w:val="single" w:sz="4" w:space="0" w:color="auto"/>
              <w:left w:val="nil"/>
              <w:bottom w:val="single" w:sz="4" w:space="0" w:color="auto"/>
              <w:right w:val="nil"/>
            </w:tcBorders>
            <w:noWrap/>
            <w:vAlign w:val="center"/>
          </w:tcPr>
          <w:p w14:paraId="3552D1FD"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454EB445" w14:textId="05445391" w:rsidR="00123B96" w:rsidRPr="009240F6" w:rsidRDefault="00C34F7B"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$9,771</w:t>
            </w:r>
          </w:p>
        </w:tc>
        <w:tc>
          <w:tcPr>
            <w:tcW w:w="1629" w:type="dxa"/>
            <w:tcBorders>
              <w:top w:val="single" w:sz="4" w:space="0" w:color="auto"/>
              <w:left w:val="nil"/>
              <w:bottom w:val="single" w:sz="4" w:space="0" w:color="auto"/>
              <w:right w:val="nil"/>
            </w:tcBorders>
            <w:vAlign w:val="center"/>
          </w:tcPr>
          <w:p w14:paraId="7766A157" w14:textId="10082BED" w:rsidR="00123B96" w:rsidRPr="009240F6" w:rsidRDefault="00C34F7B"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$8,567</w:t>
            </w:r>
          </w:p>
        </w:tc>
        <w:tc>
          <w:tcPr>
            <w:tcW w:w="1632" w:type="dxa"/>
            <w:tcBorders>
              <w:top w:val="single" w:sz="4" w:space="0" w:color="auto"/>
              <w:left w:val="nil"/>
              <w:bottom w:val="single" w:sz="4" w:space="0" w:color="auto"/>
              <w:right w:val="nil"/>
            </w:tcBorders>
            <w:vAlign w:val="center"/>
          </w:tcPr>
          <w:p w14:paraId="3748847C" w14:textId="388741A5" w:rsidR="00123B96" w:rsidRPr="009240F6" w:rsidRDefault="00C34F7B" w:rsidP="0054537D">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$10,74</w:t>
            </w:r>
            <w:r w:rsidR="0061319A">
              <w:rPr>
                <w:rFonts w:ascii="Segoe UI" w:eastAsia="Times New Roman" w:hAnsi="Segoe UI" w:cs="Segoe UI"/>
                <w:b/>
                <w:color w:val="666666"/>
                <w:sz w:val="16"/>
                <w:szCs w:val="16"/>
              </w:rPr>
              <w:t>6</w:t>
            </w:r>
          </w:p>
        </w:tc>
      </w:tr>
      <w:tr w:rsidR="00123B96" w:rsidRPr="00243400" w14:paraId="1C167DD2" w14:textId="77777777" w:rsidTr="0054537D">
        <w:trPr>
          <w:trHeight w:val="288"/>
        </w:trPr>
        <w:tc>
          <w:tcPr>
            <w:tcW w:w="4608" w:type="dxa"/>
            <w:tcBorders>
              <w:top w:val="single" w:sz="4" w:space="0" w:color="auto"/>
              <w:left w:val="nil"/>
              <w:bottom w:val="single" w:sz="4" w:space="0" w:color="auto"/>
              <w:right w:val="nil"/>
            </w:tcBorders>
            <w:noWrap/>
            <w:vAlign w:val="center"/>
          </w:tcPr>
          <w:p w14:paraId="0E3765CB"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7E48DF81" w14:textId="3A4899EA" w:rsidR="00123B96" w:rsidRPr="00243400" w:rsidRDefault="00123B96" w:rsidP="0054537D">
            <w:pPr>
              <w:spacing w:after="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w:t>
            </w:r>
            <w:r w:rsidR="00C34F7B">
              <w:rPr>
                <w:rFonts w:ascii="Segoe UI" w:eastAsia="Times New Roman" w:hAnsi="Segoe UI" w:cs="Segoe UI"/>
                <w:color w:val="666666"/>
                <w:sz w:val="16"/>
                <w:szCs w:val="16"/>
              </w:rPr>
              <w:t>9</w:t>
            </w:r>
            <w:r w:rsidRPr="0022574A">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4CB351FF" w14:textId="4AAF3B97" w:rsidR="00123B96" w:rsidRPr="00243400" w:rsidRDefault="00C34F7B" w:rsidP="0054537D">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r w:rsidR="00123B96" w:rsidRPr="0022574A">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165D807A" w14:textId="6E3CAFE7" w:rsidR="00123B96" w:rsidRPr="00243400" w:rsidRDefault="00C34F7B" w:rsidP="0054537D">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00123B96" w:rsidRPr="0022574A">
              <w:rPr>
                <w:rFonts w:ascii="Segoe UI" w:eastAsia="Times New Roman" w:hAnsi="Segoe UI" w:cs="Segoe UI"/>
                <w:color w:val="666666"/>
                <w:sz w:val="16"/>
                <w:szCs w:val="16"/>
              </w:rPr>
              <w:t>%</w:t>
            </w:r>
          </w:p>
        </w:tc>
      </w:tr>
      <w:tr w:rsidR="00123B96" w:rsidRPr="00243400" w14:paraId="748A4F35" w14:textId="77777777" w:rsidTr="0054537D">
        <w:trPr>
          <w:trHeight w:val="288"/>
        </w:trPr>
        <w:tc>
          <w:tcPr>
            <w:tcW w:w="4608" w:type="dxa"/>
            <w:tcBorders>
              <w:top w:val="single" w:sz="4" w:space="0" w:color="auto"/>
              <w:left w:val="nil"/>
              <w:bottom w:val="single" w:sz="4" w:space="0" w:color="auto"/>
              <w:right w:val="nil"/>
            </w:tcBorders>
            <w:noWrap/>
            <w:vAlign w:val="center"/>
          </w:tcPr>
          <w:p w14:paraId="25E5AF4B"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77828717" w14:textId="4F88C37D" w:rsidR="00123B96" w:rsidRPr="003178FF" w:rsidRDefault="00123B96" w:rsidP="0054537D">
            <w:pPr>
              <w:spacing w:after="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sidR="00BF3DD5" w:rsidRPr="003178FF">
              <w:rPr>
                <w:rFonts w:ascii="Segoe UI" w:eastAsia="Times New Roman" w:hAnsi="Segoe UI" w:cs="Segoe UI"/>
                <w:b/>
                <w:color w:val="666666"/>
                <w:sz w:val="16"/>
                <w:szCs w:val="16"/>
              </w:rPr>
              <w:t>38</w:t>
            </w:r>
          </w:p>
        </w:tc>
        <w:tc>
          <w:tcPr>
            <w:tcW w:w="1629" w:type="dxa"/>
            <w:tcBorders>
              <w:top w:val="single" w:sz="4" w:space="0" w:color="auto"/>
              <w:left w:val="nil"/>
              <w:bottom w:val="single" w:sz="4" w:space="0" w:color="auto"/>
              <w:right w:val="nil"/>
            </w:tcBorders>
            <w:vAlign w:val="center"/>
          </w:tcPr>
          <w:p w14:paraId="65857C0F" w14:textId="7FC486CE" w:rsidR="00123B96" w:rsidRPr="003178FF" w:rsidRDefault="00BF3DD5" w:rsidP="0054537D">
            <w:pPr>
              <w:spacing w:after="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sidR="003178FF" w:rsidRPr="003178FF">
              <w:rPr>
                <w:rFonts w:ascii="Segoe UI" w:eastAsia="Times New Roman" w:hAnsi="Segoe UI" w:cs="Segoe UI"/>
                <w:b/>
                <w:color w:val="666666"/>
                <w:sz w:val="16"/>
                <w:szCs w:val="16"/>
              </w:rPr>
              <w:t>14</w:t>
            </w:r>
          </w:p>
        </w:tc>
        <w:tc>
          <w:tcPr>
            <w:tcW w:w="1632" w:type="dxa"/>
            <w:tcBorders>
              <w:top w:val="single" w:sz="4" w:space="0" w:color="auto"/>
              <w:left w:val="nil"/>
              <w:bottom w:val="single" w:sz="4" w:space="0" w:color="auto"/>
              <w:right w:val="nil"/>
            </w:tcBorders>
            <w:vAlign w:val="center"/>
          </w:tcPr>
          <w:p w14:paraId="4CF52B48" w14:textId="04B22838" w:rsidR="00123B96" w:rsidRPr="003178FF" w:rsidRDefault="003178FF" w:rsidP="0054537D">
            <w:pPr>
              <w:spacing w:after="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$(25)</w:t>
            </w:r>
          </w:p>
        </w:tc>
      </w:tr>
      <w:tr w:rsidR="00123B96" w:rsidRPr="00243400" w14:paraId="1D9092ED" w14:textId="77777777" w:rsidTr="0054537D">
        <w:trPr>
          <w:trHeight w:val="288"/>
        </w:trPr>
        <w:tc>
          <w:tcPr>
            <w:tcW w:w="4608" w:type="dxa"/>
            <w:tcBorders>
              <w:top w:val="single" w:sz="4" w:space="0" w:color="auto"/>
              <w:left w:val="nil"/>
              <w:bottom w:val="single" w:sz="4" w:space="0" w:color="666666"/>
              <w:right w:val="nil"/>
            </w:tcBorders>
            <w:noWrap/>
            <w:vAlign w:val="center"/>
          </w:tcPr>
          <w:p w14:paraId="790D8D3A" w14:textId="77777777" w:rsidR="00123B96" w:rsidRPr="00243400" w:rsidRDefault="00123B96" w:rsidP="0054537D">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tcPr>
          <w:p w14:paraId="17EFD658" w14:textId="3E9DECCC" w:rsidR="00123B96" w:rsidRPr="003178FF" w:rsidRDefault="00DA26C2" w:rsidP="0054537D">
            <w:pPr>
              <w:spacing w:after="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18</w:t>
            </w:r>
            <w:r w:rsidR="00123B96" w:rsidRPr="003178FF">
              <w:rPr>
                <w:rFonts w:ascii="Segoe UI" w:eastAsia="Times New Roman" w:hAnsi="Segoe UI" w:cs="Segoe UI"/>
                <w:color w:val="666666"/>
                <w:sz w:val="16"/>
                <w:szCs w:val="16"/>
              </w:rPr>
              <w:t>%</w:t>
            </w:r>
          </w:p>
        </w:tc>
        <w:tc>
          <w:tcPr>
            <w:tcW w:w="1629" w:type="dxa"/>
            <w:tcBorders>
              <w:top w:val="single" w:sz="4" w:space="0" w:color="auto"/>
              <w:left w:val="nil"/>
              <w:bottom w:val="single" w:sz="4" w:space="0" w:color="666666"/>
              <w:right w:val="nil"/>
            </w:tcBorders>
            <w:vAlign w:val="center"/>
          </w:tcPr>
          <w:p w14:paraId="66FEB393" w14:textId="45C139F9" w:rsidR="00123B96" w:rsidRPr="003178FF" w:rsidRDefault="00B57DB3" w:rsidP="0054537D">
            <w:pPr>
              <w:spacing w:after="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24</w:t>
            </w:r>
            <w:r w:rsidR="00123B96" w:rsidRPr="003178FF">
              <w:rPr>
                <w:rFonts w:ascii="Segoe UI" w:eastAsia="Times New Roman" w:hAnsi="Segoe UI" w:cs="Segoe UI"/>
                <w:color w:val="666666"/>
                <w:sz w:val="16"/>
                <w:szCs w:val="16"/>
              </w:rPr>
              <w:t>%</w:t>
            </w:r>
          </w:p>
        </w:tc>
        <w:tc>
          <w:tcPr>
            <w:tcW w:w="1632" w:type="dxa"/>
            <w:tcBorders>
              <w:top w:val="single" w:sz="4" w:space="0" w:color="auto"/>
              <w:left w:val="nil"/>
              <w:bottom w:val="single" w:sz="4" w:space="0" w:color="666666"/>
              <w:right w:val="nil"/>
            </w:tcBorders>
            <w:vAlign w:val="center"/>
          </w:tcPr>
          <w:p w14:paraId="543C04CA" w14:textId="1720BCEF" w:rsidR="00123B96" w:rsidRPr="003178FF" w:rsidRDefault="00B57DB3" w:rsidP="0054537D">
            <w:pPr>
              <w:spacing w:after="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15</w:t>
            </w:r>
            <w:r w:rsidR="00123B96" w:rsidRPr="003178FF">
              <w:rPr>
                <w:rFonts w:ascii="Segoe UI" w:eastAsia="Times New Roman" w:hAnsi="Segoe UI" w:cs="Segoe UI"/>
                <w:color w:val="666666"/>
                <w:sz w:val="16"/>
                <w:szCs w:val="16"/>
              </w:rPr>
              <w:t>%</w:t>
            </w:r>
          </w:p>
        </w:tc>
      </w:tr>
    </w:tbl>
    <w:p w14:paraId="345ED9B3" w14:textId="77777777" w:rsidR="005C111F" w:rsidRPr="00477061" w:rsidRDefault="005C111F" w:rsidP="00A2105E">
      <w:pPr>
        <w:spacing w:before="240" w:after="240"/>
        <w:rPr>
          <w:rFonts w:ascii="Segoe UI" w:eastAsia="Times New Roman" w:hAnsi="Segoe UI" w:cs="Segoe UI"/>
          <w:b/>
          <w:bCs/>
          <w:color w:val="666666"/>
          <w:sz w:val="10"/>
          <w:szCs w:val="20"/>
        </w:rPr>
      </w:pPr>
    </w:p>
    <w:p w14:paraId="4E6143E5" w14:textId="0050BC92" w:rsidR="00123B96" w:rsidRPr="00243400" w:rsidRDefault="00123B96" w:rsidP="00A2105E">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123B96" w:rsidRPr="00243400" w14:paraId="2FB511C2" w14:textId="77777777" w:rsidTr="0054537D">
        <w:trPr>
          <w:trHeight w:val="340"/>
        </w:trPr>
        <w:tc>
          <w:tcPr>
            <w:tcW w:w="4608" w:type="dxa"/>
            <w:tcBorders>
              <w:top w:val="nil"/>
              <w:left w:val="nil"/>
              <w:bottom w:val="single" w:sz="8" w:space="0" w:color="auto"/>
              <w:right w:val="nil"/>
            </w:tcBorders>
          </w:tcPr>
          <w:p w14:paraId="04769212" w14:textId="77777777" w:rsidR="00123B96" w:rsidRPr="00243400" w:rsidRDefault="00123B96" w:rsidP="0054537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53CE62E7" w14:textId="04710CF6"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0116F">
              <w:rPr>
                <w:rFonts w:ascii="Segoe UI" w:eastAsia="Times New Roman" w:hAnsi="Segoe UI" w:cs="Segoe UI"/>
                <w:b/>
                <w:bCs/>
                <w:color w:val="666666"/>
                <w:sz w:val="16"/>
                <w:szCs w:val="16"/>
              </w:rPr>
              <w:t>September</w:t>
            </w:r>
            <w:r w:rsidRPr="3A42354A">
              <w:rPr>
                <w:rFonts w:ascii="Segoe UI" w:eastAsia="Times New Roman" w:hAnsi="Segoe UI" w:cs="Segoe UI"/>
                <w:b/>
                <w:bCs/>
                <w:color w:val="666666"/>
                <w:sz w:val="16"/>
                <w:szCs w:val="16"/>
              </w:rPr>
              <w:t xml:space="preserve"> 3</w:t>
            </w:r>
            <w:r w:rsidR="00B0116F">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 201</w:t>
            </w:r>
            <w:r>
              <w:rPr>
                <w:rFonts w:ascii="Segoe UI" w:eastAsia="Times New Roman" w:hAnsi="Segoe UI" w:cs="Segoe UI"/>
                <w:b/>
                <w:bCs/>
                <w:color w:val="666666"/>
                <w:sz w:val="16"/>
                <w:szCs w:val="16"/>
              </w:rPr>
              <w:t>8</w:t>
            </w:r>
          </w:p>
        </w:tc>
      </w:tr>
      <w:tr w:rsidR="00123B96" w:rsidRPr="00243400" w14:paraId="54E3F49C" w14:textId="77777777" w:rsidTr="0054537D">
        <w:trPr>
          <w:trHeight w:val="432"/>
        </w:trPr>
        <w:tc>
          <w:tcPr>
            <w:tcW w:w="4608" w:type="dxa"/>
            <w:tcBorders>
              <w:top w:val="single" w:sz="8" w:space="0" w:color="666666"/>
              <w:left w:val="nil"/>
              <w:bottom w:val="single" w:sz="8" w:space="0" w:color="666666"/>
              <w:right w:val="nil"/>
            </w:tcBorders>
            <w:vAlign w:val="bottom"/>
            <w:hideMark/>
          </w:tcPr>
          <w:p w14:paraId="50771126" w14:textId="77777777" w:rsidR="00123B96" w:rsidRPr="00243400" w:rsidRDefault="00123B96" w:rsidP="0054537D">
            <w:pPr>
              <w:spacing w:after="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02D9B833"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757C2463"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368CDC15" w14:textId="77777777" w:rsidR="00123B96" w:rsidRPr="00243400" w:rsidRDefault="00123B96" w:rsidP="0054537D">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123B96" w:rsidRPr="00243400" w14:paraId="5994F5AF" w14:textId="77777777" w:rsidTr="00E372D4">
        <w:trPr>
          <w:trHeight w:val="288"/>
        </w:trPr>
        <w:tc>
          <w:tcPr>
            <w:tcW w:w="4608" w:type="dxa"/>
            <w:tcBorders>
              <w:top w:val="single" w:sz="8" w:space="0" w:color="666666"/>
              <w:left w:val="nil"/>
              <w:bottom w:val="single" w:sz="4" w:space="0" w:color="auto"/>
              <w:right w:val="nil"/>
            </w:tcBorders>
            <w:noWrap/>
            <w:vAlign w:val="center"/>
          </w:tcPr>
          <w:p w14:paraId="482BDC7D"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vAlign w:val="center"/>
          </w:tcPr>
          <w:p w14:paraId="55B67CC1" w14:textId="7133A45D" w:rsidR="00123B96" w:rsidRPr="009240F6" w:rsidRDefault="009557E3"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17</w:t>
            </w:r>
            <w:r w:rsidR="00123B96" w:rsidRPr="0022574A">
              <w:rPr>
                <w:rFonts w:ascii="Segoe UI" w:eastAsia="Times New Roman" w:hAnsi="Segoe UI" w:cs="Segoe UI"/>
                <w:b/>
                <w:color w:val="666666"/>
                <w:sz w:val="16"/>
                <w:szCs w:val="16"/>
              </w:rPr>
              <w:t>%</w:t>
            </w:r>
          </w:p>
        </w:tc>
        <w:tc>
          <w:tcPr>
            <w:tcW w:w="1629" w:type="dxa"/>
            <w:tcBorders>
              <w:top w:val="single" w:sz="8" w:space="0" w:color="666666"/>
              <w:left w:val="nil"/>
              <w:bottom w:val="single" w:sz="4" w:space="0" w:color="auto"/>
              <w:right w:val="nil"/>
            </w:tcBorders>
            <w:vAlign w:val="center"/>
          </w:tcPr>
          <w:p w14:paraId="54DCCDAE" w14:textId="482DB585"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123B96" w:rsidRPr="0022574A">
              <w:rPr>
                <w:rFonts w:ascii="Segoe UI" w:eastAsia="Times New Roman" w:hAnsi="Segoe UI" w:cs="Segoe UI"/>
                <w:b/>
                <w:color w:val="666666"/>
                <w:sz w:val="16"/>
                <w:szCs w:val="16"/>
              </w:rPr>
              <w:t>)%</w:t>
            </w:r>
          </w:p>
        </w:tc>
        <w:tc>
          <w:tcPr>
            <w:tcW w:w="1632" w:type="dxa"/>
            <w:tcBorders>
              <w:top w:val="single" w:sz="8" w:space="0" w:color="666666"/>
              <w:left w:val="nil"/>
              <w:bottom w:val="single" w:sz="4" w:space="0" w:color="auto"/>
              <w:right w:val="nil"/>
            </w:tcBorders>
            <w:vAlign w:val="center"/>
          </w:tcPr>
          <w:p w14:paraId="35CB76AF" w14:textId="275DBA04" w:rsidR="00123B96" w:rsidRPr="00926124" w:rsidRDefault="00123B96" w:rsidP="00E372D4">
            <w:pPr>
              <w:spacing w:after="0"/>
              <w:ind w:firstLine="82"/>
              <w:jc w:val="right"/>
              <w:rPr>
                <w:rFonts w:ascii="Segoe UI" w:eastAsia="Times New Roman" w:hAnsi="Segoe UI" w:cs="Segoe UI"/>
                <w:b/>
                <w:color w:val="666666"/>
                <w:sz w:val="16"/>
                <w:szCs w:val="16"/>
              </w:rPr>
            </w:pPr>
            <w:r w:rsidRPr="0022574A">
              <w:rPr>
                <w:rFonts w:ascii="Segoe UI" w:eastAsia="Times New Roman" w:hAnsi="Segoe UI" w:cs="Segoe UI"/>
                <w:b/>
                <w:color w:val="666666"/>
                <w:sz w:val="16"/>
                <w:szCs w:val="16"/>
              </w:rPr>
              <w:t>1</w:t>
            </w:r>
            <w:r w:rsidR="009557E3">
              <w:rPr>
                <w:rFonts w:ascii="Segoe UI" w:eastAsia="Times New Roman" w:hAnsi="Segoe UI" w:cs="Segoe UI"/>
                <w:b/>
                <w:color w:val="666666"/>
                <w:sz w:val="16"/>
                <w:szCs w:val="16"/>
              </w:rPr>
              <w:t>6</w:t>
            </w:r>
            <w:r w:rsidRPr="0022574A">
              <w:rPr>
                <w:rFonts w:ascii="Segoe UI" w:eastAsia="Times New Roman" w:hAnsi="Segoe UI" w:cs="Segoe UI"/>
                <w:b/>
                <w:color w:val="666666"/>
                <w:sz w:val="16"/>
                <w:szCs w:val="16"/>
              </w:rPr>
              <w:t>%</w:t>
            </w:r>
          </w:p>
        </w:tc>
      </w:tr>
      <w:tr w:rsidR="00123B96" w:rsidRPr="00243400" w14:paraId="4C5A31CE" w14:textId="77777777" w:rsidTr="00E372D4">
        <w:trPr>
          <w:trHeight w:val="288"/>
        </w:trPr>
        <w:tc>
          <w:tcPr>
            <w:tcW w:w="4608" w:type="dxa"/>
            <w:tcBorders>
              <w:top w:val="single" w:sz="4" w:space="0" w:color="auto"/>
              <w:left w:val="nil"/>
              <w:bottom w:val="single" w:sz="4" w:space="0" w:color="auto"/>
              <w:right w:val="nil"/>
            </w:tcBorders>
            <w:noWrap/>
            <w:vAlign w:val="center"/>
          </w:tcPr>
          <w:p w14:paraId="42A219CF"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vAlign w:val="center"/>
          </w:tcPr>
          <w:p w14:paraId="5FC4EEDE" w14:textId="6D280F48" w:rsidR="00123B96" w:rsidRPr="009240F6" w:rsidRDefault="009557E3" w:rsidP="00477061">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36</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10C9E3B" w14:textId="02E41C7E" w:rsidR="00123B96" w:rsidRPr="00926124" w:rsidRDefault="003D6A9B"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C1F0044" w14:textId="5A1EEF6A" w:rsidR="00123B96" w:rsidRPr="00926124" w:rsidRDefault="003D6A9B"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35</w:t>
            </w:r>
            <w:r w:rsidR="00123B96" w:rsidRPr="00926124">
              <w:rPr>
                <w:rFonts w:ascii="Segoe UI" w:eastAsia="Times New Roman" w:hAnsi="Segoe UI" w:cs="Segoe UI"/>
                <w:b/>
                <w:color w:val="666666"/>
                <w:sz w:val="16"/>
                <w:szCs w:val="16"/>
              </w:rPr>
              <w:t>%</w:t>
            </w:r>
          </w:p>
        </w:tc>
      </w:tr>
      <w:tr w:rsidR="00123B96" w:rsidRPr="00243400" w14:paraId="59E19608" w14:textId="77777777" w:rsidTr="00E372D4">
        <w:trPr>
          <w:trHeight w:val="288"/>
        </w:trPr>
        <w:tc>
          <w:tcPr>
            <w:tcW w:w="4608" w:type="dxa"/>
            <w:tcBorders>
              <w:top w:val="single" w:sz="4" w:space="0" w:color="auto"/>
              <w:left w:val="nil"/>
              <w:bottom w:val="single" w:sz="4" w:space="0" w:color="auto"/>
              <w:right w:val="nil"/>
            </w:tcBorders>
            <w:noWrap/>
            <w:vAlign w:val="center"/>
          </w:tcPr>
          <w:p w14:paraId="3B35847A"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vAlign w:val="center"/>
          </w:tcPr>
          <w:p w14:paraId="0F281198" w14:textId="7F30471A" w:rsidR="00123B96" w:rsidRPr="009240F6" w:rsidRDefault="009557E3"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16</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F379C75" w14:textId="52F7EEFA"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123B96"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6379FCBC" w14:textId="36984D38"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17</w:t>
            </w:r>
            <w:r w:rsidR="00123B96" w:rsidRPr="0022574A">
              <w:rPr>
                <w:rFonts w:ascii="Segoe UI" w:eastAsia="Times New Roman" w:hAnsi="Segoe UI" w:cs="Segoe UI"/>
                <w:b/>
                <w:color w:val="666666"/>
                <w:sz w:val="16"/>
                <w:szCs w:val="16"/>
              </w:rPr>
              <w:t>%</w:t>
            </w:r>
          </w:p>
        </w:tc>
      </w:tr>
      <w:tr w:rsidR="00123B96" w:rsidRPr="00243400" w14:paraId="26118A8B" w14:textId="77777777" w:rsidTr="00E372D4">
        <w:trPr>
          <w:trHeight w:val="288"/>
        </w:trPr>
        <w:tc>
          <w:tcPr>
            <w:tcW w:w="4608" w:type="dxa"/>
            <w:tcBorders>
              <w:top w:val="single" w:sz="4" w:space="0" w:color="auto"/>
              <w:left w:val="nil"/>
              <w:bottom w:val="single" w:sz="4" w:space="0" w:color="auto"/>
              <w:right w:val="nil"/>
            </w:tcBorders>
            <w:noWrap/>
            <w:vAlign w:val="center"/>
          </w:tcPr>
          <w:p w14:paraId="3E4593AA" w14:textId="77777777" w:rsidR="00123B96" w:rsidRPr="3A42354A" w:rsidRDefault="00123B96"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vAlign w:val="center"/>
          </w:tcPr>
          <w:p w14:paraId="0E3EA3AC" w14:textId="333D137D" w:rsidR="00123B96" w:rsidRPr="00BF407D" w:rsidRDefault="00123B96" w:rsidP="00E372D4">
            <w:pPr>
              <w:spacing w:after="0"/>
              <w:ind w:firstLine="82"/>
              <w:jc w:val="right"/>
              <w:rPr>
                <w:rFonts w:ascii="Segoe UI" w:eastAsia="Times New Roman" w:hAnsi="Segoe UI" w:cs="Segoe UI"/>
                <w:b/>
                <w:color w:val="666666"/>
                <w:sz w:val="16"/>
                <w:szCs w:val="16"/>
              </w:rPr>
            </w:pPr>
            <w:r w:rsidRPr="00A23EEB">
              <w:rPr>
                <w:rFonts w:ascii="Segoe UI" w:eastAsia="Times New Roman" w:hAnsi="Segoe UI" w:cs="Segoe UI"/>
                <w:b/>
                <w:color w:val="666666"/>
                <w:sz w:val="16"/>
                <w:szCs w:val="16"/>
              </w:rPr>
              <w:t>3</w:t>
            </w:r>
            <w:r w:rsidR="009557E3">
              <w:rPr>
                <w:rFonts w:ascii="Segoe UI" w:eastAsia="Times New Roman" w:hAnsi="Segoe UI" w:cs="Segoe UI"/>
                <w:b/>
                <w:color w:val="666666"/>
                <w:sz w:val="16"/>
                <w:szCs w:val="16"/>
              </w:rPr>
              <w:t>3</w:t>
            </w:r>
            <w:r w:rsidRPr="00A23EEB">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1419B8D5" w14:textId="4940D89C" w:rsidR="00123B96" w:rsidRPr="00BF407D" w:rsidRDefault="009557E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9D47176" w14:textId="77777777" w:rsidR="00123B96" w:rsidRPr="00BF407D" w:rsidRDefault="00123B96" w:rsidP="00E372D4">
            <w:pPr>
              <w:spacing w:after="0"/>
              <w:ind w:firstLine="82"/>
              <w:jc w:val="right"/>
              <w:rPr>
                <w:rFonts w:ascii="Segoe UI" w:eastAsia="Times New Roman" w:hAnsi="Segoe UI" w:cs="Segoe UI"/>
                <w:b/>
                <w:color w:val="666666"/>
                <w:sz w:val="16"/>
                <w:szCs w:val="16"/>
              </w:rPr>
            </w:pPr>
            <w:r w:rsidRPr="00A23EEB">
              <w:rPr>
                <w:rFonts w:ascii="Segoe UI" w:eastAsia="Times New Roman" w:hAnsi="Segoe UI" w:cs="Segoe UI"/>
                <w:b/>
                <w:color w:val="666666"/>
                <w:sz w:val="16"/>
                <w:szCs w:val="16"/>
              </w:rPr>
              <w:t>33%</w:t>
            </w:r>
          </w:p>
        </w:tc>
      </w:tr>
      <w:tr w:rsidR="00123B96" w:rsidRPr="00243400" w14:paraId="18158884" w14:textId="77777777" w:rsidTr="00E372D4">
        <w:trPr>
          <w:trHeight w:val="288"/>
        </w:trPr>
        <w:tc>
          <w:tcPr>
            <w:tcW w:w="4608" w:type="dxa"/>
            <w:tcBorders>
              <w:top w:val="single" w:sz="4" w:space="0" w:color="auto"/>
              <w:left w:val="nil"/>
              <w:bottom w:val="single" w:sz="4" w:space="0" w:color="auto"/>
              <w:right w:val="nil"/>
            </w:tcBorders>
            <w:noWrap/>
            <w:vAlign w:val="center"/>
          </w:tcPr>
          <w:p w14:paraId="09FCC5B3"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41391747" w14:textId="39017E26" w:rsidR="00123B96" w:rsidRPr="009240F6" w:rsidRDefault="009557E3"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20</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463EE1EC" w14:textId="7E4A2078" w:rsidR="00123B96" w:rsidRPr="00926124" w:rsidRDefault="009557E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56E007C" w14:textId="6BE7E129"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20</w:t>
            </w:r>
            <w:r w:rsidR="00123B96" w:rsidRPr="0022574A">
              <w:rPr>
                <w:rFonts w:ascii="Segoe UI" w:eastAsia="Times New Roman" w:hAnsi="Segoe UI" w:cs="Segoe UI"/>
                <w:b/>
                <w:color w:val="666666"/>
                <w:sz w:val="16"/>
                <w:szCs w:val="16"/>
              </w:rPr>
              <w:t>%</w:t>
            </w:r>
          </w:p>
        </w:tc>
      </w:tr>
      <w:tr w:rsidR="00123B96" w:rsidRPr="00243400" w14:paraId="272A8AAE" w14:textId="77777777" w:rsidTr="00E372D4">
        <w:trPr>
          <w:trHeight w:val="288"/>
        </w:trPr>
        <w:tc>
          <w:tcPr>
            <w:tcW w:w="4608" w:type="dxa"/>
            <w:tcBorders>
              <w:top w:val="single" w:sz="4" w:space="0" w:color="auto"/>
              <w:left w:val="nil"/>
              <w:bottom w:val="single" w:sz="4" w:space="0" w:color="auto"/>
              <w:right w:val="nil"/>
            </w:tcBorders>
            <w:noWrap/>
            <w:vAlign w:val="center"/>
          </w:tcPr>
          <w:p w14:paraId="0D22DFFC"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0DF78A96" w14:textId="44A62CDA" w:rsidR="00123B96" w:rsidRPr="009240F6" w:rsidRDefault="009557E3"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51</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C8C4D45" w14:textId="0FA50C51" w:rsidR="00123B96" w:rsidRPr="00926124" w:rsidRDefault="00926124"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(2)</w:t>
            </w:r>
            <w:r w:rsidR="009557E3"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5D7D336B" w14:textId="24BF7A41" w:rsidR="00123B96" w:rsidRPr="00926124" w:rsidRDefault="00926124"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49</w:t>
            </w:r>
            <w:r w:rsidR="00123B96" w:rsidRPr="00926124">
              <w:rPr>
                <w:rFonts w:ascii="Segoe UI" w:eastAsia="Times New Roman" w:hAnsi="Segoe UI" w:cs="Segoe UI"/>
                <w:b/>
                <w:color w:val="666666"/>
                <w:sz w:val="16"/>
                <w:szCs w:val="16"/>
              </w:rPr>
              <w:t>%</w:t>
            </w:r>
          </w:p>
        </w:tc>
      </w:tr>
      <w:tr w:rsidR="00123B96" w:rsidRPr="00243400" w14:paraId="44B87955" w14:textId="77777777" w:rsidTr="00E372D4">
        <w:trPr>
          <w:trHeight w:val="288"/>
        </w:trPr>
        <w:tc>
          <w:tcPr>
            <w:tcW w:w="4608" w:type="dxa"/>
            <w:tcBorders>
              <w:top w:val="single" w:sz="4" w:space="0" w:color="auto"/>
              <w:left w:val="nil"/>
              <w:bottom w:val="single" w:sz="4" w:space="0" w:color="auto"/>
              <w:right w:val="nil"/>
            </w:tcBorders>
            <w:noWrap/>
            <w:vAlign w:val="center"/>
          </w:tcPr>
          <w:p w14:paraId="261703E3"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5BFCEAAA" w14:textId="0DD37832" w:rsidR="00123B96" w:rsidRPr="009240F6" w:rsidRDefault="009557E3"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28</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10C35560" w14:textId="5551E4D5" w:rsidR="00123B96" w:rsidRPr="00926124" w:rsidRDefault="009557E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0AF00A5" w14:textId="3BA702CF"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28%</w:t>
            </w:r>
          </w:p>
        </w:tc>
      </w:tr>
      <w:tr w:rsidR="00123B96" w:rsidRPr="00DB3300" w14:paraId="6DB16330" w14:textId="77777777" w:rsidTr="00E372D4">
        <w:trPr>
          <w:trHeight w:val="288"/>
        </w:trPr>
        <w:tc>
          <w:tcPr>
            <w:tcW w:w="4608" w:type="dxa"/>
            <w:tcBorders>
              <w:top w:val="single" w:sz="4" w:space="0" w:color="auto"/>
              <w:left w:val="nil"/>
              <w:bottom w:val="single" w:sz="4" w:space="0" w:color="auto"/>
              <w:right w:val="nil"/>
            </w:tcBorders>
            <w:noWrap/>
            <w:vAlign w:val="center"/>
          </w:tcPr>
          <w:p w14:paraId="74137EFA"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2AFB3981" w14:textId="2A3C35A9" w:rsidR="00123B96" w:rsidRPr="009240F6" w:rsidRDefault="009557E3"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7</w:t>
            </w:r>
            <w:r w:rsidR="00356917">
              <w:rPr>
                <w:rFonts w:ascii="Segoe UI" w:eastAsia="Times New Roman" w:hAnsi="Segoe UI" w:cs="Segoe UI"/>
                <w:b/>
                <w:color w:val="666666"/>
                <w:sz w:val="16"/>
                <w:szCs w:val="16"/>
              </w:rPr>
              <w:t>6</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2D9C6EF" w14:textId="79F2BCA8" w:rsidR="00123B96" w:rsidRPr="00DB3300" w:rsidRDefault="001108D3" w:rsidP="00E372D4">
            <w:pPr>
              <w:spacing w:after="0"/>
              <w:ind w:firstLine="82"/>
              <w:jc w:val="right"/>
              <w:rPr>
                <w:rFonts w:ascii="Segoe UI" w:eastAsia="Times New Roman" w:hAnsi="Segoe UI" w:cs="Segoe UI"/>
                <w:b/>
                <w:color w:val="666666"/>
                <w:sz w:val="16"/>
                <w:szCs w:val="16"/>
              </w:rPr>
            </w:pPr>
            <w:r w:rsidRPr="00DB3300">
              <w:rPr>
                <w:rFonts w:ascii="Segoe UI" w:eastAsia="Times New Roman" w:hAnsi="Segoe UI" w:cs="Segoe UI"/>
                <w:b/>
                <w:color w:val="666666"/>
                <w:sz w:val="16"/>
                <w:szCs w:val="16"/>
              </w:rPr>
              <w:t>0</w:t>
            </w:r>
            <w:r w:rsidR="00123B96" w:rsidRPr="00DB3300">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7B173B8" w14:textId="476263FD" w:rsidR="00123B96" w:rsidRPr="00DB3300" w:rsidRDefault="001108D3" w:rsidP="00E372D4">
            <w:pPr>
              <w:spacing w:after="0"/>
              <w:ind w:firstLine="82"/>
              <w:jc w:val="right"/>
              <w:rPr>
                <w:rFonts w:ascii="Segoe UI" w:eastAsia="Times New Roman" w:hAnsi="Segoe UI" w:cs="Segoe UI"/>
                <w:b/>
                <w:color w:val="666666"/>
                <w:sz w:val="16"/>
                <w:szCs w:val="16"/>
              </w:rPr>
            </w:pPr>
            <w:r w:rsidRPr="00DB3300">
              <w:rPr>
                <w:rFonts w:ascii="Segoe UI" w:eastAsia="Times New Roman" w:hAnsi="Segoe UI" w:cs="Segoe UI"/>
                <w:b/>
                <w:color w:val="666666"/>
                <w:sz w:val="16"/>
                <w:szCs w:val="16"/>
              </w:rPr>
              <w:t>7</w:t>
            </w:r>
            <w:r w:rsidR="00356917" w:rsidRPr="00DB3300">
              <w:rPr>
                <w:rFonts w:ascii="Segoe UI" w:eastAsia="Times New Roman" w:hAnsi="Segoe UI" w:cs="Segoe UI"/>
                <w:b/>
                <w:color w:val="666666"/>
                <w:sz w:val="16"/>
                <w:szCs w:val="16"/>
              </w:rPr>
              <w:t>6</w:t>
            </w:r>
            <w:r w:rsidR="00123B96" w:rsidRPr="00DB3300">
              <w:rPr>
                <w:rFonts w:ascii="Segoe UI" w:eastAsia="Times New Roman" w:hAnsi="Segoe UI" w:cs="Segoe UI"/>
                <w:b/>
                <w:color w:val="666666"/>
                <w:sz w:val="16"/>
                <w:szCs w:val="16"/>
              </w:rPr>
              <w:t>%</w:t>
            </w:r>
          </w:p>
        </w:tc>
      </w:tr>
      <w:tr w:rsidR="00123B96" w:rsidRPr="00243400" w14:paraId="5FBF9B2F" w14:textId="77777777" w:rsidTr="00E372D4">
        <w:trPr>
          <w:trHeight w:val="288"/>
        </w:trPr>
        <w:tc>
          <w:tcPr>
            <w:tcW w:w="4608" w:type="dxa"/>
            <w:tcBorders>
              <w:top w:val="single" w:sz="4" w:space="0" w:color="auto"/>
              <w:left w:val="nil"/>
              <w:bottom w:val="single" w:sz="4" w:space="0" w:color="auto"/>
              <w:right w:val="nil"/>
            </w:tcBorders>
            <w:noWrap/>
            <w:vAlign w:val="center"/>
          </w:tcPr>
          <w:p w14:paraId="49371742"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61840B54" w14:textId="64D15D07" w:rsidR="00123B96" w:rsidRPr="009240F6" w:rsidRDefault="009557E3" w:rsidP="00E372D4">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1B372E1" w14:textId="0A1895BC"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0</w:t>
            </w:r>
            <w:r w:rsidR="00123B96"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C4AE1A6" w14:textId="4E38E39F"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6</w:t>
            </w:r>
            <w:r w:rsidR="00123B96" w:rsidRPr="0022574A">
              <w:rPr>
                <w:rFonts w:ascii="Segoe UI" w:eastAsia="Times New Roman" w:hAnsi="Segoe UI" w:cs="Segoe UI"/>
                <w:b/>
                <w:color w:val="666666"/>
                <w:sz w:val="16"/>
                <w:szCs w:val="16"/>
              </w:rPr>
              <w:t>%</w:t>
            </w:r>
          </w:p>
        </w:tc>
      </w:tr>
      <w:tr w:rsidR="00123B96" w:rsidRPr="00243400" w14:paraId="05662443" w14:textId="77777777" w:rsidTr="00E372D4">
        <w:trPr>
          <w:trHeight w:val="288"/>
        </w:trPr>
        <w:tc>
          <w:tcPr>
            <w:tcW w:w="4608" w:type="dxa"/>
            <w:tcBorders>
              <w:top w:val="single" w:sz="4" w:space="0" w:color="auto"/>
              <w:left w:val="nil"/>
              <w:bottom w:val="single" w:sz="4" w:space="0" w:color="auto"/>
              <w:right w:val="nil"/>
            </w:tcBorders>
            <w:noWrap/>
            <w:vAlign w:val="center"/>
          </w:tcPr>
          <w:p w14:paraId="54B139E8"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2E075F56" w14:textId="7B59FB0A" w:rsidR="00123B96" w:rsidRPr="00926124" w:rsidRDefault="001108D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3</w:t>
            </w:r>
            <w:r w:rsidR="00123B96" w:rsidRPr="0092612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BE128DA" w14:textId="2511C48A" w:rsidR="00123B96" w:rsidRPr="00926124" w:rsidRDefault="001108D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7E91F65" w14:textId="63BB0084" w:rsidR="00123B96" w:rsidRPr="00926124" w:rsidRDefault="001108D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3</w:t>
            </w:r>
            <w:r w:rsidR="00123B96" w:rsidRPr="00926124">
              <w:rPr>
                <w:rFonts w:ascii="Segoe UI" w:eastAsia="Times New Roman" w:hAnsi="Segoe UI" w:cs="Segoe UI"/>
                <w:b/>
                <w:color w:val="666666"/>
                <w:sz w:val="16"/>
                <w:szCs w:val="16"/>
              </w:rPr>
              <w:t>%</w:t>
            </w:r>
          </w:p>
        </w:tc>
      </w:tr>
      <w:tr w:rsidR="00123B96" w:rsidRPr="00243400" w14:paraId="38B583F8" w14:textId="77777777" w:rsidTr="00E372D4">
        <w:trPr>
          <w:trHeight w:val="288"/>
        </w:trPr>
        <w:tc>
          <w:tcPr>
            <w:tcW w:w="4608" w:type="dxa"/>
            <w:tcBorders>
              <w:top w:val="single" w:sz="4" w:space="0" w:color="auto"/>
              <w:left w:val="nil"/>
              <w:bottom w:val="single" w:sz="4" w:space="0" w:color="auto"/>
              <w:right w:val="nil"/>
            </w:tcBorders>
            <w:noWrap/>
            <w:vAlign w:val="center"/>
          </w:tcPr>
          <w:p w14:paraId="3A89C527"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vAlign w:val="center"/>
          </w:tcPr>
          <w:p w14:paraId="525D4674" w14:textId="6F221E9A"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12</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5F64AF73" w14:textId="152AC6CD"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0</w:t>
            </w:r>
            <w:r w:rsidR="00123B96"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4ABAA6A" w14:textId="50E9B909"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12</w:t>
            </w:r>
            <w:r w:rsidR="00123B96" w:rsidRPr="0022574A">
              <w:rPr>
                <w:rFonts w:ascii="Segoe UI" w:eastAsia="Times New Roman" w:hAnsi="Segoe UI" w:cs="Segoe UI"/>
                <w:b/>
                <w:color w:val="666666"/>
                <w:sz w:val="16"/>
                <w:szCs w:val="16"/>
              </w:rPr>
              <w:t>%</w:t>
            </w:r>
          </w:p>
        </w:tc>
      </w:tr>
      <w:tr w:rsidR="00123B96" w:rsidRPr="00243400" w14:paraId="559EE362" w14:textId="77777777" w:rsidTr="00E372D4">
        <w:trPr>
          <w:trHeight w:val="288"/>
        </w:trPr>
        <w:tc>
          <w:tcPr>
            <w:tcW w:w="4608" w:type="dxa"/>
            <w:tcBorders>
              <w:top w:val="single" w:sz="4" w:space="0" w:color="auto"/>
              <w:left w:val="nil"/>
              <w:bottom w:val="single" w:sz="4" w:space="0" w:color="auto"/>
              <w:right w:val="nil"/>
            </w:tcBorders>
            <w:noWrap/>
            <w:vAlign w:val="center"/>
          </w:tcPr>
          <w:p w14:paraId="2694844E" w14:textId="5AB8A6EE" w:rsidR="00123B96" w:rsidRPr="3A42354A" w:rsidRDefault="00DE7840"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00123B96" w:rsidRPr="3A42354A">
              <w:rPr>
                <w:rFonts w:ascii="Segoe UI" w:eastAsia="Times New Roman" w:hAnsi="Segoe UI" w:cs="Segoe UI"/>
                <w:b/>
                <w:bCs/>
                <w:color w:val="666666"/>
                <w:sz w:val="16"/>
                <w:szCs w:val="16"/>
              </w:rPr>
              <w:t xml:space="preserve"> </w:t>
            </w:r>
            <w:r w:rsidR="00AE67F2">
              <w:rPr>
                <w:rFonts w:ascii="Segoe UI" w:eastAsia="Times New Roman" w:hAnsi="Segoe UI" w:cs="Segoe UI"/>
                <w:b/>
                <w:bCs/>
                <w:color w:val="666666"/>
                <w:sz w:val="16"/>
                <w:szCs w:val="16"/>
              </w:rPr>
              <w:t xml:space="preserve">advertising </w:t>
            </w:r>
            <w:r w:rsidR="00123B96" w:rsidRPr="3A42354A">
              <w:rPr>
                <w:rFonts w:ascii="Segoe UI" w:eastAsia="Times New Roman" w:hAnsi="Segoe UI" w:cs="Segoe UI"/>
                <w:b/>
                <w:bCs/>
                <w:color w:val="666666"/>
                <w:sz w:val="16"/>
                <w:szCs w:val="16"/>
              </w:rPr>
              <w:t>excluding traffic acquisition costs</w:t>
            </w:r>
          </w:p>
        </w:tc>
        <w:tc>
          <w:tcPr>
            <w:tcW w:w="1635" w:type="dxa"/>
            <w:tcBorders>
              <w:top w:val="single" w:sz="4" w:space="0" w:color="auto"/>
              <w:left w:val="nil"/>
              <w:bottom w:val="single" w:sz="4" w:space="0" w:color="auto"/>
              <w:right w:val="nil"/>
            </w:tcBorders>
            <w:vAlign w:val="center"/>
          </w:tcPr>
          <w:p w14:paraId="2AA47B8E" w14:textId="5CC39296" w:rsidR="00123B96" w:rsidRPr="00926124" w:rsidRDefault="00123B96" w:rsidP="00E372D4">
            <w:pPr>
              <w:spacing w:after="0"/>
              <w:ind w:firstLine="82"/>
              <w:jc w:val="right"/>
              <w:rPr>
                <w:rFonts w:ascii="Segoe UI" w:eastAsia="Times New Roman" w:hAnsi="Segoe UI" w:cs="Segoe UI"/>
                <w:b/>
                <w:color w:val="666666"/>
                <w:sz w:val="16"/>
                <w:szCs w:val="16"/>
              </w:rPr>
            </w:pPr>
            <w:r w:rsidRPr="0022574A">
              <w:rPr>
                <w:rFonts w:ascii="Segoe UI" w:eastAsia="Times New Roman" w:hAnsi="Segoe UI" w:cs="Segoe UI"/>
                <w:b/>
                <w:color w:val="666666"/>
                <w:sz w:val="16"/>
                <w:szCs w:val="16"/>
              </w:rPr>
              <w:t>1</w:t>
            </w:r>
            <w:r w:rsidR="009557E3">
              <w:rPr>
                <w:rFonts w:ascii="Segoe UI" w:eastAsia="Times New Roman" w:hAnsi="Segoe UI" w:cs="Segoe UI"/>
                <w:b/>
                <w:color w:val="666666"/>
                <w:sz w:val="16"/>
                <w:szCs w:val="16"/>
              </w:rPr>
              <w:t>7</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324BA8D" w14:textId="5C71D0F9" w:rsidR="00123B96" w:rsidRPr="00926124" w:rsidRDefault="00BC51A8"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0</w:t>
            </w:r>
            <w:r w:rsidR="00123B96"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3155D09" w14:textId="01A1FD42"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BC51A8">
              <w:rPr>
                <w:rFonts w:ascii="Segoe UI" w:eastAsia="Times New Roman" w:hAnsi="Segoe UI" w:cs="Segoe UI"/>
                <w:b/>
                <w:color w:val="666666"/>
                <w:sz w:val="16"/>
                <w:szCs w:val="16"/>
              </w:rPr>
              <w:t>7</w:t>
            </w:r>
            <w:r w:rsidR="00123B96" w:rsidRPr="0022574A">
              <w:rPr>
                <w:rFonts w:ascii="Segoe UI" w:eastAsia="Times New Roman" w:hAnsi="Segoe UI" w:cs="Segoe UI"/>
                <w:b/>
                <w:color w:val="666666"/>
                <w:sz w:val="16"/>
                <w:szCs w:val="16"/>
              </w:rPr>
              <w:t>%</w:t>
            </w:r>
          </w:p>
        </w:tc>
      </w:tr>
      <w:tr w:rsidR="00123B96" w:rsidRPr="00243400" w14:paraId="78CAD1F3" w14:textId="77777777" w:rsidTr="00E372D4">
        <w:trPr>
          <w:trHeight w:val="288"/>
        </w:trPr>
        <w:tc>
          <w:tcPr>
            <w:tcW w:w="4608" w:type="dxa"/>
            <w:tcBorders>
              <w:top w:val="single" w:sz="4" w:space="0" w:color="auto"/>
              <w:left w:val="nil"/>
              <w:bottom w:val="single" w:sz="4" w:space="0" w:color="auto"/>
              <w:right w:val="nil"/>
            </w:tcBorders>
            <w:noWrap/>
            <w:vAlign w:val="center"/>
          </w:tcPr>
          <w:p w14:paraId="4B861186" w14:textId="77777777" w:rsidR="00123B96" w:rsidRPr="45064EBB"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715B233C" w14:textId="0B3B50AD" w:rsidR="00123B96" w:rsidRPr="00926124" w:rsidRDefault="009557E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14</w:t>
            </w:r>
            <w:r w:rsidR="00123B96" w:rsidRPr="0092612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5063A1AB" w14:textId="2240B111" w:rsidR="00123B96" w:rsidRPr="00926124" w:rsidRDefault="001108D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193DF41E" w14:textId="0E44E1BD" w:rsidR="00123B96" w:rsidRPr="00926124" w:rsidRDefault="001108D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14</w:t>
            </w:r>
            <w:r w:rsidR="00123B96" w:rsidRPr="00926124">
              <w:rPr>
                <w:rFonts w:ascii="Segoe UI" w:eastAsia="Times New Roman" w:hAnsi="Segoe UI" w:cs="Segoe UI"/>
                <w:b/>
                <w:color w:val="666666"/>
                <w:sz w:val="16"/>
                <w:szCs w:val="16"/>
              </w:rPr>
              <w:t>%</w:t>
            </w:r>
          </w:p>
        </w:tc>
      </w:tr>
      <w:tr w:rsidR="00123B96" w:rsidRPr="00243400" w14:paraId="0F8DD09B" w14:textId="77777777" w:rsidTr="00E372D4">
        <w:trPr>
          <w:trHeight w:val="288"/>
        </w:trPr>
        <w:tc>
          <w:tcPr>
            <w:tcW w:w="4608" w:type="dxa"/>
            <w:tcBorders>
              <w:top w:val="single" w:sz="4" w:space="0" w:color="auto"/>
              <w:left w:val="nil"/>
              <w:bottom w:val="single" w:sz="4" w:space="0" w:color="auto"/>
              <w:right w:val="nil"/>
            </w:tcBorders>
            <w:noWrap/>
            <w:vAlign w:val="center"/>
          </w:tcPr>
          <w:p w14:paraId="17E55A2E" w14:textId="77777777" w:rsidR="00123B96" w:rsidRPr="00243400" w:rsidRDefault="00123B96" w:rsidP="0054537D">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54C156C6" w14:textId="0769C651"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44</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182ACF63" w14:textId="6E850208" w:rsidR="00123B96" w:rsidRPr="00926124" w:rsidRDefault="005A1E69"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D62BA31" w14:textId="1F0A5974" w:rsidR="00123B96" w:rsidRPr="00926124" w:rsidRDefault="005A1E69"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45</w:t>
            </w:r>
            <w:r w:rsidR="00123B96" w:rsidRPr="00926124">
              <w:rPr>
                <w:rFonts w:ascii="Segoe UI" w:eastAsia="Times New Roman" w:hAnsi="Segoe UI" w:cs="Segoe UI"/>
                <w:b/>
                <w:color w:val="666666"/>
                <w:sz w:val="16"/>
                <w:szCs w:val="16"/>
              </w:rPr>
              <w:t>%</w:t>
            </w:r>
          </w:p>
        </w:tc>
      </w:tr>
      <w:tr w:rsidR="00123B96" w:rsidRPr="00243400" w14:paraId="69D9BAA5" w14:textId="77777777" w:rsidTr="00E372D4">
        <w:trPr>
          <w:trHeight w:val="288"/>
        </w:trPr>
        <w:tc>
          <w:tcPr>
            <w:tcW w:w="4608" w:type="dxa"/>
            <w:tcBorders>
              <w:top w:val="single" w:sz="4" w:space="0" w:color="auto"/>
              <w:left w:val="nil"/>
              <w:bottom w:val="single" w:sz="4" w:space="0" w:color="auto"/>
              <w:right w:val="nil"/>
            </w:tcBorders>
            <w:noWrap/>
            <w:vAlign w:val="center"/>
          </w:tcPr>
          <w:p w14:paraId="4E8885E0" w14:textId="77777777" w:rsidR="00123B96" w:rsidRPr="3A42354A" w:rsidRDefault="00123B96" w:rsidP="0054537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software and services </w:t>
            </w:r>
          </w:p>
        </w:tc>
        <w:tc>
          <w:tcPr>
            <w:tcW w:w="1635" w:type="dxa"/>
            <w:tcBorders>
              <w:top w:val="single" w:sz="4" w:space="0" w:color="auto"/>
              <w:left w:val="nil"/>
              <w:bottom w:val="single" w:sz="4" w:space="0" w:color="auto"/>
              <w:right w:val="nil"/>
            </w:tcBorders>
            <w:vAlign w:val="center"/>
          </w:tcPr>
          <w:p w14:paraId="6684CBB9" w14:textId="757BECDB" w:rsidR="00123B96" w:rsidRPr="00926124" w:rsidRDefault="009557E3" w:rsidP="00E372D4">
            <w:pPr>
              <w:spacing w:after="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36</w:t>
            </w:r>
            <w:r w:rsidR="00123B96"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0F8860E3" w14:textId="49187277" w:rsidR="00123B96" w:rsidRPr="00926124" w:rsidRDefault="00990FB0"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r w:rsidR="00123B96"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DF98E6C" w14:textId="3B729CD1" w:rsidR="00123B96" w:rsidRPr="00926124" w:rsidRDefault="001108D3" w:rsidP="00E372D4">
            <w:pPr>
              <w:spacing w:after="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36</w:t>
            </w:r>
            <w:r w:rsidR="00123B96" w:rsidRPr="00926124">
              <w:rPr>
                <w:rFonts w:ascii="Segoe UI" w:eastAsia="Times New Roman" w:hAnsi="Segoe UI" w:cs="Segoe UI"/>
                <w:b/>
                <w:color w:val="666666"/>
                <w:sz w:val="16"/>
                <w:szCs w:val="16"/>
              </w:rPr>
              <w:t>%</w:t>
            </w:r>
          </w:p>
        </w:tc>
      </w:tr>
    </w:tbl>
    <w:p w14:paraId="0EE133BF" w14:textId="526C7CD9" w:rsidR="00B5626E" w:rsidRPr="0024340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8AD54A" w14:textId="77777777" w:rsidR="00B5626E" w:rsidRPr="0024340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19256CD9" w14:textId="683C21A8" w:rsidR="002974F6" w:rsidRPr="00243400" w:rsidRDefault="002974F6" w:rsidP="002974F6">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Forward-Looking Statements</w:t>
      </w:r>
    </w:p>
    <w:p w14:paraId="4BCD8923" w14:textId="77777777" w:rsidR="002974F6" w:rsidRPr="00243400" w:rsidRDefault="002974F6" w:rsidP="002974F6">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06B10B0E"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all of </w:t>
      </w:r>
      <w:r>
        <w:rPr>
          <w:rFonts w:ascii="Segoe UI" w:hAnsi="Segoe UI" w:cs="Segoe UI"/>
          <w:color w:val="666666"/>
          <w:sz w:val="20"/>
          <w:szCs w:val="20"/>
        </w:rPr>
        <w:t>our</w:t>
      </w:r>
      <w:r w:rsidRPr="6387FE86">
        <w:rPr>
          <w:rFonts w:ascii="Segoe UI" w:hAnsi="Segoe UI" w:cs="Segoe UI"/>
          <w:color w:val="666666"/>
          <w:sz w:val="20"/>
          <w:szCs w:val="20"/>
        </w:rPr>
        <w:t xml:space="preserve"> markets</w:t>
      </w:r>
      <w:r>
        <w:rPr>
          <w:rFonts w:ascii="Segoe UI" w:hAnsi="Segoe UI" w:cs="Segoe UI"/>
          <w:color w:val="666666"/>
          <w:sz w:val="20"/>
          <w:szCs w:val="20"/>
        </w:rPr>
        <w:t xml:space="preserve"> that may lead to lower revenue or operating margins</w:t>
      </w:r>
      <w:r w:rsidRPr="6387FE86">
        <w:rPr>
          <w:rFonts w:ascii="Segoe UI" w:hAnsi="Segoe UI" w:cs="Segoe UI"/>
          <w:color w:val="666666"/>
          <w:sz w:val="20"/>
          <w:szCs w:val="20"/>
        </w:rPr>
        <w:t>;</w:t>
      </w:r>
    </w:p>
    <w:p w14:paraId="5101C890"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increasing focus on </w:t>
      </w:r>
      <w:r>
        <w:rPr>
          <w:rFonts w:ascii="Segoe UI" w:hAnsi="Segoe UI" w:cs="Segoe UI"/>
          <w:color w:val="666666"/>
          <w:sz w:val="20"/>
          <w:szCs w:val="20"/>
        </w:rPr>
        <w:t xml:space="preserve">cloud-based </w:t>
      </w:r>
      <w:r w:rsidRPr="6387FE86">
        <w:rPr>
          <w:rFonts w:ascii="Segoe UI" w:hAnsi="Segoe UI" w:cs="Segoe UI"/>
          <w:color w:val="666666"/>
          <w:sz w:val="20"/>
          <w:szCs w:val="20"/>
        </w:rPr>
        <w:t>services presenting execution and competitive risks;</w:t>
      </w:r>
    </w:p>
    <w:p w14:paraId="4C782A28"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new products and services that may not achieve expected returns;</w:t>
      </w:r>
    </w:p>
    <w:p w14:paraId="38F62550"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56022D4D"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2C90C881" w14:textId="7D172B78" w:rsidR="005F48A9" w:rsidRPr="00243400" w:rsidRDefault="00280939" w:rsidP="006B2C75">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l</w:t>
      </w:r>
      <w:bookmarkStart w:id="10" w:name="_GoBack"/>
      <w:bookmarkEnd w:id="10"/>
      <w:r w:rsidR="006B2C75" w:rsidRPr="006B2C75">
        <w:rPr>
          <w:rFonts w:ascii="Segoe UI" w:hAnsi="Segoe UI" w:cs="Segoe UI"/>
          <w:color w:val="666666"/>
          <w:sz w:val="20"/>
          <w:szCs w:val="20"/>
        </w:rPr>
        <w:t>egal changes, our evolving business model, piracy, and other factors may decrease the val</w:t>
      </w:r>
      <w:r w:rsidR="006B2C75">
        <w:rPr>
          <w:rFonts w:ascii="Segoe UI" w:hAnsi="Segoe UI" w:cs="Segoe UI"/>
          <w:color w:val="666666"/>
          <w:sz w:val="20"/>
          <w:szCs w:val="20"/>
        </w:rPr>
        <w:t>ue of our intellectual property</w:t>
      </w:r>
      <w:r w:rsidR="005F48A9" w:rsidRPr="6387FE86">
        <w:rPr>
          <w:rFonts w:ascii="Segoe UI" w:hAnsi="Segoe UI" w:cs="Segoe UI"/>
          <w:color w:val="666666"/>
          <w:sz w:val="20"/>
          <w:szCs w:val="20"/>
        </w:rPr>
        <w:t>;</w:t>
      </w:r>
    </w:p>
    <w:p w14:paraId="4968B50F"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50F6E321"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2A744B4C"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004B598D">
        <w:rPr>
          <w:rFonts w:ascii="Segoe UI" w:hAnsi="Segoe UI" w:cs="Segoe UI"/>
          <w:color w:val="666666"/>
          <w:sz w:val="20"/>
          <w:szCs w:val="20"/>
        </w:rPr>
        <w:t>cyberattacks</w:t>
      </w:r>
      <w:r w:rsidRPr="00817463">
        <w:rPr>
          <w:rFonts w:ascii="Segoe UI" w:hAnsi="Segoe UI" w:cs="Segoe UI"/>
          <w:color w:val="666666"/>
          <w:sz w:val="20"/>
          <w:szCs w:val="20"/>
        </w:rPr>
        <w:t xml:space="preserve"> and security vulnerabilities that could lead to reduced revenue, increased costs, liability claims, or harm to our reputation or competitive position</w:t>
      </w:r>
      <w:r>
        <w:rPr>
          <w:rFonts w:ascii="Segoe UI" w:hAnsi="Segoe UI" w:cs="Segoe UI"/>
          <w:color w:val="666666"/>
          <w:sz w:val="20"/>
          <w:szCs w:val="20"/>
        </w:rPr>
        <w:t>;</w:t>
      </w:r>
    </w:p>
    <w:p w14:paraId="4A796213"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w:t>
      </w:r>
      <w:r>
        <w:rPr>
          <w:rFonts w:ascii="Segoe UI" w:hAnsi="Segoe UI" w:cs="Segoe UI"/>
          <w:color w:val="666666"/>
          <w:sz w:val="20"/>
          <w:szCs w:val="20"/>
        </w:rPr>
        <w:t xml:space="preserve">and misuse </w:t>
      </w:r>
      <w:r w:rsidRPr="6387FE86">
        <w:rPr>
          <w:rFonts w:ascii="Segoe UI" w:hAnsi="Segoe UI" w:cs="Segoe UI"/>
          <w:color w:val="666666"/>
          <w:sz w:val="20"/>
          <w:szCs w:val="20"/>
        </w:rPr>
        <w:t xml:space="preserve">of personal data that could cause liability and harm to </w:t>
      </w:r>
      <w:r>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2DB446F9" w14:textId="33C449DA" w:rsidR="005F48A9" w:rsidRPr="00486E2F"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the possibility that we may not </w:t>
      </w:r>
      <w:r w:rsidR="006F1B4A">
        <w:rPr>
          <w:rFonts w:ascii="Segoe UI" w:hAnsi="Segoe UI" w:cs="Segoe UI"/>
          <w:color w:val="666666"/>
          <w:sz w:val="20"/>
          <w:szCs w:val="20"/>
        </w:rPr>
        <w:t>be able to protect information</w:t>
      </w:r>
      <w:r w:rsidR="00460B23">
        <w:rPr>
          <w:rFonts w:ascii="Segoe UI" w:hAnsi="Segoe UI" w:cs="Segoe UI"/>
          <w:color w:val="666666"/>
          <w:sz w:val="20"/>
          <w:szCs w:val="20"/>
        </w:rPr>
        <w:t xml:space="preserve"> stored</w:t>
      </w:r>
      <w:r w:rsidR="006F1B4A">
        <w:rPr>
          <w:rFonts w:ascii="Segoe UI" w:hAnsi="Segoe UI" w:cs="Segoe UI"/>
          <w:color w:val="666666"/>
          <w:sz w:val="20"/>
          <w:szCs w:val="20"/>
        </w:rPr>
        <w:t xml:space="preserve"> i</w:t>
      </w:r>
      <w:r w:rsidRPr="6387FE86">
        <w:rPr>
          <w:rFonts w:ascii="Segoe UI" w:hAnsi="Segoe UI" w:cs="Segoe UI"/>
          <w:color w:val="666666"/>
          <w:sz w:val="20"/>
          <w:szCs w:val="20"/>
        </w:rPr>
        <w:t>n our products and services from use by others;</w:t>
      </w:r>
    </w:p>
    <w:p w14:paraId="781390A6" w14:textId="77777777" w:rsidR="005F48A9" w:rsidRPr="000A15F8"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21A13A7A"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excessive </w:t>
      </w:r>
      <w:r w:rsidRPr="6387FE86">
        <w:rPr>
          <w:rFonts w:ascii="Segoe UI" w:hAnsi="Segoe UI" w:cs="Segoe UI"/>
          <w:color w:val="666666"/>
          <w:sz w:val="20"/>
          <w:szCs w:val="20"/>
        </w:rPr>
        <w:t>outages, data losses, and disruptions of our online services if we fail to maintain an adequate operations infrastructure;</w:t>
      </w:r>
    </w:p>
    <w:p w14:paraId="414D0BB3"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Pr>
          <w:rFonts w:ascii="Segoe UI" w:hAnsi="Segoe UI" w:cs="Segoe UI"/>
          <w:color w:val="666666"/>
          <w:sz w:val="20"/>
          <w:szCs w:val="20"/>
        </w:rPr>
        <w:t xml:space="preserve">relating to competition rules </w:t>
      </w:r>
      <w:r w:rsidRPr="6387FE86">
        <w:rPr>
          <w:rFonts w:ascii="Segoe UI" w:hAnsi="Segoe UI" w:cs="Segoe UI"/>
          <w:color w:val="666666"/>
          <w:sz w:val="20"/>
          <w:szCs w:val="20"/>
        </w:rPr>
        <w:t xml:space="preserve">that may limit how </w:t>
      </w:r>
      <w:r>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43C6A067"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potential liability under trade protection, anti-corruption, and other laws resulting from our global operations;</w:t>
      </w:r>
    </w:p>
    <w:p w14:paraId="3604691C"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laws and regulations relating to the handling of personal data that may impede the adoption of our services or result in increased costs, legal claims, fines</w:t>
      </w:r>
      <w:r>
        <w:rPr>
          <w:rFonts w:ascii="Segoe UI" w:hAnsi="Segoe UI" w:cs="Segoe UI"/>
          <w:color w:val="666666"/>
          <w:sz w:val="20"/>
          <w:szCs w:val="20"/>
        </w:rPr>
        <w:t>, or reputational damage</w:t>
      </w:r>
      <w:r w:rsidRPr="6387FE86">
        <w:rPr>
          <w:rFonts w:ascii="Segoe UI" w:hAnsi="Segoe UI" w:cs="Segoe UI"/>
          <w:color w:val="666666"/>
          <w:sz w:val="20"/>
          <w:szCs w:val="20"/>
        </w:rPr>
        <w:t>;</w:t>
      </w:r>
    </w:p>
    <w:p w14:paraId="62411AE8"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dependence of our business on our </w:t>
      </w:r>
      <w:r w:rsidRPr="6387FE86">
        <w:rPr>
          <w:rFonts w:ascii="Segoe UI" w:hAnsi="Segoe UI" w:cs="Segoe UI"/>
          <w:color w:val="666666"/>
          <w:sz w:val="20"/>
          <w:szCs w:val="20"/>
        </w:rPr>
        <w:t>ability to attract and retain talented employees;</w:t>
      </w:r>
    </w:p>
    <w:p w14:paraId="76B217E9"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claims against us that may result in </w:t>
      </w:r>
      <w:r w:rsidRPr="6387FE86">
        <w:rPr>
          <w:rFonts w:ascii="Segoe UI" w:hAnsi="Segoe UI" w:cs="Segoe UI"/>
          <w:color w:val="666666"/>
          <w:sz w:val="20"/>
          <w:szCs w:val="20"/>
        </w:rPr>
        <w:t xml:space="preserve">adverse </w:t>
      </w:r>
      <w:r>
        <w:rPr>
          <w:rFonts w:ascii="Segoe UI" w:hAnsi="Segoe UI" w:cs="Segoe UI"/>
          <w:color w:val="666666"/>
          <w:sz w:val="20"/>
          <w:szCs w:val="20"/>
        </w:rPr>
        <w:t>outcomes</w:t>
      </w:r>
      <w:r w:rsidRPr="6387FE86">
        <w:rPr>
          <w:rFonts w:ascii="Segoe UI" w:hAnsi="Segoe UI" w:cs="Segoe UI"/>
          <w:color w:val="666666"/>
          <w:sz w:val="20"/>
          <w:szCs w:val="20"/>
        </w:rPr>
        <w:t xml:space="preserve"> in legal disputes;</w:t>
      </w:r>
    </w:p>
    <w:p w14:paraId="294C397C"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6C461CFD"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58D31909"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lastRenderedPageBreak/>
        <w:t>exposure to increased economic and operational uncertainties from operating a global business, including the effects of foreign currency exchange;</w:t>
      </w:r>
    </w:p>
    <w:p w14:paraId="35744350" w14:textId="77777777" w:rsidR="005F48A9" w:rsidRPr="00243400"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p>
    <w:p w14:paraId="4847341F"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w:t>
      </w:r>
    </w:p>
    <w:p w14:paraId="6EA75DDA"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sidRPr="00234058">
        <w:rPr>
          <w:rFonts w:ascii="Segoe UI" w:hAnsi="Segoe UI" w:cs="Segoe UI"/>
          <w:color w:val="666666"/>
          <w:sz w:val="20"/>
          <w:szCs w:val="20"/>
        </w:rPr>
        <w:t>changes in our sales organization that may impact revenues</w:t>
      </w:r>
      <w:r>
        <w:rPr>
          <w:rFonts w:ascii="Segoe UI" w:hAnsi="Segoe UI" w:cs="Segoe UI"/>
          <w:color w:val="666666"/>
          <w:sz w:val="20"/>
          <w:szCs w:val="20"/>
        </w:rPr>
        <w:t>;</w:t>
      </w:r>
    </w:p>
    <w:p w14:paraId="25C8772C" w14:textId="77777777" w:rsidR="005F48A9"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t</w:t>
      </w:r>
      <w:r w:rsidRPr="000F0E23">
        <w:rPr>
          <w:rFonts w:ascii="Segoe UI" w:hAnsi="Segoe UI" w:cs="Segoe UI"/>
          <w:color w:val="666666"/>
          <w:sz w:val="20"/>
          <w:szCs w:val="20"/>
        </w:rPr>
        <w:t>he development of the internet of things</w:t>
      </w:r>
      <w:r>
        <w:rPr>
          <w:rFonts w:ascii="Segoe UI" w:hAnsi="Segoe UI" w:cs="Segoe UI"/>
          <w:color w:val="666666"/>
          <w:sz w:val="20"/>
          <w:szCs w:val="20"/>
        </w:rPr>
        <w:t xml:space="preserve"> presenting</w:t>
      </w:r>
      <w:r w:rsidRPr="000F0E23">
        <w:rPr>
          <w:rFonts w:ascii="Segoe UI" w:hAnsi="Segoe UI" w:cs="Segoe UI"/>
          <w:color w:val="666666"/>
          <w:sz w:val="20"/>
          <w:szCs w:val="20"/>
        </w:rPr>
        <w:t xml:space="preserve"> security, privacy, and execution risks</w:t>
      </w:r>
      <w:r>
        <w:rPr>
          <w:rFonts w:ascii="Segoe UI" w:hAnsi="Segoe UI" w:cs="Segoe UI"/>
          <w:color w:val="666666"/>
          <w:sz w:val="20"/>
          <w:szCs w:val="20"/>
        </w:rPr>
        <w:t>;</w:t>
      </w:r>
    </w:p>
    <w:p w14:paraId="169099F2" w14:textId="3CC9E6E9" w:rsidR="005F48A9" w:rsidRDefault="00DE209A"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issues about </w:t>
      </w:r>
      <w:r w:rsidR="005F48A9">
        <w:rPr>
          <w:rFonts w:ascii="Segoe UI" w:hAnsi="Segoe UI" w:cs="Segoe UI"/>
          <w:color w:val="666666"/>
          <w:sz w:val="20"/>
          <w:szCs w:val="20"/>
        </w:rPr>
        <w:t>t</w:t>
      </w:r>
      <w:r w:rsidR="005F48A9" w:rsidRPr="000F0E23">
        <w:rPr>
          <w:rFonts w:ascii="Segoe UI" w:hAnsi="Segoe UI" w:cs="Segoe UI"/>
          <w:color w:val="666666"/>
          <w:sz w:val="20"/>
          <w:szCs w:val="20"/>
        </w:rPr>
        <w:t xml:space="preserve">he use of artificial intelligence in our offerings </w:t>
      </w:r>
      <w:r w:rsidR="005F48A9">
        <w:rPr>
          <w:rFonts w:ascii="Segoe UI" w:hAnsi="Segoe UI" w:cs="Segoe UI"/>
          <w:color w:val="666666"/>
          <w:sz w:val="20"/>
          <w:szCs w:val="20"/>
        </w:rPr>
        <w:t xml:space="preserve">that </w:t>
      </w:r>
      <w:r w:rsidR="005F48A9" w:rsidRPr="000F0E23">
        <w:rPr>
          <w:rFonts w:ascii="Segoe UI" w:hAnsi="Segoe UI" w:cs="Segoe UI"/>
          <w:color w:val="666666"/>
          <w:sz w:val="20"/>
          <w:szCs w:val="20"/>
        </w:rPr>
        <w:t>may result in competitive harm, legal liability, or reputational harm</w:t>
      </w:r>
      <w:r w:rsidR="005F48A9">
        <w:rPr>
          <w:rFonts w:ascii="Segoe UI" w:hAnsi="Segoe UI" w:cs="Segoe UI"/>
          <w:color w:val="666666"/>
          <w:sz w:val="20"/>
          <w:szCs w:val="20"/>
        </w:rPr>
        <w:t>; and</w:t>
      </w:r>
    </w:p>
    <w:p w14:paraId="446E8CEA" w14:textId="77777777" w:rsidR="005F48A9" w:rsidRPr="00234058" w:rsidRDefault="005F48A9" w:rsidP="005F48A9">
      <w:pPr>
        <w:pStyle w:val="NoSpacing"/>
        <w:numPr>
          <w:ilvl w:val="0"/>
          <w:numId w:val="2"/>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damage to </w:t>
      </w:r>
      <w:r w:rsidRPr="000F0E23">
        <w:rPr>
          <w:rFonts w:ascii="Segoe UI" w:hAnsi="Segoe UI" w:cs="Segoe UI"/>
          <w:color w:val="666666"/>
          <w:sz w:val="20"/>
          <w:szCs w:val="20"/>
        </w:rPr>
        <w:t xml:space="preserve">our reputation or our brands </w:t>
      </w:r>
      <w:r>
        <w:rPr>
          <w:rFonts w:ascii="Segoe UI" w:hAnsi="Segoe UI" w:cs="Segoe UI"/>
          <w:color w:val="666666"/>
          <w:sz w:val="20"/>
          <w:szCs w:val="20"/>
        </w:rPr>
        <w:t>that may harm</w:t>
      </w:r>
      <w:r w:rsidRPr="000F0E23">
        <w:rPr>
          <w:rFonts w:ascii="Segoe UI" w:hAnsi="Segoe UI" w:cs="Segoe UI"/>
          <w:color w:val="666666"/>
          <w:sz w:val="20"/>
          <w:szCs w:val="20"/>
        </w:rPr>
        <w:t xml:space="preserve"> our business and operating results</w:t>
      </w:r>
      <w:r w:rsidRPr="00234058">
        <w:rPr>
          <w:rFonts w:ascii="Segoe UI" w:hAnsi="Segoe UI" w:cs="Segoe UI"/>
          <w:color w:val="666666"/>
          <w:sz w:val="20"/>
          <w:szCs w:val="20"/>
        </w:rPr>
        <w:t>.</w:t>
      </w:r>
    </w:p>
    <w:p w14:paraId="3CE0B9DB" w14:textId="77777777" w:rsidR="00B5626E" w:rsidRPr="00243400" w:rsidRDefault="3A42354A" w:rsidP="00031854">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9">
        <w:r w:rsidRPr="3A42354A">
          <w:rPr>
            <w:rStyle w:val="Hyperlink"/>
            <w:color w:val="666666"/>
          </w:rPr>
          <w:t>http://www.microsoft.com/en-us/investor</w:t>
        </w:r>
      </w:hyperlink>
      <w:r w:rsidRPr="31A6BAF1">
        <w:rPr>
          <w:rFonts w:ascii="Segoe UI" w:eastAsia="Segoe UI" w:hAnsi="Segoe UI" w:cs="Segoe UI"/>
          <w:color w:val="666666"/>
          <w:sz w:val="20"/>
          <w:szCs w:val="20"/>
        </w:rPr>
        <w:t>.</w:t>
      </w:r>
    </w:p>
    <w:p w14:paraId="1446CD85" w14:textId="7A51D042" w:rsidR="00B5626E" w:rsidRPr="00243400" w:rsidRDefault="3A42354A"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011587">
        <w:rPr>
          <w:rFonts w:ascii="Segoe UI" w:eastAsia="Segoe UI" w:hAnsi="Segoe UI" w:cs="Segoe UI"/>
          <w:color w:val="666666"/>
          <w:sz w:val="20"/>
          <w:szCs w:val="20"/>
        </w:rPr>
        <w:t>September</w:t>
      </w:r>
      <w:r w:rsidRPr="31A6BAF1">
        <w:rPr>
          <w:rFonts w:ascii="Segoe UI" w:eastAsia="Segoe UI" w:hAnsi="Segoe UI" w:cs="Segoe UI"/>
          <w:color w:val="666666"/>
          <w:sz w:val="20"/>
          <w:szCs w:val="20"/>
        </w:rPr>
        <w:t xml:space="preserve"> </w:t>
      </w:r>
      <w:r w:rsidR="00890591" w:rsidRPr="31A6BAF1">
        <w:rPr>
          <w:rFonts w:ascii="Segoe UI" w:eastAsia="Segoe UI" w:hAnsi="Segoe UI" w:cs="Segoe UI"/>
          <w:color w:val="666666"/>
          <w:sz w:val="20"/>
          <w:szCs w:val="20"/>
        </w:rPr>
        <w:t>30</w:t>
      </w:r>
      <w:r w:rsidRPr="31A6BAF1">
        <w:rPr>
          <w:rFonts w:ascii="Segoe UI" w:eastAsia="Segoe UI" w:hAnsi="Segoe UI" w:cs="Segoe UI"/>
          <w:color w:val="666666"/>
          <w:sz w:val="20"/>
          <w:szCs w:val="20"/>
        </w:rPr>
        <w:t>, 201</w:t>
      </w:r>
      <w:r w:rsidR="0091011A" w:rsidRPr="31A6BAF1">
        <w:rPr>
          <w:rFonts w:ascii="Segoe UI" w:eastAsia="Segoe UI" w:hAnsi="Segoe UI" w:cs="Segoe UI"/>
          <w:color w:val="666666"/>
          <w:sz w:val="20"/>
          <w:szCs w:val="20"/>
        </w:rPr>
        <w:t>8</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7B471B50" w14:textId="77777777" w:rsidR="00B5626E" w:rsidRPr="0024340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71EFCE83" w14:textId="77777777" w:rsidR="00386DFF" w:rsidRPr="00F90B10" w:rsidRDefault="3A42354A" w:rsidP="00386DFF">
      <w:pPr>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0">
        <w:r w:rsidRPr="004C7B78">
          <w:rPr>
            <w:rStyle w:val="Hyperlink"/>
            <w:color w:val="666666"/>
          </w:rPr>
          <w:t>rrt@we-worldwide.com</w:t>
        </w:r>
      </w:hyperlink>
      <w:r w:rsidRPr="31A6BAF1">
        <w:rPr>
          <w:rFonts w:asciiTheme="minorHAnsi" w:eastAsiaTheme="minorEastAsia" w:hAnsiTheme="minorHAnsi" w:cstheme="minorBidi"/>
        </w:rPr>
        <w:t xml:space="preserve"> </w:t>
      </w:r>
    </w:p>
    <w:p w14:paraId="17D25A93" w14:textId="77777777" w:rsidR="00B5626E" w:rsidRPr="00F90B10" w:rsidRDefault="3A42354A" w:rsidP="3A42354A">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7BE96AED" w14:textId="03B69A80" w:rsidR="00B5626E" w:rsidRPr="00F90B10" w:rsidRDefault="00361A88" w:rsidP="3A42354A">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w:t>
      </w:r>
      <w:r w:rsidR="001A4686" w:rsidRPr="31A6BAF1">
        <w:rPr>
          <w:rFonts w:ascii="Segoe UI" w:eastAsia="Segoe UI" w:hAnsi="Segoe UI" w:cs="Segoe UI"/>
          <w:color w:val="666666"/>
          <w:sz w:val="20"/>
          <w:szCs w:val="20"/>
        </w:rPr>
        <w:t>c</w:t>
      </w:r>
      <w:r w:rsidRPr="31A6BAF1">
        <w:rPr>
          <w:rFonts w:ascii="Segoe UI" w:eastAsia="Segoe UI" w:hAnsi="Segoe UI" w:cs="Segoe UI"/>
          <w:color w:val="666666"/>
          <w:sz w:val="20"/>
          <w:szCs w:val="20"/>
        </w:rPr>
        <w:t>er</w:t>
      </w:r>
      <w:r w:rsidR="00EB5E5F">
        <w:rPr>
          <w:rFonts w:ascii="Segoe UI" w:eastAsia="Segoe UI" w:hAnsi="Segoe UI" w:cs="Segoe UI"/>
          <w:color w:val="666666"/>
          <w:sz w:val="20"/>
          <w:szCs w:val="20"/>
        </w:rPr>
        <w:t>, General M</w:t>
      </w:r>
      <w:r w:rsidR="3A42354A" w:rsidRPr="31A6BAF1">
        <w:rPr>
          <w:rFonts w:ascii="Segoe UI" w:eastAsia="Segoe UI" w:hAnsi="Segoe UI" w:cs="Segoe UI"/>
          <w:color w:val="666666"/>
          <w:sz w:val="20"/>
          <w:szCs w:val="20"/>
        </w:rPr>
        <w:t>anager, Investor Relations, (425) 706-4400</w:t>
      </w:r>
    </w:p>
    <w:p w14:paraId="70053D7B" w14:textId="7D512F2B" w:rsidR="0054678C" w:rsidRDefault="3A42354A" w:rsidP="00434AFB">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1">
        <w:r w:rsidRPr="003129AF">
          <w:rPr>
            <w:rStyle w:val="Hyperlink"/>
            <w:color w:val="666666"/>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2">
        <w:r w:rsidRPr="003129AF">
          <w:rPr>
            <w:rStyle w:val="Hyperlink"/>
            <w:color w:val="666666"/>
          </w:rPr>
          <w:t>http://www.microsoft.com/en-us/investor</w:t>
        </w:r>
      </w:hyperlink>
      <w:r w:rsidRPr="31A6BAF1">
        <w:rPr>
          <w:rFonts w:ascii="Segoe UI" w:eastAsia="Segoe UI" w:hAnsi="Segoe UI" w:cs="Segoe UI"/>
          <w:color w:val="666666"/>
          <w:sz w:val="20"/>
          <w:szCs w:val="20"/>
        </w:rPr>
        <w:t>.</w:t>
      </w:r>
    </w:p>
    <w:p w14:paraId="2E8B6CFF" w14:textId="720F7521" w:rsidR="00AC5D3E" w:rsidRDefault="00AC5D3E">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280" w:type="dxa"/>
        <w:tblLook w:val="04A0" w:firstRow="1" w:lastRow="0" w:firstColumn="1" w:lastColumn="0" w:noHBand="0" w:noVBand="1"/>
      </w:tblPr>
      <w:tblGrid>
        <w:gridCol w:w="5360"/>
        <w:gridCol w:w="1540"/>
        <w:gridCol w:w="272"/>
        <w:gridCol w:w="1200"/>
      </w:tblGrid>
      <w:tr w:rsidR="00AC5D3E" w:rsidRPr="00AC5D3E" w14:paraId="6D8073BD" w14:textId="77777777" w:rsidTr="00AC5D3E">
        <w:trPr>
          <w:trHeight w:val="308"/>
        </w:trPr>
        <w:tc>
          <w:tcPr>
            <w:tcW w:w="5360" w:type="dxa"/>
            <w:tcBorders>
              <w:top w:val="nil"/>
              <w:left w:val="nil"/>
              <w:bottom w:val="nil"/>
              <w:right w:val="nil"/>
            </w:tcBorders>
            <w:shd w:val="clear" w:color="auto" w:fill="auto"/>
            <w:noWrap/>
            <w:vAlign w:val="bottom"/>
            <w:hideMark/>
          </w:tcPr>
          <w:p w14:paraId="573976B3" w14:textId="77777777" w:rsidR="00AC5D3E" w:rsidRPr="00AC5D3E" w:rsidRDefault="00AC5D3E" w:rsidP="00AC5D3E">
            <w:pPr>
              <w:spacing w:after="0" w:line="240" w:lineRule="auto"/>
              <w:rPr>
                <w:rFonts w:ascii="Segoe UI" w:eastAsia="Times New Roman" w:hAnsi="Segoe UI" w:cs="Segoe UI"/>
                <w:b/>
                <w:bCs/>
                <w:color w:val="666666"/>
                <w:sz w:val="20"/>
                <w:szCs w:val="20"/>
              </w:rPr>
            </w:pPr>
            <w:bookmarkStart w:id="11" w:name="RANGE!A1:D32"/>
            <w:bookmarkStart w:id="12" w:name="RANGE!A1"/>
            <w:bookmarkEnd w:id="11"/>
            <w:r w:rsidRPr="00AC5D3E">
              <w:rPr>
                <w:rFonts w:ascii="Segoe UI" w:eastAsia="Times New Roman" w:hAnsi="Segoe UI" w:cs="Segoe UI"/>
                <w:b/>
                <w:bCs/>
                <w:color w:val="666666"/>
                <w:sz w:val="20"/>
                <w:szCs w:val="20"/>
              </w:rPr>
              <w:lastRenderedPageBreak/>
              <w:t>MICROSOFT CORPORATION</w:t>
            </w:r>
            <w:bookmarkEnd w:id="12"/>
          </w:p>
        </w:tc>
        <w:tc>
          <w:tcPr>
            <w:tcW w:w="1540" w:type="dxa"/>
            <w:tcBorders>
              <w:top w:val="nil"/>
              <w:left w:val="nil"/>
              <w:bottom w:val="nil"/>
              <w:right w:val="nil"/>
            </w:tcBorders>
            <w:shd w:val="clear" w:color="auto" w:fill="auto"/>
            <w:noWrap/>
            <w:vAlign w:val="bottom"/>
            <w:hideMark/>
          </w:tcPr>
          <w:p w14:paraId="528B859F"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4D92015F"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54B86D4"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1393FD07" w14:textId="77777777" w:rsidTr="00AC5D3E">
        <w:trPr>
          <w:trHeight w:val="308"/>
        </w:trPr>
        <w:tc>
          <w:tcPr>
            <w:tcW w:w="5360" w:type="dxa"/>
            <w:tcBorders>
              <w:top w:val="nil"/>
              <w:left w:val="nil"/>
              <w:bottom w:val="nil"/>
              <w:right w:val="nil"/>
            </w:tcBorders>
            <w:shd w:val="clear" w:color="auto" w:fill="auto"/>
            <w:noWrap/>
            <w:vAlign w:val="bottom"/>
            <w:hideMark/>
          </w:tcPr>
          <w:p w14:paraId="73E51C42"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540" w:type="dxa"/>
            <w:tcBorders>
              <w:top w:val="nil"/>
              <w:left w:val="nil"/>
              <w:bottom w:val="nil"/>
              <w:right w:val="nil"/>
            </w:tcBorders>
            <w:shd w:val="clear" w:color="auto" w:fill="auto"/>
            <w:noWrap/>
            <w:vAlign w:val="bottom"/>
            <w:hideMark/>
          </w:tcPr>
          <w:p w14:paraId="377A00E5" w14:textId="77777777" w:rsidR="00AC5D3E" w:rsidRPr="00AC5D3E" w:rsidRDefault="00AC5D3E" w:rsidP="00AC5D3E">
            <w:pPr>
              <w:spacing w:after="0" w:line="240" w:lineRule="auto"/>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5E8120D7"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AD5B52B"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5FA63E0B" w14:textId="77777777" w:rsidTr="00AC5D3E">
        <w:trPr>
          <w:trHeight w:val="308"/>
        </w:trPr>
        <w:tc>
          <w:tcPr>
            <w:tcW w:w="8280" w:type="dxa"/>
            <w:gridSpan w:val="4"/>
            <w:tcBorders>
              <w:top w:val="nil"/>
              <w:left w:val="nil"/>
              <w:bottom w:val="nil"/>
              <w:right w:val="nil"/>
            </w:tcBorders>
            <w:shd w:val="clear" w:color="auto" w:fill="auto"/>
            <w:noWrap/>
            <w:vAlign w:val="bottom"/>
            <w:hideMark/>
          </w:tcPr>
          <w:p w14:paraId="2F5EB72E"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INCOME STATEMENTS</w:t>
            </w:r>
          </w:p>
        </w:tc>
      </w:tr>
      <w:tr w:rsidR="00AC5D3E" w:rsidRPr="00AC5D3E" w14:paraId="3188A706" w14:textId="77777777" w:rsidTr="00AC5D3E">
        <w:trPr>
          <w:trHeight w:val="308"/>
        </w:trPr>
        <w:tc>
          <w:tcPr>
            <w:tcW w:w="8280" w:type="dxa"/>
            <w:gridSpan w:val="4"/>
            <w:tcBorders>
              <w:top w:val="nil"/>
              <w:left w:val="nil"/>
              <w:bottom w:val="nil"/>
              <w:right w:val="nil"/>
            </w:tcBorders>
            <w:shd w:val="clear" w:color="auto" w:fill="auto"/>
            <w:noWrap/>
            <w:vAlign w:val="bottom"/>
            <w:hideMark/>
          </w:tcPr>
          <w:p w14:paraId="07A72024"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 millions, except per share amounts)(Unaudited)</w:t>
            </w:r>
          </w:p>
        </w:tc>
      </w:tr>
      <w:tr w:rsidR="00AC5D3E" w:rsidRPr="00AC5D3E" w14:paraId="7181F05B" w14:textId="77777777" w:rsidTr="00AC5D3E">
        <w:trPr>
          <w:trHeight w:val="308"/>
        </w:trPr>
        <w:tc>
          <w:tcPr>
            <w:tcW w:w="5360" w:type="dxa"/>
            <w:tcBorders>
              <w:top w:val="nil"/>
              <w:left w:val="nil"/>
              <w:bottom w:val="nil"/>
              <w:right w:val="nil"/>
            </w:tcBorders>
            <w:shd w:val="clear" w:color="auto" w:fill="auto"/>
            <w:noWrap/>
            <w:vAlign w:val="bottom"/>
            <w:hideMark/>
          </w:tcPr>
          <w:p w14:paraId="627C4F85"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p>
        </w:tc>
        <w:tc>
          <w:tcPr>
            <w:tcW w:w="1540" w:type="dxa"/>
            <w:tcBorders>
              <w:top w:val="nil"/>
              <w:left w:val="nil"/>
              <w:bottom w:val="nil"/>
              <w:right w:val="nil"/>
            </w:tcBorders>
            <w:shd w:val="clear" w:color="auto" w:fill="auto"/>
            <w:noWrap/>
            <w:vAlign w:val="bottom"/>
            <w:hideMark/>
          </w:tcPr>
          <w:p w14:paraId="56037FF3"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5F5076ED"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CEF4049" w14:textId="77777777" w:rsidR="00AC5D3E" w:rsidRPr="00AC5D3E" w:rsidRDefault="00AC5D3E" w:rsidP="00AC5D3E">
            <w:pPr>
              <w:spacing w:after="0" w:line="240" w:lineRule="auto"/>
              <w:jc w:val="center"/>
              <w:rPr>
                <w:rFonts w:ascii="Times New Roman" w:eastAsia="Times New Roman" w:hAnsi="Times New Roman"/>
                <w:sz w:val="20"/>
                <w:szCs w:val="20"/>
              </w:rPr>
            </w:pPr>
          </w:p>
        </w:tc>
      </w:tr>
      <w:tr w:rsidR="00AC5D3E" w:rsidRPr="00AC5D3E" w14:paraId="073578E9" w14:textId="77777777" w:rsidTr="00AC5D3E">
        <w:trPr>
          <w:trHeight w:val="300"/>
        </w:trPr>
        <w:tc>
          <w:tcPr>
            <w:tcW w:w="5360" w:type="dxa"/>
            <w:tcBorders>
              <w:top w:val="nil"/>
              <w:left w:val="nil"/>
              <w:bottom w:val="nil"/>
              <w:right w:val="nil"/>
            </w:tcBorders>
            <w:shd w:val="clear" w:color="auto" w:fill="auto"/>
            <w:noWrap/>
            <w:vAlign w:val="bottom"/>
            <w:hideMark/>
          </w:tcPr>
          <w:p w14:paraId="20EEC9F9"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2920" w:type="dxa"/>
            <w:gridSpan w:val="3"/>
            <w:vMerge w:val="restart"/>
            <w:tcBorders>
              <w:top w:val="nil"/>
              <w:left w:val="nil"/>
              <w:bottom w:val="nil"/>
              <w:right w:val="nil"/>
            </w:tcBorders>
            <w:shd w:val="clear" w:color="auto" w:fill="auto"/>
            <w:vAlign w:val="bottom"/>
            <w:hideMark/>
          </w:tcPr>
          <w:p w14:paraId="03C7132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Three Months Ended September 30,</w:t>
            </w:r>
          </w:p>
        </w:tc>
      </w:tr>
      <w:tr w:rsidR="00AC5D3E" w:rsidRPr="00AC5D3E" w14:paraId="4D3D2D00" w14:textId="77777777" w:rsidTr="00AC5D3E">
        <w:trPr>
          <w:trHeight w:val="308"/>
        </w:trPr>
        <w:tc>
          <w:tcPr>
            <w:tcW w:w="5360" w:type="dxa"/>
            <w:tcBorders>
              <w:top w:val="nil"/>
              <w:left w:val="nil"/>
              <w:bottom w:val="nil"/>
              <w:right w:val="nil"/>
            </w:tcBorders>
            <w:shd w:val="clear" w:color="auto" w:fill="auto"/>
            <w:noWrap/>
            <w:vAlign w:val="bottom"/>
            <w:hideMark/>
          </w:tcPr>
          <w:p w14:paraId="296C44A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2920" w:type="dxa"/>
            <w:gridSpan w:val="3"/>
            <w:vMerge/>
            <w:tcBorders>
              <w:top w:val="nil"/>
              <w:left w:val="nil"/>
              <w:bottom w:val="nil"/>
              <w:right w:val="nil"/>
            </w:tcBorders>
            <w:vAlign w:val="center"/>
            <w:hideMark/>
          </w:tcPr>
          <w:p w14:paraId="3992BBD8"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r>
      <w:tr w:rsidR="00AC5D3E" w:rsidRPr="00AC5D3E" w14:paraId="0CE53A09" w14:textId="77777777" w:rsidTr="00AC5D3E">
        <w:trPr>
          <w:trHeight w:val="308"/>
        </w:trPr>
        <w:tc>
          <w:tcPr>
            <w:tcW w:w="5360" w:type="dxa"/>
            <w:tcBorders>
              <w:top w:val="nil"/>
              <w:left w:val="nil"/>
              <w:bottom w:val="single" w:sz="4" w:space="0" w:color="auto"/>
              <w:right w:val="nil"/>
            </w:tcBorders>
            <w:shd w:val="clear" w:color="auto" w:fill="auto"/>
            <w:noWrap/>
            <w:vAlign w:val="bottom"/>
            <w:hideMark/>
          </w:tcPr>
          <w:p w14:paraId="3EF4498B"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540" w:type="dxa"/>
            <w:tcBorders>
              <w:top w:val="nil"/>
              <w:left w:val="nil"/>
              <w:bottom w:val="single" w:sz="4" w:space="0" w:color="auto"/>
              <w:right w:val="nil"/>
            </w:tcBorders>
            <w:shd w:val="clear" w:color="auto" w:fill="auto"/>
            <w:noWrap/>
            <w:vAlign w:val="bottom"/>
            <w:hideMark/>
          </w:tcPr>
          <w:p w14:paraId="3CB62C9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2018</w:t>
            </w:r>
          </w:p>
        </w:tc>
        <w:tc>
          <w:tcPr>
            <w:tcW w:w="180" w:type="dxa"/>
            <w:tcBorders>
              <w:top w:val="nil"/>
              <w:left w:val="nil"/>
              <w:bottom w:val="single" w:sz="4" w:space="0" w:color="auto"/>
              <w:right w:val="nil"/>
            </w:tcBorders>
            <w:shd w:val="clear" w:color="auto" w:fill="auto"/>
            <w:noWrap/>
            <w:vAlign w:val="bottom"/>
            <w:hideMark/>
          </w:tcPr>
          <w:p w14:paraId="33D9878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B321F3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2017</w:t>
            </w:r>
          </w:p>
        </w:tc>
      </w:tr>
      <w:tr w:rsidR="00AC5D3E" w:rsidRPr="00AC5D3E" w14:paraId="0A2ED3B6" w14:textId="77777777" w:rsidTr="00AC5D3E">
        <w:trPr>
          <w:trHeight w:val="308"/>
        </w:trPr>
        <w:tc>
          <w:tcPr>
            <w:tcW w:w="5360" w:type="dxa"/>
            <w:tcBorders>
              <w:top w:val="nil"/>
              <w:left w:val="nil"/>
              <w:bottom w:val="nil"/>
              <w:right w:val="nil"/>
            </w:tcBorders>
            <w:shd w:val="clear" w:color="auto" w:fill="auto"/>
            <w:noWrap/>
            <w:vAlign w:val="bottom"/>
            <w:hideMark/>
          </w:tcPr>
          <w:p w14:paraId="50F01AB3"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Revenue:</w:t>
            </w:r>
          </w:p>
        </w:tc>
        <w:tc>
          <w:tcPr>
            <w:tcW w:w="1540" w:type="dxa"/>
            <w:tcBorders>
              <w:top w:val="nil"/>
              <w:left w:val="nil"/>
              <w:bottom w:val="nil"/>
              <w:right w:val="nil"/>
            </w:tcBorders>
            <w:shd w:val="clear" w:color="auto" w:fill="auto"/>
            <w:noWrap/>
            <w:vAlign w:val="bottom"/>
            <w:hideMark/>
          </w:tcPr>
          <w:p w14:paraId="263D1E0B"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1B65DBF"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C372262" w14:textId="77777777" w:rsidR="00AC5D3E" w:rsidRPr="00AC5D3E" w:rsidRDefault="00AC5D3E" w:rsidP="00AC5D3E">
            <w:pPr>
              <w:spacing w:after="0" w:line="240" w:lineRule="auto"/>
              <w:jc w:val="right"/>
              <w:rPr>
                <w:rFonts w:ascii="Times New Roman" w:eastAsia="Times New Roman" w:hAnsi="Times New Roman"/>
                <w:sz w:val="20"/>
                <w:szCs w:val="20"/>
              </w:rPr>
            </w:pPr>
          </w:p>
        </w:tc>
      </w:tr>
      <w:tr w:rsidR="00AC5D3E" w:rsidRPr="00AC5D3E" w14:paraId="1DB69E45" w14:textId="77777777" w:rsidTr="00AC5D3E">
        <w:trPr>
          <w:trHeight w:val="308"/>
        </w:trPr>
        <w:tc>
          <w:tcPr>
            <w:tcW w:w="5360" w:type="dxa"/>
            <w:tcBorders>
              <w:top w:val="nil"/>
              <w:left w:val="nil"/>
              <w:bottom w:val="nil"/>
              <w:right w:val="nil"/>
            </w:tcBorders>
            <w:shd w:val="clear" w:color="auto" w:fill="auto"/>
            <w:noWrap/>
            <w:vAlign w:val="bottom"/>
            <w:hideMark/>
          </w:tcPr>
          <w:p w14:paraId="417C92E2"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Product</w:t>
            </w:r>
          </w:p>
        </w:tc>
        <w:tc>
          <w:tcPr>
            <w:tcW w:w="1540" w:type="dxa"/>
            <w:tcBorders>
              <w:top w:val="nil"/>
              <w:left w:val="nil"/>
              <w:bottom w:val="nil"/>
              <w:right w:val="nil"/>
            </w:tcBorders>
            <w:shd w:val="clear" w:color="auto" w:fill="auto"/>
            <w:noWrap/>
            <w:vAlign w:val="bottom"/>
            <w:hideMark/>
          </w:tcPr>
          <w:p w14:paraId="631BB08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$17,299 </w:t>
            </w:r>
          </w:p>
        </w:tc>
        <w:tc>
          <w:tcPr>
            <w:tcW w:w="180" w:type="dxa"/>
            <w:tcBorders>
              <w:top w:val="nil"/>
              <w:left w:val="nil"/>
              <w:bottom w:val="nil"/>
              <w:right w:val="nil"/>
            </w:tcBorders>
            <w:shd w:val="clear" w:color="auto" w:fill="auto"/>
            <w:noWrap/>
            <w:vAlign w:val="bottom"/>
            <w:hideMark/>
          </w:tcPr>
          <w:p w14:paraId="38512A3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CCDC97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$14,298 </w:t>
            </w:r>
          </w:p>
        </w:tc>
      </w:tr>
      <w:tr w:rsidR="00AC5D3E" w:rsidRPr="00AC5D3E" w14:paraId="392E4C31" w14:textId="77777777" w:rsidTr="00AC5D3E">
        <w:trPr>
          <w:trHeight w:val="308"/>
        </w:trPr>
        <w:tc>
          <w:tcPr>
            <w:tcW w:w="5360" w:type="dxa"/>
            <w:tcBorders>
              <w:top w:val="nil"/>
              <w:left w:val="nil"/>
              <w:bottom w:val="single" w:sz="4" w:space="0" w:color="auto"/>
              <w:right w:val="nil"/>
            </w:tcBorders>
            <w:shd w:val="clear" w:color="auto" w:fill="auto"/>
            <w:noWrap/>
            <w:vAlign w:val="bottom"/>
            <w:hideMark/>
          </w:tcPr>
          <w:p w14:paraId="01E26DD9"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Service and other</w:t>
            </w:r>
          </w:p>
        </w:tc>
        <w:tc>
          <w:tcPr>
            <w:tcW w:w="1540" w:type="dxa"/>
            <w:tcBorders>
              <w:top w:val="nil"/>
              <w:left w:val="nil"/>
              <w:bottom w:val="single" w:sz="4" w:space="0" w:color="auto"/>
              <w:right w:val="nil"/>
            </w:tcBorders>
            <w:shd w:val="clear" w:color="auto" w:fill="auto"/>
            <w:noWrap/>
            <w:vAlign w:val="bottom"/>
            <w:hideMark/>
          </w:tcPr>
          <w:p w14:paraId="669CDAD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11,785 </w:t>
            </w:r>
          </w:p>
        </w:tc>
        <w:tc>
          <w:tcPr>
            <w:tcW w:w="180" w:type="dxa"/>
            <w:tcBorders>
              <w:top w:val="nil"/>
              <w:left w:val="nil"/>
              <w:bottom w:val="nil"/>
              <w:right w:val="nil"/>
            </w:tcBorders>
            <w:shd w:val="clear" w:color="auto" w:fill="auto"/>
            <w:noWrap/>
            <w:vAlign w:val="bottom"/>
            <w:hideMark/>
          </w:tcPr>
          <w:p w14:paraId="2A83A4F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75BD605"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10,240 </w:t>
            </w:r>
          </w:p>
        </w:tc>
      </w:tr>
      <w:tr w:rsidR="00AC5D3E" w:rsidRPr="00AC5D3E" w14:paraId="4CB47EDA" w14:textId="77777777" w:rsidTr="00AC5D3E">
        <w:trPr>
          <w:trHeight w:val="308"/>
        </w:trPr>
        <w:tc>
          <w:tcPr>
            <w:tcW w:w="5360" w:type="dxa"/>
            <w:tcBorders>
              <w:top w:val="nil"/>
              <w:left w:val="nil"/>
              <w:bottom w:val="single" w:sz="4" w:space="0" w:color="auto"/>
              <w:right w:val="nil"/>
            </w:tcBorders>
            <w:shd w:val="clear" w:color="auto" w:fill="auto"/>
            <w:noWrap/>
            <w:vAlign w:val="bottom"/>
            <w:hideMark/>
          </w:tcPr>
          <w:p w14:paraId="402DCD7E"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revenue</w:t>
            </w:r>
          </w:p>
        </w:tc>
        <w:tc>
          <w:tcPr>
            <w:tcW w:w="1540" w:type="dxa"/>
            <w:tcBorders>
              <w:top w:val="nil"/>
              <w:left w:val="nil"/>
              <w:bottom w:val="single" w:sz="4" w:space="0" w:color="auto"/>
              <w:right w:val="nil"/>
            </w:tcBorders>
            <w:shd w:val="clear" w:color="auto" w:fill="auto"/>
            <w:noWrap/>
            <w:vAlign w:val="bottom"/>
            <w:hideMark/>
          </w:tcPr>
          <w:p w14:paraId="38311E8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29,084 </w:t>
            </w:r>
          </w:p>
        </w:tc>
        <w:tc>
          <w:tcPr>
            <w:tcW w:w="180" w:type="dxa"/>
            <w:tcBorders>
              <w:top w:val="nil"/>
              <w:left w:val="nil"/>
              <w:bottom w:val="nil"/>
              <w:right w:val="nil"/>
            </w:tcBorders>
            <w:shd w:val="clear" w:color="auto" w:fill="auto"/>
            <w:noWrap/>
            <w:vAlign w:val="bottom"/>
            <w:hideMark/>
          </w:tcPr>
          <w:p w14:paraId="4F6C42D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74DBF6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24,538 </w:t>
            </w:r>
          </w:p>
        </w:tc>
      </w:tr>
      <w:tr w:rsidR="00AC5D3E" w:rsidRPr="00AC5D3E" w14:paraId="03E984CF" w14:textId="77777777" w:rsidTr="00AC5D3E">
        <w:trPr>
          <w:trHeight w:val="308"/>
        </w:trPr>
        <w:tc>
          <w:tcPr>
            <w:tcW w:w="5360" w:type="dxa"/>
            <w:tcBorders>
              <w:top w:val="nil"/>
              <w:left w:val="nil"/>
              <w:bottom w:val="nil"/>
              <w:right w:val="nil"/>
            </w:tcBorders>
            <w:shd w:val="clear" w:color="auto" w:fill="auto"/>
            <w:noWrap/>
            <w:vAlign w:val="bottom"/>
            <w:hideMark/>
          </w:tcPr>
          <w:p w14:paraId="4373400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Cost of revenue:</w:t>
            </w:r>
          </w:p>
        </w:tc>
        <w:tc>
          <w:tcPr>
            <w:tcW w:w="1540" w:type="dxa"/>
            <w:tcBorders>
              <w:top w:val="nil"/>
              <w:left w:val="nil"/>
              <w:bottom w:val="nil"/>
              <w:right w:val="nil"/>
            </w:tcBorders>
            <w:shd w:val="clear" w:color="auto" w:fill="auto"/>
            <w:noWrap/>
            <w:vAlign w:val="bottom"/>
            <w:hideMark/>
          </w:tcPr>
          <w:p w14:paraId="376BDCF4"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40084E03"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9A5ACF9" w14:textId="77777777" w:rsidR="00AC5D3E" w:rsidRPr="00AC5D3E" w:rsidRDefault="00AC5D3E" w:rsidP="00AC5D3E">
            <w:pPr>
              <w:spacing w:after="0" w:line="240" w:lineRule="auto"/>
              <w:jc w:val="right"/>
              <w:rPr>
                <w:rFonts w:ascii="Times New Roman" w:eastAsia="Times New Roman" w:hAnsi="Times New Roman"/>
                <w:sz w:val="20"/>
                <w:szCs w:val="20"/>
              </w:rPr>
            </w:pPr>
          </w:p>
        </w:tc>
      </w:tr>
      <w:tr w:rsidR="00AC5D3E" w:rsidRPr="00AC5D3E" w14:paraId="7BE3E62F" w14:textId="77777777" w:rsidTr="00AC5D3E">
        <w:trPr>
          <w:trHeight w:val="308"/>
        </w:trPr>
        <w:tc>
          <w:tcPr>
            <w:tcW w:w="5360" w:type="dxa"/>
            <w:tcBorders>
              <w:top w:val="nil"/>
              <w:left w:val="nil"/>
              <w:bottom w:val="nil"/>
              <w:right w:val="nil"/>
            </w:tcBorders>
            <w:shd w:val="clear" w:color="auto" w:fill="auto"/>
            <w:noWrap/>
            <w:vAlign w:val="bottom"/>
            <w:hideMark/>
          </w:tcPr>
          <w:p w14:paraId="30989D17"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Product</w:t>
            </w:r>
          </w:p>
        </w:tc>
        <w:tc>
          <w:tcPr>
            <w:tcW w:w="1540" w:type="dxa"/>
            <w:tcBorders>
              <w:top w:val="nil"/>
              <w:left w:val="nil"/>
              <w:bottom w:val="nil"/>
              <w:right w:val="nil"/>
            </w:tcBorders>
            <w:shd w:val="clear" w:color="auto" w:fill="auto"/>
            <w:noWrap/>
            <w:vAlign w:val="bottom"/>
            <w:hideMark/>
          </w:tcPr>
          <w:p w14:paraId="69CF556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3,649 </w:t>
            </w:r>
          </w:p>
        </w:tc>
        <w:tc>
          <w:tcPr>
            <w:tcW w:w="180" w:type="dxa"/>
            <w:tcBorders>
              <w:top w:val="nil"/>
              <w:left w:val="nil"/>
              <w:bottom w:val="nil"/>
              <w:right w:val="nil"/>
            </w:tcBorders>
            <w:shd w:val="clear" w:color="auto" w:fill="auto"/>
            <w:noWrap/>
            <w:vAlign w:val="bottom"/>
            <w:hideMark/>
          </w:tcPr>
          <w:p w14:paraId="520CD07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0A598CE"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2,980 </w:t>
            </w:r>
          </w:p>
        </w:tc>
      </w:tr>
      <w:tr w:rsidR="00AC5D3E" w:rsidRPr="00AC5D3E" w14:paraId="53A94490" w14:textId="77777777" w:rsidTr="00AC5D3E">
        <w:trPr>
          <w:trHeight w:val="308"/>
        </w:trPr>
        <w:tc>
          <w:tcPr>
            <w:tcW w:w="5360" w:type="dxa"/>
            <w:tcBorders>
              <w:top w:val="nil"/>
              <w:left w:val="nil"/>
              <w:bottom w:val="single" w:sz="4" w:space="0" w:color="auto"/>
              <w:right w:val="nil"/>
            </w:tcBorders>
            <w:shd w:val="clear" w:color="auto" w:fill="auto"/>
            <w:noWrap/>
            <w:vAlign w:val="bottom"/>
            <w:hideMark/>
          </w:tcPr>
          <w:p w14:paraId="7102809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Service and other</w:t>
            </w:r>
          </w:p>
        </w:tc>
        <w:tc>
          <w:tcPr>
            <w:tcW w:w="1540" w:type="dxa"/>
            <w:tcBorders>
              <w:top w:val="nil"/>
              <w:left w:val="nil"/>
              <w:bottom w:val="single" w:sz="4" w:space="0" w:color="auto"/>
              <w:right w:val="nil"/>
            </w:tcBorders>
            <w:shd w:val="clear" w:color="auto" w:fill="auto"/>
            <w:noWrap/>
            <w:vAlign w:val="bottom"/>
            <w:hideMark/>
          </w:tcPr>
          <w:p w14:paraId="080D552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6,256 </w:t>
            </w:r>
          </w:p>
        </w:tc>
        <w:tc>
          <w:tcPr>
            <w:tcW w:w="180" w:type="dxa"/>
            <w:tcBorders>
              <w:top w:val="nil"/>
              <w:left w:val="nil"/>
              <w:bottom w:val="nil"/>
              <w:right w:val="nil"/>
            </w:tcBorders>
            <w:shd w:val="clear" w:color="auto" w:fill="auto"/>
            <w:noWrap/>
            <w:vAlign w:val="bottom"/>
            <w:hideMark/>
          </w:tcPr>
          <w:p w14:paraId="0288FA6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BFB52ED"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5,298 </w:t>
            </w:r>
          </w:p>
        </w:tc>
      </w:tr>
      <w:tr w:rsidR="00AC5D3E" w:rsidRPr="00AC5D3E" w14:paraId="1AE72AAF" w14:textId="77777777" w:rsidTr="00AC5D3E">
        <w:trPr>
          <w:trHeight w:val="308"/>
        </w:trPr>
        <w:tc>
          <w:tcPr>
            <w:tcW w:w="5360" w:type="dxa"/>
            <w:tcBorders>
              <w:top w:val="nil"/>
              <w:left w:val="nil"/>
              <w:bottom w:val="single" w:sz="4" w:space="0" w:color="auto"/>
              <w:right w:val="nil"/>
            </w:tcBorders>
            <w:shd w:val="clear" w:color="auto" w:fill="auto"/>
            <w:noWrap/>
            <w:vAlign w:val="bottom"/>
            <w:hideMark/>
          </w:tcPr>
          <w:p w14:paraId="1FB8197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cost of revenue</w:t>
            </w:r>
          </w:p>
        </w:tc>
        <w:tc>
          <w:tcPr>
            <w:tcW w:w="1540" w:type="dxa"/>
            <w:tcBorders>
              <w:top w:val="nil"/>
              <w:left w:val="nil"/>
              <w:bottom w:val="single" w:sz="4" w:space="0" w:color="auto"/>
              <w:right w:val="nil"/>
            </w:tcBorders>
            <w:shd w:val="clear" w:color="auto" w:fill="auto"/>
            <w:noWrap/>
            <w:vAlign w:val="bottom"/>
            <w:hideMark/>
          </w:tcPr>
          <w:p w14:paraId="74B592D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9,905 </w:t>
            </w:r>
          </w:p>
        </w:tc>
        <w:tc>
          <w:tcPr>
            <w:tcW w:w="180" w:type="dxa"/>
            <w:tcBorders>
              <w:top w:val="nil"/>
              <w:left w:val="nil"/>
              <w:bottom w:val="nil"/>
              <w:right w:val="nil"/>
            </w:tcBorders>
            <w:shd w:val="clear" w:color="auto" w:fill="auto"/>
            <w:noWrap/>
            <w:vAlign w:val="bottom"/>
            <w:hideMark/>
          </w:tcPr>
          <w:p w14:paraId="74CF2D2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B0506EA"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8,278 </w:t>
            </w:r>
          </w:p>
        </w:tc>
      </w:tr>
      <w:tr w:rsidR="00AC5D3E" w:rsidRPr="00AC5D3E" w14:paraId="471D85A2" w14:textId="77777777" w:rsidTr="00AC5D3E">
        <w:trPr>
          <w:trHeight w:val="308"/>
        </w:trPr>
        <w:tc>
          <w:tcPr>
            <w:tcW w:w="5360" w:type="dxa"/>
            <w:tcBorders>
              <w:top w:val="nil"/>
              <w:left w:val="nil"/>
              <w:bottom w:val="nil"/>
              <w:right w:val="nil"/>
            </w:tcBorders>
            <w:shd w:val="clear" w:color="auto" w:fill="auto"/>
            <w:noWrap/>
            <w:vAlign w:val="bottom"/>
            <w:hideMark/>
          </w:tcPr>
          <w:p w14:paraId="315D2FBA"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Gross margin</w:t>
            </w:r>
          </w:p>
        </w:tc>
        <w:tc>
          <w:tcPr>
            <w:tcW w:w="1540" w:type="dxa"/>
            <w:tcBorders>
              <w:top w:val="nil"/>
              <w:left w:val="nil"/>
              <w:bottom w:val="nil"/>
              <w:right w:val="nil"/>
            </w:tcBorders>
            <w:shd w:val="clear" w:color="auto" w:fill="auto"/>
            <w:noWrap/>
            <w:vAlign w:val="bottom"/>
            <w:hideMark/>
          </w:tcPr>
          <w:p w14:paraId="5EFCB63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19,179 </w:t>
            </w:r>
          </w:p>
        </w:tc>
        <w:tc>
          <w:tcPr>
            <w:tcW w:w="180" w:type="dxa"/>
            <w:tcBorders>
              <w:top w:val="nil"/>
              <w:left w:val="nil"/>
              <w:bottom w:val="nil"/>
              <w:right w:val="nil"/>
            </w:tcBorders>
            <w:shd w:val="clear" w:color="auto" w:fill="auto"/>
            <w:noWrap/>
            <w:vAlign w:val="bottom"/>
            <w:hideMark/>
          </w:tcPr>
          <w:p w14:paraId="1FE7D01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B2720AE"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16,260 </w:t>
            </w:r>
          </w:p>
        </w:tc>
      </w:tr>
      <w:tr w:rsidR="00AC5D3E" w:rsidRPr="00AC5D3E" w14:paraId="1397364E" w14:textId="77777777" w:rsidTr="00AC5D3E">
        <w:trPr>
          <w:trHeight w:val="308"/>
        </w:trPr>
        <w:tc>
          <w:tcPr>
            <w:tcW w:w="5360" w:type="dxa"/>
            <w:tcBorders>
              <w:top w:val="nil"/>
              <w:left w:val="nil"/>
              <w:bottom w:val="nil"/>
              <w:right w:val="nil"/>
            </w:tcBorders>
            <w:shd w:val="clear" w:color="auto" w:fill="auto"/>
            <w:noWrap/>
            <w:vAlign w:val="bottom"/>
            <w:hideMark/>
          </w:tcPr>
          <w:p w14:paraId="529C6A32"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Research and development </w:t>
            </w:r>
          </w:p>
        </w:tc>
        <w:tc>
          <w:tcPr>
            <w:tcW w:w="1540" w:type="dxa"/>
            <w:tcBorders>
              <w:top w:val="nil"/>
              <w:left w:val="nil"/>
              <w:bottom w:val="nil"/>
              <w:right w:val="nil"/>
            </w:tcBorders>
            <w:shd w:val="clear" w:color="auto" w:fill="auto"/>
            <w:noWrap/>
            <w:vAlign w:val="bottom"/>
            <w:hideMark/>
          </w:tcPr>
          <w:p w14:paraId="55A2F1E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3,977 </w:t>
            </w:r>
          </w:p>
        </w:tc>
        <w:tc>
          <w:tcPr>
            <w:tcW w:w="180" w:type="dxa"/>
            <w:tcBorders>
              <w:top w:val="nil"/>
              <w:left w:val="nil"/>
              <w:bottom w:val="nil"/>
              <w:right w:val="nil"/>
            </w:tcBorders>
            <w:shd w:val="clear" w:color="auto" w:fill="auto"/>
            <w:noWrap/>
            <w:vAlign w:val="bottom"/>
            <w:hideMark/>
          </w:tcPr>
          <w:p w14:paraId="672720C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32167C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3,574 </w:t>
            </w:r>
          </w:p>
        </w:tc>
      </w:tr>
      <w:tr w:rsidR="00AC5D3E" w:rsidRPr="00AC5D3E" w14:paraId="7682108F" w14:textId="77777777" w:rsidTr="00AC5D3E">
        <w:trPr>
          <w:trHeight w:val="308"/>
        </w:trPr>
        <w:tc>
          <w:tcPr>
            <w:tcW w:w="5360" w:type="dxa"/>
            <w:tcBorders>
              <w:top w:val="nil"/>
              <w:left w:val="nil"/>
              <w:bottom w:val="nil"/>
              <w:right w:val="nil"/>
            </w:tcBorders>
            <w:shd w:val="clear" w:color="auto" w:fill="auto"/>
            <w:noWrap/>
            <w:vAlign w:val="bottom"/>
            <w:hideMark/>
          </w:tcPr>
          <w:p w14:paraId="2B0B0F3A"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Sales and marketing</w:t>
            </w:r>
          </w:p>
        </w:tc>
        <w:tc>
          <w:tcPr>
            <w:tcW w:w="1540" w:type="dxa"/>
            <w:tcBorders>
              <w:top w:val="nil"/>
              <w:left w:val="nil"/>
              <w:bottom w:val="nil"/>
              <w:right w:val="nil"/>
            </w:tcBorders>
            <w:shd w:val="clear" w:color="auto" w:fill="auto"/>
            <w:noWrap/>
            <w:vAlign w:val="bottom"/>
            <w:hideMark/>
          </w:tcPr>
          <w:p w14:paraId="6253E31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4,098 </w:t>
            </w:r>
          </w:p>
        </w:tc>
        <w:tc>
          <w:tcPr>
            <w:tcW w:w="180" w:type="dxa"/>
            <w:tcBorders>
              <w:top w:val="nil"/>
              <w:left w:val="nil"/>
              <w:bottom w:val="nil"/>
              <w:right w:val="nil"/>
            </w:tcBorders>
            <w:shd w:val="clear" w:color="auto" w:fill="auto"/>
            <w:noWrap/>
            <w:vAlign w:val="bottom"/>
            <w:hideMark/>
          </w:tcPr>
          <w:p w14:paraId="473B939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39AD8F5"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3,812 </w:t>
            </w:r>
          </w:p>
        </w:tc>
      </w:tr>
      <w:tr w:rsidR="00AC5D3E" w:rsidRPr="00AC5D3E" w14:paraId="7FC46A6D" w14:textId="77777777" w:rsidTr="00AC5D3E">
        <w:trPr>
          <w:trHeight w:val="308"/>
        </w:trPr>
        <w:tc>
          <w:tcPr>
            <w:tcW w:w="5360" w:type="dxa"/>
            <w:tcBorders>
              <w:top w:val="nil"/>
              <w:left w:val="nil"/>
              <w:bottom w:val="nil"/>
              <w:right w:val="nil"/>
            </w:tcBorders>
            <w:shd w:val="clear" w:color="auto" w:fill="auto"/>
            <w:noWrap/>
            <w:vAlign w:val="bottom"/>
            <w:hideMark/>
          </w:tcPr>
          <w:p w14:paraId="76C22AD1"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General and administrative </w:t>
            </w:r>
          </w:p>
        </w:tc>
        <w:tc>
          <w:tcPr>
            <w:tcW w:w="1540" w:type="dxa"/>
            <w:tcBorders>
              <w:top w:val="nil"/>
              <w:left w:val="nil"/>
              <w:bottom w:val="nil"/>
              <w:right w:val="nil"/>
            </w:tcBorders>
            <w:shd w:val="clear" w:color="auto" w:fill="auto"/>
            <w:noWrap/>
            <w:vAlign w:val="bottom"/>
            <w:hideMark/>
          </w:tcPr>
          <w:p w14:paraId="11F1914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1,149 </w:t>
            </w:r>
          </w:p>
        </w:tc>
        <w:tc>
          <w:tcPr>
            <w:tcW w:w="180" w:type="dxa"/>
            <w:tcBorders>
              <w:top w:val="nil"/>
              <w:left w:val="nil"/>
              <w:bottom w:val="nil"/>
              <w:right w:val="nil"/>
            </w:tcBorders>
            <w:shd w:val="clear" w:color="auto" w:fill="auto"/>
            <w:noWrap/>
            <w:vAlign w:val="bottom"/>
            <w:hideMark/>
          </w:tcPr>
          <w:p w14:paraId="7B5F4CA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20C5FD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1,166 </w:t>
            </w:r>
          </w:p>
        </w:tc>
      </w:tr>
      <w:tr w:rsidR="00AC5D3E" w:rsidRPr="00AC5D3E" w14:paraId="3E4BF644" w14:textId="77777777" w:rsidTr="00AC5D3E">
        <w:trPr>
          <w:trHeight w:val="308"/>
        </w:trPr>
        <w:tc>
          <w:tcPr>
            <w:tcW w:w="5360" w:type="dxa"/>
            <w:tcBorders>
              <w:top w:val="single" w:sz="4" w:space="0" w:color="auto"/>
              <w:left w:val="nil"/>
              <w:bottom w:val="nil"/>
              <w:right w:val="nil"/>
            </w:tcBorders>
            <w:shd w:val="clear" w:color="auto" w:fill="auto"/>
            <w:noWrap/>
            <w:vAlign w:val="bottom"/>
            <w:hideMark/>
          </w:tcPr>
          <w:p w14:paraId="2D33DCD2"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Operating income</w:t>
            </w:r>
          </w:p>
        </w:tc>
        <w:tc>
          <w:tcPr>
            <w:tcW w:w="1540" w:type="dxa"/>
            <w:tcBorders>
              <w:top w:val="single" w:sz="4" w:space="0" w:color="auto"/>
              <w:left w:val="nil"/>
              <w:bottom w:val="nil"/>
              <w:right w:val="nil"/>
            </w:tcBorders>
            <w:shd w:val="clear" w:color="auto" w:fill="auto"/>
            <w:noWrap/>
            <w:vAlign w:val="bottom"/>
            <w:hideMark/>
          </w:tcPr>
          <w:p w14:paraId="39AB3CA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9,955 </w:t>
            </w:r>
          </w:p>
        </w:tc>
        <w:tc>
          <w:tcPr>
            <w:tcW w:w="180" w:type="dxa"/>
            <w:tcBorders>
              <w:top w:val="nil"/>
              <w:left w:val="nil"/>
              <w:bottom w:val="nil"/>
              <w:right w:val="nil"/>
            </w:tcBorders>
            <w:shd w:val="clear" w:color="auto" w:fill="auto"/>
            <w:noWrap/>
            <w:vAlign w:val="bottom"/>
            <w:hideMark/>
          </w:tcPr>
          <w:p w14:paraId="7941CC3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6C456BF8"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7,708 </w:t>
            </w:r>
          </w:p>
        </w:tc>
      </w:tr>
      <w:tr w:rsidR="00AC5D3E" w:rsidRPr="00AC5D3E" w14:paraId="32D94DCC" w14:textId="77777777" w:rsidTr="00AC5D3E">
        <w:trPr>
          <w:trHeight w:val="308"/>
        </w:trPr>
        <w:tc>
          <w:tcPr>
            <w:tcW w:w="5360" w:type="dxa"/>
            <w:tcBorders>
              <w:top w:val="nil"/>
              <w:left w:val="nil"/>
              <w:bottom w:val="single" w:sz="4" w:space="0" w:color="auto"/>
              <w:right w:val="nil"/>
            </w:tcBorders>
            <w:shd w:val="clear" w:color="auto" w:fill="auto"/>
            <w:noWrap/>
            <w:vAlign w:val="bottom"/>
            <w:hideMark/>
          </w:tcPr>
          <w:p w14:paraId="03335B3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Other income, net</w:t>
            </w:r>
          </w:p>
        </w:tc>
        <w:tc>
          <w:tcPr>
            <w:tcW w:w="1540" w:type="dxa"/>
            <w:tcBorders>
              <w:top w:val="nil"/>
              <w:left w:val="nil"/>
              <w:bottom w:val="single" w:sz="4" w:space="0" w:color="auto"/>
              <w:right w:val="nil"/>
            </w:tcBorders>
            <w:shd w:val="clear" w:color="auto" w:fill="auto"/>
            <w:noWrap/>
            <w:vAlign w:val="bottom"/>
            <w:hideMark/>
          </w:tcPr>
          <w:p w14:paraId="643EC53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266 </w:t>
            </w:r>
          </w:p>
        </w:tc>
        <w:tc>
          <w:tcPr>
            <w:tcW w:w="180" w:type="dxa"/>
            <w:tcBorders>
              <w:top w:val="nil"/>
              <w:left w:val="nil"/>
              <w:bottom w:val="nil"/>
              <w:right w:val="nil"/>
            </w:tcBorders>
            <w:shd w:val="clear" w:color="auto" w:fill="auto"/>
            <w:noWrap/>
            <w:vAlign w:val="bottom"/>
            <w:hideMark/>
          </w:tcPr>
          <w:p w14:paraId="571FA07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35C3139"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276 </w:t>
            </w:r>
          </w:p>
        </w:tc>
      </w:tr>
      <w:tr w:rsidR="00AC5D3E" w:rsidRPr="00AC5D3E" w14:paraId="48922B58" w14:textId="77777777" w:rsidTr="00AC5D3E">
        <w:trPr>
          <w:trHeight w:val="308"/>
        </w:trPr>
        <w:tc>
          <w:tcPr>
            <w:tcW w:w="5360" w:type="dxa"/>
            <w:tcBorders>
              <w:top w:val="nil"/>
              <w:left w:val="nil"/>
              <w:bottom w:val="nil"/>
              <w:right w:val="nil"/>
            </w:tcBorders>
            <w:shd w:val="clear" w:color="auto" w:fill="auto"/>
            <w:noWrap/>
            <w:vAlign w:val="bottom"/>
            <w:hideMark/>
          </w:tcPr>
          <w:p w14:paraId="558A48C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Income before income taxes</w:t>
            </w:r>
          </w:p>
        </w:tc>
        <w:tc>
          <w:tcPr>
            <w:tcW w:w="1540" w:type="dxa"/>
            <w:tcBorders>
              <w:top w:val="nil"/>
              <w:left w:val="nil"/>
              <w:bottom w:val="nil"/>
              <w:right w:val="nil"/>
            </w:tcBorders>
            <w:shd w:val="clear" w:color="auto" w:fill="auto"/>
            <w:noWrap/>
            <w:vAlign w:val="bottom"/>
            <w:hideMark/>
          </w:tcPr>
          <w:p w14:paraId="3516C09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10,221 </w:t>
            </w:r>
          </w:p>
        </w:tc>
        <w:tc>
          <w:tcPr>
            <w:tcW w:w="180" w:type="dxa"/>
            <w:tcBorders>
              <w:top w:val="nil"/>
              <w:left w:val="nil"/>
              <w:bottom w:val="nil"/>
              <w:right w:val="nil"/>
            </w:tcBorders>
            <w:shd w:val="clear" w:color="auto" w:fill="auto"/>
            <w:noWrap/>
            <w:vAlign w:val="bottom"/>
            <w:hideMark/>
          </w:tcPr>
          <w:p w14:paraId="44E6AFC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0F2401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7,984 </w:t>
            </w:r>
          </w:p>
        </w:tc>
      </w:tr>
      <w:tr w:rsidR="00AC5D3E" w:rsidRPr="00AC5D3E" w14:paraId="1B7E9494" w14:textId="77777777" w:rsidTr="00AC5D3E">
        <w:trPr>
          <w:trHeight w:val="308"/>
        </w:trPr>
        <w:tc>
          <w:tcPr>
            <w:tcW w:w="5360" w:type="dxa"/>
            <w:tcBorders>
              <w:top w:val="nil"/>
              <w:left w:val="nil"/>
              <w:bottom w:val="single" w:sz="4" w:space="0" w:color="auto"/>
              <w:right w:val="nil"/>
            </w:tcBorders>
            <w:shd w:val="clear" w:color="auto" w:fill="auto"/>
            <w:noWrap/>
            <w:vAlign w:val="bottom"/>
            <w:hideMark/>
          </w:tcPr>
          <w:p w14:paraId="2A95992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Provision for income taxes</w:t>
            </w:r>
          </w:p>
        </w:tc>
        <w:tc>
          <w:tcPr>
            <w:tcW w:w="1540" w:type="dxa"/>
            <w:tcBorders>
              <w:top w:val="nil"/>
              <w:left w:val="nil"/>
              <w:bottom w:val="single" w:sz="4" w:space="0" w:color="auto"/>
              <w:right w:val="nil"/>
            </w:tcBorders>
            <w:shd w:val="clear" w:color="auto" w:fill="auto"/>
            <w:noWrap/>
            <w:vAlign w:val="bottom"/>
            <w:hideMark/>
          </w:tcPr>
          <w:p w14:paraId="482119E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1,397 </w:t>
            </w:r>
          </w:p>
        </w:tc>
        <w:tc>
          <w:tcPr>
            <w:tcW w:w="180" w:type="dxa"/>
            <w:tcBorders>
              <w:top w:val="nil"/>
              <w:left w:val="nil"/>
              <w:bottom w:val="nil"/>
              <w:right w:val="nil"/>
            </w:tcBorders>
            <w:shd w:val="clear" w:color="auto" w:fill="auto"/>
            <w:noWrap/>
            <w:vAlign w:val="bottom"/>
            <w:hideMark/>
          </w:tcPr>
          <w:p w14:paraId="38EB774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C4AC544"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1,408 </w:t>
            </w:r>
          </w:p>
        </w:tc>
      </w:tr>
      <w:tr w:rsidR="00AC5D3E" w:rsidRPr="00AC5D3E" w14:paraId="021FBA65" w14:textId="77777777" w:rsidTr="00AC5D3E">
        <w:trPr>
          <w:trHeight w:val="315"/>
        </w:trPr>
        <w:tc>
          <w:tcPr>
            <w:tcW w:w="5360" w:type="dxa"/>
            <w:tcBorders>
              <w:top w:val="nil"/>
              <w:left w:val="nil"/>
              <w:bottom w:val="nil"/>
              <w:right w:val="nil"/>
            </w:tcBorders>
            <w:shd w:val="clear" w:color="auto" w:fill="auto"/>
            <w:noWrap/>
            <w:vAlign w:val="bottom"/>
            <w:hideMark/>
          </w:tcPr>
          <w:p w14:paraId="6216A132"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Net income</w:t>
            </w:r>
          </w:p>
        </w:tc>
        <w:tc>
          <w:tcPr>
            <w:tcW w:w="1540" w:type="dxa"/>
            <w:tcBorders>
              <w:top w:val="nil"/>
              <w:left w:val="nil"/>
              <w:bottom w:val="single" w:sz="8" w:space="0" w:color="auto"/>
              <w:right w:val="nil"/>
            </w:tcBorders>
            <w:shd w:val="clear" w:color="auto" w:fill="auto"/>
            <w:noWrap/>
            <w:vAlign w:val="bottom"/>
            <w:hideMark/>
          </w:tcPr>
          <w:p w14:paraId="1932D42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$8,824 </w:t>
            </w:r>
          </w:p>
        </w:tc>
        <w:tc>
          <w:tcPr>
            <w:tcW w:w="180" w:type="dxa"/>
            <w:tcBorders>
              <w:top w:val="nil"/>
              <w:left w:val="nil"/>
              <w:bottom w:val="nil"/>
              <w:right w:val="nil"/>
            </w:tcBorders>
            <w:shd w:val="clear" w:color="auto" w:fill="auto"/>
            <w:noWrap/>
            <w:vAlign w:val="bottom"/>
            <w:hideMark/>
          </w:tcPr>
          <w:p w14:paraId="4E02BA7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59B7FAD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$6,576 </w:t>
            </w:r>
          </w:p>
        </w:tc>
      </w:tr>
      <w:tr w:rsidR="00AC5D3E" w:rsidRPr="00AC5D3E" w14:paraId="098A8E96" w14:textId="77777777" w:rsidTr="00AC5D3E">
        <w:trPr>
          <w:trHeight w:val="308"/>
        </w:trPr>
        <w:tc>
          <w:tcPr>
            <w:tcW w:w="5360" w:type="dxa"/>
            <w:tcBorders>
              <w:top w:val="nil"/>
              <w:left w:val="nil"/>
              <w:bottom w:val="nil"/>
              <w:right w:val="nil"/>
            </w:tcBorders>
            <w:shd w:val="clear" w:color="auto" w:fill="auto"/>
            <w:noWrap/>
            <w:vAlign w:val="bottom"/>
            <w:hideMark/>
          </w:tcPr>
          <w:p w14:paraId="163E5A7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Earnings per share:</w:t>
            </w:r>
          </w:p>
        </w:tc>
        <w:tc>
          <w:tcPr>
            <w:tcW w:w="1540" w:type="dxa"/>
            <w:tcBorders>
              <w:top w:val="nil"/>
              <w:left w:val="nil"/>
              <w:bottom w:val="nil"/>
              <w:right w:val="nil"/>
            </w:tcBorders>
            <w:shd w:val="clear" w:color="auto" w:fill="auto"/>
            <w:noWrap/>
            <w:vAlign w:val="bottom"/>
            <w:hideMark/>
          </w:tcPr>
          <w:p w14:paraId="712102F6"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A7B7AA6" w14:textId="77777777" w:rsidR="00AC5D3E" w:rsidRPr="00AC5D3E" w:rsidRDefault="00AC5D3E" w:rsidP="00AC5D3E">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E1CFFB6" w14:textId="77777777" w:rsidR="00AC5D3E" w:rsidRPr="00AC5D3E" w:rsidRDefault="00AC5D3E" w:rsidP="00AC5D3E">
            <w:pPr>
              <w:spacing w:after="0" w:line="240" w:lineRule="auto"/>
              <w:jc w:val="right"/>
              <w:rPr>
                <w:rFonts w:ascii="Times New Roman" w:eastAsia="Times New Roman" w:hAnsi="Times New Roman"/>
                <w:sz w:val="20"/>
                <w:szCs w:val="20"/>
              </w:rPr>
            </w:pPr>
          </w:p>
        </w:tc>
      </w:tr>
      <w:tr w:rsidR="00AC5D3E" w:rsidRPr="00AC5D3E" w14:paraId="224BAE39" w14:textId="77777777" w:rsidTr="00AC5D3E">
        <w:trPr>
          <w:trHeight w:val="308"/>
        </w:trPr>
        <w:tc>
          <w:tcPr>
            <w:tcW w:w="5360" w:type="dxa"/>
            <w:tcBorders>
              <w:top w:val="nil"/>
              <w:left w:val="nil"/>
              <w:bottom w:val="nil"/>
              <w:right w:val="nil"/>
            </w:tcBorders>
            <w:shd w:val="clear" w:color="auto" w:fill="auto"/>
            <w:noWrap/>
            <w:vAlign w:val="bottom"/>
            <w:hideMark/>
          </w:tcPr>
          <w:p w14:paraId="238CBD1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Basic</w:t>
            </w:r>
          </w:p>
        </w:tc>
        <w:tc>
          <w:tcPr>
            <w:tcW w:w="1540" w:type="dxa"/>
            <w:tcBorders>
              <w:top w:val="nil"/>
              <w:left w:val="nil"/>
              <w:bottom w:val="nil"/>
              <w:right w:val="nil"/>
            </w:tcBorders>
            <w:shd w:val="clear" w:color="auto" w:fill="auto"/>
            <w:noWrap/>
            <w:vAlign w:val="bottom"/>
            <w:hideMark/>
          </w:tcPr>
          <w:p w14:paraId="693E5EA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$1.15 </w:t>
            </w:r>
          </w:p>
        </w:tc>
        <w:tc>
          <w:tcPr>
            <w:tcW w:w="180" w:type="dxa"/>
            <w:tcBorders>
              <w:top w:val="nil"/>
              <w:left w:val="nil"/>
              <w:bottom w:val="nil"/>
              <w:right w:val="nil"/>
            </w:tcBorders>
            <w:shd w:val="clear" w:color="auto" w:fill="auto"/>
            <w:noWrap/>
            <w:vAlign w:val="bottom"/>
            <w:hideMark/>
          </w:tcPr>
          <w:p w14:paraId="18C274A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701FCC9"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$0.85 </w:t>
            </w:r>
          </w:p>
        </w:tc>
      </w:tr>
      <w:tr w:rsidR="00AC5D3E" w:rsidRPr="00AC5D3E" w14:paraId="5F80A066" w14:textId="77777777" w:rsidTr="00AC5D3E">
        <w:trPr>
          <w:trHeight w:val="308"/>
        </w:trPr>
        <w:tc>
          <w:tcPr>
            <w:tcW w:w="5360" w:type="dxa"/>
            <w:tcBorders>
              <w:top w:val="nil"/>
              <w:left w:val="nil"/>
              <w:bottom w:val="nil"/>
              <w:right w:val="nil"/>
            </w:tcBorders>
            <w:shd w:val="clear" w:color="auto" w:fill="auto"/>
            <w:noWrap/>
            <w:vAlign w:val="bottom"/>
            <w:hideMark/>
          </w:tcPr>
          <w:p w14:paraId="4C677648"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Diluted</w:t>
            </w:r>
          </w:p>
        </w:tc>
        <w:tc>
          <w:tcPr>
            <w:tcW w:w="1540" w:type="dxa"/>
            <w:tcBorders>
              <w:top w:val="nil"/>
              <w:left w:val="nil"/>
              <w:bottom w:val="nil"/>
              <w:right w:val="nil"/>
            </w:tcBorders>
            <w:shd w:val="clear" w:color="auto" w:fill="auto"/>
            <w:noWrap/>
            <w:vAlign w:val="bottom"/>
            <w:hideMark/>
          </w:tcPr>
          <w:p w14:paraId="38317D2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$1.14 </w:t>
            </w:r>
          </w:p>
        </w:tc>
        <w:tc>
          <w:tcPr>
            <w:tcW w:w="180" w:type="dxa"/>
            <w:tcBorders>
              <w:top w:val="nil"/>
              <w:left w:val="nil"/>
              <w:bottom w:val="nil"/>
              <w:right w:val="nil"/>
            </w:tcBorders>
            <w:shd w:val="clear" w:color="auto" w:fill="auto"/>
            <w:noWrap/>
            <w:vAlign w:val="bottom"/>
            <w:hideMark/>
          </w:tcPr>
          <w:p w14:paraId="5D9A0DB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A0CFE31"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$0.84 </w:t>
            </w:r>
          </w:p>
        </w:tc>
      </w:tr>
      <w:tr w:rsidR="00AC5D3E" w:rsidRPr="00AC5D3E" w14:paraId="74910C2C" w14:textId="77777777" w:rsidTr="00AC5D3E">
        <w:trPr>
          <w:trHeight w:val="308"/>
        </w:trPr>
        <w:tc>
          <w:tcPr>
            <w:tcW w:w="5360" w:type="dxa"/>
            <w:tcBorders>
              <w:top w:val="nil"/>
              <w:left w:val="nil"/>
              <w:bottom w:val="nil"/>
              <w:right w:val="nil"/>
            </w:tcBorders>
            <w:shd w:val="clear" w:color="auto" w:fill="auto"/>
            <w:noWrap/>
            <w:vAlign w:val="bottom"/>
            <w:hideMark/>
          </w:tcPr>
          <w:p w14:paraId="649659F8"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Weighted average shares outstanding:</w:t>
            </w:r>
          </w:p>
        </w:tc>
        <w:tc>
          <w:tcPr>
            <w:tcW w:w="1540" w:type="dxa"/>
            <w:tcBorders>
              <w:top w:val="nil"/>
              <w:left w:val="nil"/>
              <w:bottom w:val="nil"/>
              <w:right w:val="nil"/>
            </w:tcBorders>
            <w:shd w:val="clear" w:color="auto" w:fill="auto"/>
            <w:noWrap/>
            <w:vAlign w:val="bottom"/>
            <w:hideMark/>
          </w:tcPr>
          <w:p w14:paraId="77067507"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4DC48A00" w14:textId="77777777" w:rsidR="00AC5D3E" w:rsidRPr="00AC5D3E" w:rsidRDefault="00AC5D3E" w:rsidP="00AC5D3E">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7EEF09B" w14:textId="77777777" w:rsidR="00AC5D3E" w:rsidRPr="00AC5D3E" w:rsidRDefault="00AC5D3E" w:rsidP="00AC5D3E">
            <w:pPr>
              <w:spacing w:after="0" w:line="240" w:lineRule="auto"/>
              <w:jc w:val="right"/>
              <w:rPr>
                <w:rFonts w:ascii="Times New Roman" w:eastAsia="Times New Roman" w:hAnsi="Times New Roman"/>
                <w:sz w:val="20"/>
                <w:szCs w:val="20"/>
              </w:rPr>
            </w:pPr>
          </w:p>
        </w:tc>
      </w:tr>
      <w:tr w:rsidR="00AC5D3E" w:rsidRPr="00AC5D3E" w14:paraId="1CE57352" w14:textId="77777777" w:rsidTr="00AC5D3E">
        <w:trPr>
          <w:trHeight w:val="308"/>
        </w:trPr>
        <w:tc>
          <w:tcPr>
            <w:tcW w:w="5360" w:type="dxa"/>
            <w:tcBorders>
              <w:top w:val="nil"/>
              <w:left w:val="nil"/>
              <w:bottom w:val="nil"/>
              <w:right w:val="nil"/>
            </w:tcBorders>
            <w:shd w:val="clear" w:color="auto" w:fill="auto"/>
            <w:noWrap/>
            <w:vAlign w:val="bottom"/>
            <w:hideMark/>
          </w:tcPr>
          <w:p w14:paraId="7B8CF81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Basic</w:t>
            </w:r>
          </w:p>
        </w:tc>
        <w:tc>
          <w:tcPr>
            <w:tcW w:w="1540" w:type="dxa"/>
            <w:tcBorders>
              <w:top w:val="nil"/>
              <w:left w:val="nil"/>
              <w:bottom w:val="nil"/>
              <w:right w:val="nil"/>
            </w:tcBorders>
            <w:shd w:val="clear" w:color="auto" w:fill="auto"/>
            <w:noWrap/>
            <w:vAlign w:val="bottom"/>
            <w:hideMark/>
          </w:tcPr>
          <w:p w14:paraId="6A16207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7,673 </w:t>
            </w:r>
          </w:p>
        </w:tc>
        <w:tc>
          <w:tcPr>
            <w:tcW w:w="180" w:type="dxa"/>
            <w:tcBorders>
              <w:top w:val="nil"/>
              <w:left w:val="nil"/>
              <w:bottom w:val="nil"/>
              <w:right w:val="nil"/>
            </w:tcBorders>
            <w:shd w:val="clear" w:color="auto" w:fill="auto"/>
            <w:noWrap/>
            <w:vAlign w:val="bottom"/>
            <w:hideMark/>
          </w:tcPr>
          <w:p w14:paraId="6DE818D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C0D14D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7,708 </w:t>
            </w:r>
          </w:p>
        </w:tc>
      </w:tr>
      <w:tr w:rsidR="00AC5D3E" w:rsidRPr="00AC5D3E" w14:paraId="487D88BD" w14:textId="77777777" w:rsidTr="00AC5D3E">
        <w:trPr>
          <w:trHeight w:val="308"/>
        </w:trPr>
        <w:tc>
          <w:tcPr>
            <w:tcW w:w="5360" w:type="dxa"/>
            <w:tcBorders>
              <w:top w:val="nil"/>
              <w:left w:val="nil"/>
              <w:bottom w:val="nil"/>
              <w:right w:val="nil"/>
            </w:tcBorders>
            <w:shd w:val="clear" w:color="auto" w:fill="auto"/>
            <w:noWrap/>
            <w:vAlign w:val="bottom"/>
            <w:hideMark/>
          </w:tcPr>
          <w:p w14:paraId="2985C3F7"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Diluted</w:t>
            </w:r>
          </w:p>
        </w:tc>
        <w:tc>
          <w:tcPr>
            <w:tcW w:w="1540" w:type="dxa"/>
            <w:tcBorders>
              <w:top w:val="nil"/>
              <w:left w:val="nil"/>
              <w:bottom w:val="nil"/>
              <w:right w:val="nil"/>
            </w:tcBorders>
            <w:shd w:val="clear" w:color="auto" w:fill="auto"/>
            <w:noWrap/>
            <w:vAlign w:val="bottom"/>
            <w:hideMark/>
          </w:tcPr>
          <w:p w14:paraId="0BBBB6E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7,766 </w:t>
            </w:r>
          </w:p>
        </w:tc>
        <w:tc>
          <w:tcPr>
            <w:tcW w:w="180" w:type="dxa"/>
            <w:tcBorders>
              <w:top w:val="nil"/>
              <w:left w:val="nil"/>
              <w:bottom w:val="nil"/>
              <w:right w:val="nil"/>
            </w:tcBorders>
            <w:shd w:val="clear" w:color="auto" w:fill="auto"/>
            <w:noWrap/>
            <w:vAlign w:val="bottom"/>
            <w:hideMark/>
          </w:tcPr>
          <w:p w14:paraId="3B6432B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DF9F01F"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7,799 </w:t>
            </w:r>
          </w:p>
        </w:tc>
      </w:tr>
      <w:tr w:rsidR="00AC5D3E" w:rsidRPr="00AC5D3E" w14:paraId="177457FB" w14:textId="77777777" w:rsidTr="00AC5D3E">
        <w:trPr>
          <w:trHeight w:val="308"/>
        </w:trPr>
        <w:tc>
          <w:tcPr>
            <w:tcW w:w="5360" w:type="dxa"/>
            <w:tcBorders>
              <w:top w:val="nil"/>
              <w:left w:val="nil"/>
              <w:bottom w:val="single" w:sz="4" w:space="0" w:color="auto"/>
              <w:right w:val="nil"/>
            </w:tcBorders>
            <w:shd w:val="clear" w:color="auto" w:fill="auto"/>
            <w:vAlign w:val="bottom"/>
            <w:hideMark/>
          </w:tcPr>
          <w:p w14:paraId="12F38C5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Cash dividends declared per common share</w:t>
            </w:r>
          </w:p>
        </w:tc>
        <w:tc>
          <w:tcPr>
            <w:tcW w:w="1540" w:type="dxa"/>
            <w:tcBorders>
              <w:top w:val="nil"/>
              <w:left w:val="nil"/>
              <w:bottom w:val="single" w:sz="4" w:space="0" w:color="auto"/>
              <w:right w:val="nil"/>
            </w:tcBorders>
            <w:shd w:val="clear" w:color="auto" w:fill="auto"/>
            <w:noWrap/>
            <w:vAlign w:val="bottom"/>
            <w:hideMark/>
          </w:tcPr>
          <w:p w14:paraId="245B724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$0.46 </w:t>
            </w:r>
          </w:p>
        </w:tc>
        <w:tc>
          <w:tcPr>
            <w:tcW w:w="180" w:type="dxa"/>
            <w:tcBorders>
              <w:top w:val="nil"/>
              <w:left w:val="nil"/>
              <w:bottom w:val="single" w:sz="4" w:space="0" w:color="auto"/>
              <w:right w:val="nil"/>
            </w:tcBorders>
            <w:shd w:val="clear" w:color="auto" w:fill="auto"/>
            <w:noWrap/>
            <w:vAlign w:val="bottom"/>
            <w:hideMark/>
          </w:tcPr>
          <w:p w14:paraId="633B8F4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EF4FBFF"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$0.42 </w:t>
            </w:r>
          </w:p>
        </w:tc>
      </w:tr>
    </w:tbl>
    <w:p w14:paraId="560D6CD2" w14:textId="399F0F12" w:rsidR="00AC5D3E" w:rsidRDefault="00AC5D3E" w:rsidP="00434AFB">
      <w:pPr>
        <w:pStyle w:val="NoSpacing"/>
        <w:spacing w:before="240" w:after="240" w:line="276" w:lineRule="auto"/>
        <w:rPr>
          <w:rFonts w:ascii="Segoe UI" w:eastAsia="Segoe UI" w:hAnsi="Segoe UI" w:cs="Segoe UI"/>
          <w:color w:val="666666"/>
          <w:sz w:val="20"/>
          <w:szCs w:val="20"/>
        </w:rPr>
      </w:pPr>
    </w:p>
    <w:p w14:paraId="2611F15E" w14:textId="77777777" w:rsidR="00AC5D3E" w:rsidRDefault="00AC5D3E">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280" w:type="dxa"/>
        <w:tblLook w:val="04A0" w:firstRow="1" w:lastRow="0" w:firstColumn="1" w:lastColumn="0" w:noHBand="0" w:noVBand="1"/>
      </w:tblPr>
      <w:tblGrid>
        <w:gridCol w:w="6162"/>
        <w:gridCol w:w="1031"/>
        <w:gridCol w:w="272"/>
        <w:gridCol w:w="963"/>
      </w:tblGrid>
      <w:tr w:rsidR="00AC5D3E" w:rsidRPr="00AC5D3E" w14:paraId="165ED843" w14:textId="77777777" w:rsidTr="00AC5D3E">
        <w:trPr>
          <w:trHeight w:val="308"/>
        </w:trPr>
        <w:tc>
          <w:tcPr>
            <w:tcW w:w="8280" w:type="dxa"/>
            <w:gridSpan w:val="4"/>
            <w:tcBorders>
              <w:top w:val="nil"/>
              <w:left w:val="nil"/>
              <w:bottom w:val="nil"/>
              <w:right w:val="nil"/>
            </w:tcBorders>
            <w:shd w:val="clear" w:color="auto" w:fill="auto"/>
            <w:noWrap/>
            <w:vAlign w:val="bottom"/>
            <w:hideMark/>
          </w:tcPr>
          <w:p w14:paraId="43BBCAC6"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lastRenderedPageBreak/>
              <w:t>COMPREHENSIVE INCOME STATEMENTS</w:t>
            </w:r>
          </w:p>
        </w:tc>
      </w:tr>
      <w:tr w:rsidR="00AC5D3E" w:rsidRPr="00AC5D3E" w14:paraId="1180582F" w14:textId="77777777" w:rsidTr="00AC5D3E">
        <w:trPr>
          <w:trHeight w:val="308"/>
        </w:trPr>
        <w:tc>
          <w:tcPr>
            <w:tcW w:w="8280" w:type="dxa"/>
            <w:gridSpan w:val="4"/>
            <w:tcBorders>
              <w:top w:val="nil"/>
              <w:left w:val="nil"/>
              <w:bottom w:val="nil"/>
              <w:right w:val="nil"/>
            </w:tcBorders>
            <w:shd w:val="clear" w:color="auto" w:fill="auto"/>
            <w:noWrap/>
            <w:vAlign w:val="bottom"/>
            <w:hideMark/>
          </w:tcPr>
          <w:p w14:paraId="4F9B3D02"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 millions)(Unaudited)</w:t>
            </w:r>
          </w:p>
        </w:tc>
      </w:tr>
      <w:tr w:rsidR="00AC5D3E" w:rsidRPr="00AC5D3E" w14:paraId="3712287C" w14:textId="77777777" w:rsidTr="00AC5D3E">
        <w:trPr>
          <w:trHeight w:val="308"/>
        </w:trPr>
        <w:tc>
          <w:tcPr>
            <w:tcW w:w="6162" w:type="dxa"/>
            <w:tcBorders>
              <w:top w:val="nil"/>
              <w:left w:val="nil"/>
              <w:bottom w:val="nil"/>
              <w:right w:val="nil"/>
            </w:tcBorders>
            <w:shd w:val="clear" w:color="auto" w:fill="auto"/>
            <w:noWrap/>
            <w:vAlign w:val="bottom"/>
            <w:hideMark/>
          </w:tcPr>
          <w:p w14:paraId="03C3D07B"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p>
        </w:tc>
        <w:tc>
          <w:tcPr>
            <w:tcW w:w="1031" w:type="dxa"/>
            <w:tcBorders>
              <w:top w:val="nil"/>
              <w:left w:val="nil"/>
              <w:bottom w:val="nil"/>
              <w:right w:val="nil"/>
            </w:tcBorders>
            <w:shd w:val="clear" w:color="auto" w:fill="auto"/>
            <w:noWrap/>
            <w:vAlign w:val="bottom"/>
            <w:hideMark/>
          </w:tcPr>
          <w:p w14:paraId="0A21A427"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124" w:type="dxa"/>
            <w:tcBorders>
              <w:top w:val="nil"/>
              <w:left w:val="nil"/>
              <w:bottom w:val="nil"/>
              <w:right w:val="nil"/>
            </w:tcBorders>
            <w:shd w:val="clear" w:color="auto" w:fill="auto"/>
            <w:noWrap/>
            <w:vAlign w:val="bottom"/>
            <w:hideMark/>
          </w:tcPr>
          <w:p w14:paraId="47A318C0"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963" w:type="dxa"/>
            <w:tcBorders>
              <w:top w:val="nil"/>
              <w:left w:val="nil"/>
              <w:bottom w:val="nil"/>
              <w:right w:val="nil"/>
            </w:tcBorders>
            <w:shd w:val="clear" w:color="auto" w:fill="auto"/>
            <w:noWrap/>
            <w:vAlign w:val="bottom"/>
            <w:hideMark/>
          </w:tcPr>
          <w:p w14:paraId="56F95A83" w14:textId="77777777" w:rsidR="00AC5D3E" w:rsidRPr="00AC5D3E" w:rsidRDefault="00AC5D3E" w:rsidP="00AC5D3E">
            <w:pPr>
              <w:spacing w:after="0" w:line="240" w:lineRule="auto"/>
              <w:jc w:val="center"/>
              <w:rPr>
                <w:rFonts w:ascii="Times New Roman" w:eastAsia="Times New Roman" w:hAnsi="Times New Roman"/>
                <w:sz w:val="20"/>
                <w:szCs w:val="20"/>
              </w:rPr>
            </w:pPr>
          </w:p>
        </w:tc>
      </w:tr>
      <w:tr w:rsidR="00AC5D3E" w:rsidRPr="00AC5D3E" w14:paraId="5D03615D" w14:textId="77777777" w:rsidTr="00AC5D3E">
        <w:trPr>
          <w:trHeight w:val="300"/>
        </w:trPr>
        <w:tc>
          <w:tcPr>
            <w:tcW w:w="6162" w:type="dxa"/>
            <w:tcBorders>
              <w:top w:val="nil"/>
              <w:left w:val="nil"/>
              <w:bottom w:val="nil"/>
              <w:right w:val="nil"/>
            </w:tcBorders>
            <w:shd w:val="clear" w:color="auto" w:fill="auto"/>
            <w:noWrap/>
            <w:vAlign w:val="bottom"/>
            <w:hideMark/>
          </w:tcPr>
          <w:p w14:paraId="4EA7EF2B"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2118" w:type="dxa"/>
            <w:gridSpan w:val="3"/>
            <w:vMerge w:val="restart"/>
            <w:tcBorders>
              <w:top w:val="nil"/>
              <w:left w:val="nil"/>
              <w:bottom w:val="nil"/>
              <w:right w:val="nil"/>
            </w:tcBorders>
            <w:shd w:val="clear" w:color="auto" w:fill="auto"/>
            <w:vAlign w:val="bottom"/>
            <w:hideMark/>
          </w:tcPr>
          <w:p w14:paraId="1B8F217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Three Months Ended September 30,</w:t>
            </w:r>
          </w:p>
        </w:tc>
      </w:tr>
      <w:tr w:rsidR="00AC5D3E" w:rsidRPr="00AC5D3E" w14:paraId="584F4DCB" w14:textId="77777777" w:rsidTr="00AC5D3E">
        <w:trPr>
          <w:trHeight w:val="308"/>
        </w:trPr>
        <w:tc>
          <w:tcPr>
            <w:tcW w:w="6162" w:type="dxa"/>
            <w:tcBorders>
              <w:top w:val="nil"/>
              <w:left w:val="nil"/>
              <w:bottom w:val="nil"/>
              <w:right w:val="nil"/>
            </w:tcBorders>
            <w:shd w:val="clear" w:color="auto" w:fill="auto"/>
            <w:noWrap/>
            <w:vAlign w:val="bottom"/>
            <w:hideMark/>
          </w:tcPr>
          <w:p w14:paraId="65BB212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2118" w:type="dxa"/>
            <w:gridSpan w:val="3"/>
            <w:vMerge/>
            <w:tcBorders>
              <w:top w:val="nil"/>
              <w:left w:val="nil"/>
              <w:bottom w:val="nil"/>
              <w:right w:val="nil"/>
            </w:tcBorders>
            <w:vAlign w:val="center"/>
            <w:hideMark/>
          </w:tcPr>
          <w:p w14:paraId="56F38C04"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r>
      <w:tr w:rsidR="00AC5D3E" w:rsidRPr="00AC5D3E" w14:paraId="1346A134" w14:textId="77777777" w:rsidTr="00AC5D3E">
        <w:trPr>
          <w:trHeight w:val="308"/>
        </w:trPr>
        <w:tc>
          <w:tcPr>
            <w:tcW w:w="6162" w:type="dxa"/>
            <w:tcBorders>
              <w:top w:val="nil"/>
              <w:left w:val="nil"/>
              <w:bottom w:val="single" w:sz="4" w:space="0" w:color="auto"/>
              <w:right w:val="nil"/>
            </w:tcBorders>
            <w:shd w:val="clear" w:color="auto" w:fill="auto"/>
            <w:noWrap/>
            <w:vAlign w:val="bottom"/>
            <w:hideMark/>
          </w:tcPr>
          <w:p w14:paraId="75684480"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031" w:type="dxa"/>
            <w:tcBorders>
              <w:top w:val="nil"/>
              <w:left w:val="nil"/>
              <w:bottom w:val="single" w:sz="4" w:space="0" w:color="auto"/>
              <w:right w:val="nil"/>
            </w:tcBorders>
            <w:shd w:val="clear" w:color="auto" w:fill="auto"/>
            <w:noWrap/>
            <w:vAlign w:val="bottom"/>
            <w:hideMark/>
          </w:tcPr>
          <w:p w14:paraId="3C18E7F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2018</w:t>
            </w:r>
          </w:p>
        </w:tc>
        <w:tc>
          <w:tcPr>
            <w:tcW w:w="124" w:type="dxa"/>
            <w:tcBorders>
              <w:top w:val="nil"/>
              <w:left w:val="nil"/>
              <w:bottom w:val="single" w:sz="4" w:space="0" w:color="auto"/>
              <w:right w:val="nil"/>
            </w:tcBorders>
            <w:shd w:val="clear" w:color="auto" w:fill="auto"/>
            <w:noWrap/>
            <w:vAlign w:val="bottom"/>
            <w:hideMark/>
          </w:tcPr>
          <w:p w14:paraId="22871C1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963" w:type="dxa"/>
            <w:tcBorders>
              <w:top w:val="nil"/>
              <w:left w:val="nil"/>
              <w:bottom w:val="single" w:sz="4" w:space="0" w:color="auto"/>
              <w:right w:val="nil"/>
            </w:tcBorders>
            <w:shd w:val="clear" w:color="auto" w:fill="auto"/>
            <w:noWrap/>
            <w:vAlign w:val="bottom"/>
            <w:hideMark/>
          </w:tcPr>
          <w:p w14:paraId="344D446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2017</w:t>
            </w:r>
          </w:p>
        </w:tc>
      </w:tr>
      <w:tr w:rsidR="00AC5D3E" w:rsidRPr="00AC5D3E" w14:paraId="4A03BA66" w14:textId="77777777" w:rsidTr="00AC5D3E">
        <w:trPr>
          <w:trHeight w:val="308"/>
        </w:trPr>
        <w:tc>
          <w:tcPr>
            <w:tcW w:w="6162" w:type="dxa"/>
            <w:tcBorders>
              <w:top w:val="nil"/>
              <w:left w:val="nil"/>
              <w:bottom w:val="nil"/>
              <w:right w:val="nil"/>
            </w:tcBorders>
            <w:shd w:val="clear" w:color="auto" w:fill="auto"/>
            <w:noWrap/>
            <w:vAlign w:val="bottom"/>
            <w:hideMark/>
          </w:tcPr>
          <w:p w14:paraId="17A303B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Net income</w:t>
            </w:r>
          </w:p>
        </w:tc>
        <w:tc>
          <w:tcPr>
            <w:tcW w:w="1031" w:type="dxa"/>
            <w:tcBorders>
              <w:top w:val="nil"/>
              <w:left w:val="nil"/>
              <w:bottom w:val="single" w:sz="4" w:space="0" w:color="auto"/>
              <w:right w:val="nil"/>
            </w:tcBorders>
            <w:shd w:val="clear" w:color="auto" w:fill="auto"/>
            <w:noWrap/>
            <w:vAlign w:val="bottom"/>
            <w:hideMark/>
          </w:tcPr>
          <w:p w14:paraId="63D1287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$8,824 </w:t>
            </w:r>
          </w:p>
        </w:tc>
        <w:tc>
          <w:tcPr>
            <w:tcW w:w="124" w:type="dxa"/>
            <w:tcBorders>
              <w:top w:val="nil"/>
              <w:left w:val="nil"/>
              <w:bottom w:val="nil"/>
              <w:right w:val="nil"/>
            </w:tcBorders>
            <w:shd w:val="clear" w:color="auto" w:fill="auto"/>
            <w:noWrap/>
            <w:vAlign w:val="bottom"/>
            <w:hideMark/>
          </w:tcPr>
          <w:p w14:paraId="6A0A398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963" w:type="dxa"/>
            <w:tcBorders>
              <w:top w:val="nil"/>
              <w:left w:val="nil"/>
              <w:bottom w:val="single" w:sz="4" w:space="0" w:color="auto"/>
              <w:right w:val="nil"/>
            </w:tcBorders>
            <w:shd w:val="clear" w:color="auto" w:fill="auto"/>
            <w:noWrap/>
            <w:vAlign w:val="bottom"/>
            <w:hideMark/>
          </w:tcPr>
          <w:p w14:paraId="254E5AF2"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$6,576 </w:t>
            </w:r>
          </w:p>
        </w:tc>
      </w:tr>
      <w:tr w:rsidR="00AC5D3E" w:rsidRPr="00AC5D3E" w14:paraId="4BCA8A58" w14:textId="77777777" w:rsidTr="00AC5D3E">
        <w:trPr>
          <w:trHeight w:val="308"/>
        </w:trPr>
        <w:tc>
          <w:tcPr>
            <w:tcW w:w="6162" w:type="dxa"/>
            <w:tcBorders>
              <w:top w:val="nil"/>
              <w:left w:val="nil"/>
              <w:bottom w:val="nil"/>
              <w:right w:val="nil"/>
            </w:tcBorders>
            <w:shd w:val="clear" w:color="auto" w:fill="auto"/>
            <w:noWrap/>
            <w:vAlign w:val="bottom"/>
            <w:hideMark/>
          </w:tcPr>
          <w:p w14:paraId="0C12B5A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Other comprehensive income (loss),</w:t>
            </w:r>
            <w:r w:rsidRPr="00AC5D3E">
              <w:rPr>
                <w:rFonts w:ascii="Segoe UI" w:eastAsia="Times New Roman" w:hAnsi="Segoe UI" w:cs="Segoe UI"/>
                <w:color w:val="666666"/>
                <w:sz w:val="20"/>
                <w:szCs w:val="20"/>
              </w:rPr>
              <w:br/>
              <w:t xml:space="preserve">  net of tax:</w:t>
            </w:r>
          </w:p>
        </w:tc>
        <w:tc>
          <w:tcPr>
            <w:tcW w:w="1031" w:type="dxa"/>
            <w:tcBorders>
              <w:top w:val="nil"/>
              <w:left w:val="nil"/>
              <w:bottom w:val="nil"/>
              <w:right w:val="nil"/>
            </w:tcBorders>
            <w:shd w:val="clear" w:color="auto" w:fill="auto"/>
            <w:noWrap/>
            <w:vAlign w:val="bottom"/>
            <w:hideMark/>
          </w:tcPr>
          <w:p w14:paraId="44CF4592"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124" w:type="dxa"/>
            <w:tcBorders>
              <w:top w:val="nil"/>
              <w:left w:val="nil"/>
              <w:bottom w:val="nil"/>
              <w:right w:val="nil"/>
            </w:tcBorders>
            <w:shd w:val="clear" w:color="auto" w:fill="auto"/>
            <w:noWrap/>
            <w:vAlign w:val="bottom"/>
            <w:hideMark/>
          </w:tcPr>
          <w:p w14:paraId="5EACC894" w14:textId="77777777" w:rsidR="00AC5D3E" w:rsidRPr="00AC5D3E" w:rsidRDefault="00AC5D3E" w:rsidP="00AC5D3E">
            <w:pPr>
              <w:spacing w:after="0" w:line="240" w:lineRule="auto"/>
              <w:rPr>
                <w:rFonts w:ascii="Times New Roman" w:eastAsia="Times New Roman" w:hAnsi="Times New Roman"/>
                <w:sz w:val="20"/>
                <w:szCs w:val="20"/>
              </w:rPr>
            </w:pPr>
          </w:p>
        </w:tc>
        <w:tc>
          <w:tcPr>
            <w:tcW w:w="963" w:type="dxa"/>
            <w:tcBorders>
              <w:top w:val="nil"/>
              <w:left w:val="nil"/>
              <w:bottom w:val="nil"/>
              <w:right w:val="nil"/>
            </w:tcBorders>
            <w:shd w:val="clear" w:color="auto" w:fill="auto"/>
            <w:noWrap/>
            <w:vAlign w:val="bottom"/>
            <w:hideMark/>
          </w:tcPr>
          <w:p w14:paraId="2597CE1A" w14:textId="77777777" w:rsidR="00AC5D3E" w:rsidRPr="00AC5D3E" w:rsidRDefault="00AC5D3E" w:rsidP="00AC5D3E">
            <w:pPr>
              <w:spacing w:after="0" w:line="240" w:lineRule="auto"/>
              <w:jc w:val="right"/>
              <w:rPr>
                <w:rFonts w:ascii="Times New Roman" w:eastAsia="Times New Roman" w:hAnsi="Times New Roman"/>
                <w:sz w:val="20"/>
                <w:szCs w:val="20"/>
              </w:rPr>
            </w:pPr>
          </w:p>
        </w:tc>
      </w:tr>
      <w:tr w:rsidR="00AC5D3E" w:rsidRPr="00AC5D3E" w14:paraId="03D59D40" w14:textId="77777777" w:rsidTr="00AC5D3E">
        <w:trPr>
          <w:trHeight w:val="308"/>
        </w:trPr>
        <w:tc>
          <w:tcPr>
            <w:tcW w:w="6162" w:type="dxa"/>
            <w:tcBorders>
              <w:top w:val="nil"/>
              <w:left w:val="nil"/>
              <w:bottom w:val="nil"/>
              <w:right w:val="nil"/>
            </w:tcBorders>
            <w:shd w:val="clear" w:color="auto" w:fill="auto"/>
            <w:vAlign w:val="bottom"/>
            <w:hideMark/>
          </w:tcPr>
          <w:p w14:paraId="342A3613"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Net change related to derivatives</w:t>
            </w:r>
          </w:p>
        </w:tc>
        <w:tc>
          <w:tcPr>
            <w:tcW w:w="1031" w:type="dxa"/>
            <w:tcBorders>
              <w:top w:val="nil"/>
              <w:left w:val="nil"/>
              <w:bottom w:val="nil"/>
              <w:right w:val="nil"/>
            </w:tcBorders>
            <w:shd w:val="clear" w:color="auto" w:fill="auto"/>
            <w:noWrap/>
            <w:vAlign w:val="bottom"/>
            <w:hideMark/>
          </w:tcPr>
          <w:p w14:paraId="5269442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(45)</w:t>
            </w:r>
          </w:p>
        </w:tc>
        <w:tc>
          <w:tcPr>
            <w:tcW w:w="124" w:type="dxa"/>
            <w:tcBorders>
              <w:top w:val="nil"/>
              <w:left w:val="nil"/>
              <w:bottom w:val="nil"/>
              <w:right w:val="nil"/>
            </w:tcBorders>
            <w:shd w:val="clear" w:color="auto" w:fill="auto"/>
            <w:noWrap/>
            <w:vAlign w:val="bottom"/>
            <w:hideMark/>
          </w:tcPr>
          <w:p w14:paraId="2B68706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963" w:type="dxa"/>
            <w:tcBorders>
              <w:top w:val="nil"/>
              <w:left w:val="nil"/>
              <w:bottom w:val="nil"/>
              <w:right w:val="nil"/>
            </w:tcBorders>
            <w:shd w:val="clear" w:color="auto" w:fill="auto"/>
            <w:noWrap/>
            <w:vAlign w:val="bottom"/>
            <w:hideMark/>
          </w:tcPr>
          <w:p w14:paraId="60ADBA6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(106)</w:t>
            </w:r>
          </w:p>
        </w:tc>
      </w:tr>
      <w:tr w:rsidR="00AC5D3E" w:rsidRPr="00AC5D3E" w14:paraId="357E0DE2" w14:textId="77777777" w:rsidTr="00AC5D3E">
        <w:trPr>
          <w:trHeight w:val="308"/>
        </w:trPr>
        <w:tc>
          <w:tcPr>
            <w:tcW w:w="6162" w:type="dxa"/>
            <w:tcBorders>
              <w:top w:val="nil"/>
              <w:left w:val="nil"/>
              <w:bottom w:val="nil"/>
              <w:right w:val="nil"/>
            </w:tcBorders>
            <w:shd w:val="clear" w:color="auto" w:fill="auto"/>
            <w:vAlign w:val="bottom"/>
            <w:hideMark/>
          </w:tcPr>
          <w:p w14:paraId="34FE55D3"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Net change related to investments</w:t>
            </w:r>
          </w:p>
        </w:tc>
        <w:tc>
          <w:tcPr>
            <w:tcW w:w="1031" w:type="dxa"/>
            <w:tcBorders>
              <w:top w:val="nil"/>
              <w:left w:val="nil"/>
              <w:bottom w:val="nil"/>
              <w:right w:val="nil"/>
            </w:tcBorders>
            <w:shd w:val="clear" w:color="auto" w:fill="auto"/>
            <w:noWrap/>
            <w:vAlign w:val="bottom"/>
            <w:hideMark/>
          </w:tcPr>
          <w:p w14:paraId="1C2F54A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(261)</w:t>
            </w:r>
          </w:p>
        </w:tc>
        <w:tc>
          <w:tcPr>
            <w:tcW w:w="124" w:type="dxa"/>
            <w:tcBorders>
              <w:top w:val="nil"/>
              <w:left w:val="nil"/>
              <w:bottom w:val="nil"/>
              <w:right w:val="nil"/>
            </w:tcBorders>
            <w:shd w:val="clear" w:color="auto" w:fill="auto"/>
            <w:noWrap/>
            <w:vAlign w:val="bottom"/>
            <w:hideMark/>
          </w:tcPr>
          <w:p w14:paraId="5ECE30D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963" w:type="dxa"/>
            <w:tcBorders>
              <w:top w:val="nil"/>
              <w:left w:val="nil"/>
              <w:bottom w:val="nil"/>
              <w:right w:val="nil"/>
            </w:tcBorders>
            <w:shd w:val="clear" w:color="auto" w:fill="auto"/>
            <w:noWrap/>
            <w:vAlign w:val="bottom"/>
            <w:hideMark/>
          </w:tcPr>
          <w:p w14:paraId="2734F3EA"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(288)</w:t>
            </w:r>
          </w:p>
        </w:tc>
      </w:tr>
      <w:tr w:rsidR="00AC5D3E" w:rsidRPr="00AC5D3E" w14:paraId="4A8C03CF" w14:textId="77777777" w:rsidTr="00AC5D3E">
        <w:trPr>
          <w:trHeight w:val="308"/>
        </w:trPr>
        <w:tc>
          <w:tcPr>
            <w:tcW w:w="6162" w:type="dxa"/>
            <w:tcBorders>
              <w:top w:val="nil"/>
              <w:left w:val="nil"/>
              <w:bottom w:val="single" w:sz="4" w:space="0" w:color="auto"/>
              <w:right w:val="nil"/>
            </w:tcBorders>
            <w:shd w:val="clear" w:color="auto" w:fill="auto"/>
            <w:vAlign w:val="bottom"/>
            <w:hideMark/>
          </w:tcPr>
          <w:p w14:paraId="3FE7619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Translation adjustments and other</w:t>
            </w:r>
          </w:p>
        </w:tc>
        <w:tc>
          <w:tcPr>
            <w:tcW w:w="1031" w:type="dxa"/>
            <w:tcBorders>
              <w:top w:val="nil"/>
              <w:left w:val="nil"/>
              <w:bottom w:val="single" w:sz="4" w:space="0" w:color="auto"/>
              <w:right w:val="nil"/>
            </w:tcBorders>
            <w:shd w:val="clear" w:color="auto" w:fill="auto"/>
            <w:noWrap/>
            <w:vAlign w:val="bottom"/>
            <w:hideMark/>
          </w:tcPr>
          <w:p w14:paraId="2A9759B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(55)</w:t>
            </w:r>
          </w:p>
        </w:tc>
        <w:tc>
          <w:tcPr>
            <w:tcW w:w="124" w:type="dxa"/>
            <w:tcBorders>
              <w:top w:val="nil"/>
              <w:left w:val="nil"/>
              <w:bottom w:val="nil"/>
              <w:right w:val="nil"/>
            </w:tcBorders>
            <w:shd w:val="clear" w:color="auto" w:fill="auto"/>
            <w:noWrap/>
            <w:vAlign w:val="bottom"/>
            <w:hideMark/>
          </w:tcPr>
          <w:p w14:paraId="0B5A5B8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963" w:type="dxa"/>
            <w:tcBorders>
              <w:top w:val="nil"/>
              <w:left w:val="nil"/>
              <w:bottom w:val="single" w:sz="4" w:space="0" w:color="auto"/>
              <w:right w:val="nil"/>
            </w:tcBorders>
            <w:shd w:val="clear" w:color="auto" w:fill="auto"/>
            <w:noWrap/>
            <w:vAlign w:val="bottom"/>
            <w:hideMark/>
          </w:tcPr>
          <w:p w14:paraId="24757EBE"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293 </w:t>
            </w:r>
          </w:p>
        </w:tc>
      </w:tr>
      <w:tr w:rsidR="00AC5D3E" w:rsidRPr="00AC5D3E" w14:paraId="4E47D50B" w14:textId="77777777" w:rsidTr="00AC5D3E">
        <w:trPr>
          <w:trHeight w:val="308"/>
        </w:trPr>
        <w:tc>
          <w:tcPr>
            <w:tcW w:w="6162" w:type="dxa"/>
            <w:tcBorders>
              <w:top w:val="nil"/>
              <w:left w:val="nil"/>
              <w:bottom w:val="single" w:sz="4" w:space="0" w:color="auto"/>
              <w:right w:val="nil"/>
            </w:tcBorders>
            <w:shd w:val="clear" w:color="auto" w:fill="auto"/>
            <w:vAlign w:val="bottom"/>
            <w:hideMark/>
          </w:tcPr>
          <w:p w14:paraId="787AEC4B"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Other comprehensive loss</w:t>
            </w:r>
          </w:p>
        </w:tc>
        <w:tc>
          <w:tcPr>
            <w:tcW w:w="1031" w:type="dxa"/>
            <w:tcBorders>
              <w:top w:val="nil"/>
              <w:left w:val="nil"/>
              <w:bottom w:val="single" w:sz="4" w:space="0" w:color="auto"/>
              <w:right w:val="nil"/>
            </w:tcBorders>
            <w:shd w:val="clear" w:color="auto" w:fill="auto"/>
            <w:noWrap/>
            <w:vAlign w:val="bottom"/>
            <w:hideMark/>
          </w:tcPr>
          <w:p w14:paraId="1EC8001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(361)</w:t>
            </w:r>
          </w:p>
        </w:tc>
        <w:tc>
          <w:tcPr>
            <w:tcW w:w="124" w:type="dxa"/>
            <w:tcBorders>
              <w:top w:val="nil"/>
              <w:left w:val="nil"/>
              <w:bottom w:val="nil"/>
              <w:right w:val="nil"/>
            </w:tcBorders>
            <w:shd w:val="clear" w:color="auto" w:fill="auto"/>
            <w:noWrap/>
            <w:vAlign w:val="bottom"/>
            <w:hideMark/>
          </w:tcPr>
          <w:p w14:paraId="79B956F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963" w:type="dxa"/>
            <w:tcBorders>
              <w:top w:val="nil"/>
              <w:left w:val="nil"/>
              <w:bottom w:val="single" w:sz="4" w:space="0" w:color="auto"/>
              <w:right w:val="nil"/>
            </w:tcBorders>
            <w:shd w:val="clear" w:color="auto" w:fill="auto"/>
            <w:noWrap/>
            <w:vAlign w:val="bottom"/>
            <w:hideMark/>
          </w:tcPr>
          <w:p w14:paraId="56491F6F"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(101)</w:t>
            </w:r>
          </w:p>
        </w:tc>
      </w:tr>
      <w:tr w:rsidR="00AC5D3E" w:rsidRPr="00AC5D3E" w14:paraId="335B1792" w14:textId="77777777" w:rsidTr="00AC5D3E">
        <w:trPr>
          <w:trHeight w:val="315"/>
        </w:trPr>
        <w:tc>
          <w:tcPr>
            <w:tcW w:w="6162" w:type="dxa"/>
            <w:tcBorders>
              <w:top w:val="nil"/>
              <w:left w:val="nil"/>
              <w:bottom w:val="nil"/>
              <w:right w:val="nil"/>
            </w:tcBorders>
            <w:shd w:val="clear" w:color="auto" w:fill="auto"/>
            <w:noWrap/>
            <w:vAlign w:val="bottom"/>
            <w:hideMark/>
          </w:tcPr>
          <w:p w14:paraId="34C4DA2B"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Comprehensive income</w:t>
            </w:r>
          </w:p>
        </w:tc>
        <w:tc>
          <w:tcPr>
            <w:tcW w:w="1031" w:type="dxa"/>
            <w:tcBorders>
              <w:top w:val="nil"/>
              <w:left w:val="nil"/>
              <w:bottom w:val="single" w:sz="8" w:space="0" w:color="auto"/>
              <w:right w:val="nil"/>
            </w:tcBorders>
            <w:shd w:val="clear" w:color="auto" w:fill="auto"/>
            <w:noWrap/>
            <w:vAlign w:val="bottom"/>
            <w:hideMark/>
          </w:tcPr>
          <w:p w14:paraId="7EF26EE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$8,463 </w:t>
            </w:r>
          </w:p>
        </w:tc>
        <w:tc>
          <w:tcPr>
            <w:tcW w:w="124" w:type="dxa"/>
            <w:tcBorders>
              <w:top w:val="nil"/>
              <w:left w:val="nil"/>
              <w:bottom w:val="nil"/>
              <w:right w:val="nil"/>
            </w:tcBorders>
            <w:shd w:val="clear" w:color="auto" w:fill="auto"/>
            <w:noWrap/>
            <w:vAlign w:val="bottom"/>
            <w:hideMark/>
          </w:tcPr>
          <w:p w14:paraId="359642A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963" w:type="dxa"/>
            <w:tcBorders>
              <w:top w:val="nil"/>
              <w:left w:val="nil"/>
              <w:bottom w:val="single" w:sz="8" w:space="0" w:color="auto"/>
              <w:right w:val="nil"/>
            </w:tcBorders>
            <w:shd w:val="clear" w:color="auto" w:fill="auto"/>
            <w:noWrap/>
            <w:vAlign w:val="bottom"/>
            <w:hideMark/>
          </w:tcPr>
          <w:p w14:paraId="6086EDB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$6,475 </w:t>
            </w:r>
          </w:p>
        </w:tc>
      </w:tr>
    </w:tbl>
    <w:p w14:paraId="2CF477A7" w14:textId="08058ACF" w:rsidR="00AC5D3E" w:rsidRDefault="00AC5D3E" w:rsidP="00434AFB">
      <w:pPr>
        <w:pStyle w:val="NoSpacing"/>
        <w:spacing w:before="240" w:after="240" w:line="276" w:lineRule="auto"/>
        <w:rPr>
          <w:rFonts w:ascii="Segoe UI" w:eastAsia="Segoe UI" w:hAnsi="Segoe UI" w:cs="Segoe UI"/>
          <w:color w:val="666666"/>
          <w:sz w:val="20"/>
          <w:szCs w:val="20"/>
        </w:rPr>
      </w:pPr>
    </w:p>
    <w:p w14:paraId="57AAD701" w14:textId="77777777" w:rsidR="00AC5D3E" w:rsidRDefault="00AC5D3E">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477" w:type="dxa"/>
        <w:tblLook w:val="04A0" w:firstRow="1" w:lastRow="0" w:firstColumn="1" w:lastColumn="0" w:noHBand="0" w:noVBand="1"/>
      </w:tblPr>
      <w:tblGrid>
        <w:gridCol w:w="5240"/>
        <w:gridCol w:w="1696"/>
        <w:gridCol w:w="341"/>
        <w:gridCol w:w="1200"/>
      </w:tblGrid>
      <w:tr w:rsidR="00AC5D3E" w:rsidRPr="00AC5D3E" w14:paraId="32AC150D" w14:textId="77777777" w:rsidTr="0066673E">
        <w:trPr>
          <w:trHeight w:val="308"/>
        </w:trPr>
        <w:tc>
          <w:tcPr>
            <w:tcW w:w="8477" w:type="dxa"/>
            <w:gridSpan w:val="4"/>
            <w:tcBorders>
              <w:top w:val="nil"/>
              <w:left w:val="nil"/>
              <w:bottom w:val="nil"/>
              <w:right w:val="nil"/>
            </w:tcBorders>
            <w:shd w:val="clear" w:color="auto" w:fill="auto"/>
            <w:noWrap/>
            <w:vAlign w:val="bottom"/>
            <w:hideMark/>
          </w:tcPr>
          <w:p w14:paraId="43EE93E2"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lastRenderedPageBreak/>
              <w:t>BALANCE SHEETS</w:t>
            </w:r>
          </w:p>
        </w:tc>
      </w:tr>
      <w:tr w:rsidR="00AC5D3E" w:rsidRPr="00AC5D3E" w14:paraId="20512B88" w14:textId="77777777" w:rsidTr="0066673E">
        <w:trPr>
          <w:trHeight w:val="308"/>
        </w:trPr>
        <w:tc>
          <w:tcPr>
            <w:tcW w:w="8477" w:type="dxa"/>
            <w:gridSpan w:val="4"/>
            <w:tcBorders>
              <w:top w:val="nil"/>
              <w:left w:val="nil"/>
              <w:bottom w:val="nil"/>
              <w:right w:val="nil"/>
            </w:tcBorders>
            <w:shd w:val="clear" w:color="auto" w:fill="auto"/>
            <w:noWrap/>
            <w:vAlign w:val="bottom"/>
            <w:hideMark/>
          </w:tcPr>
          <w:p w14:paraId="0EB0664C"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 millions)(Unaudited)</w:t>
            </w:r>
          </w:p>
        </w:tc>
      </w:tr>
      <w:tr w:rsidR="00AC5D3E" w:rsidRPr="00AC5D3E" w14:paraId="7D05EC53" w14:textId="77777777" w:rsidTr="0066673E">
        <w:trPr>
          <w:trHeight w:val="308"/>
        </w:trPr>
        <w:tc>
          <w:tcPr>
            <w:tcW w:w="5240" w:type="dxa"/>
            <w:tcBorders>
              <w:top w:val="nil"/>
              <w:left w:val="nil"/>
              <w:bottom w:val="nil"/>
              <w:right w:val="nil"/>
            </w:tcBorders>
            <w:shd w:val="clear" w:color="auto" w:fill="auto"/>
            <w:noWrap/>
            <w:vAlign w:val="bottom"/>
            <w:hideMark/>
          </w:tcPr>
          <w:p w14:paraId="64FFC38A"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p>
        </w:tc>
        <w:tc>
          <w:tcPr>
            <w:tcW w:w="1696" w:type="dxa"/>
            <w:tcBorders>
              <w:top w:val="nil"/>
              <w:left w:val="nil"/>
              <w:bottom w:val="nil"/>
              <w:right w:val="nil"/>
            </w:tcBorders>
            <w:shd w:val="clear" w:color="auto" w:fill="auto"/>
            <w:noWrap/>
            <w:vAlign w:val="bottom"/>
            <w:hideMark/>
          </w:tcPr>
          <w:p w14:paraId="42FD7BBF"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341" w:type="dxa"/>
            <w:tcBorders>
              <w:top w:val="nil"/>
              <w:left w:val="nil"/>
              <w:bottom w:val="nil"/>
              <w:right w:val="nil"/>
            </w:tcBorders>
            <w:shd w:val="clear" w:color="auto" w:fill="auto"/>
            <w:noWrap/>
            <w:vAlign w:val="bottom"/>
            <w:hideMark/>
          </w:tcPr>
          <w:p w14:paraId="11811679"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047C965" w14:textId="77777777" w:rsidR="00AC5D3E" w:rsidRPr="00AC5D3E" w:rsidRDefault="00AC5D3E" w:rsidP="00AC5D3E">
            <w:pPr>
              <w:spacing w:after="0" w:line="240" w:lineRule="auto"/>
              <w:jc w:val="center"/>
              <w:rPr>
                <w:rFonts w:ascii="Times New Roman" w:eastAsia="Times New Roman" w:hAnsi="Times New Roman"/>
                <w:sz w:val="20"/>
                <w:szCs w:val="20"/>
              </w:rPr>
            </w:pPr>
          </w:p>
        </w:tc>
      </w:tr>
      <w:tr w:rsidR="00AC5D3E" w:rsidRPr="00AC5D3E" w14:paraId="11BB99AB" w14:textId="77777777" w:rsidTr="0066673E">
        <w:trPr>
          <w:trHeight w:val="615"/>
        </w:trPr>
        <w:tc>
          <w:tcPr>
            <w:tcW w:w="5240" w:type="dxa"/>
            <w:tcBorders>
              <w:top w:val="nil"/>
              <w:left w:val="nil"/>
              <w:bottom w:val="single" w:sz="4" w:space="0" w:color="auto"/>
              <w:right w:val="nil"/>
            </w:tcBorders>
            <w:shd w:val="clear" w:color="auto" w:fill="auto"/>
            <w:noWrap/>
            <w:vAlign w:val="bottom"/>
            <w:hideMark/>
          </w:tcPr>
          <w:p w14:paraId="674814AD"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696" w:type="dxa"/>
            <w:tcBorders>
              <w:top w:val="nil"/>
              <w:left w:val="nil"/>
              <w:bottom w:val="single" w:sz="4" w:space="0" w:color="auto"/>
              <w:right w:val="nil"/>
            </w:tcBorders>
            <w:shd w:val="clear" w:color="auto" w:fill="auto"/>
            <w:vAlign w:val="bottom"/>
            <w:hideMark/>
          </w:tcPr>
          <w:p w14:paraId="534E19A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September 30,</w:t>
            </w:r>
            <w:r w:rsidRPr="00AC5D3E">
              <w:rPr>
                <w:rFonts w:ascii="Segoe UI" w:eastAsia="Times New Roman" w:hAnsi="Segoe UI" w:cs="Segoe UI"/>
                <w:b/>
                <w:bCs/>
                <w:color w:val="666666"/>
                <w:sz w:val="20"/>
                <w:szCs w:val="20"/>
              </w:rPr>
              <w:br/>
              <w:t>2018</w:t>
            </w:r>
          </w:p>
        </w:tc>
        <w:tc>
          <w:tcPr>
            <w:tcW w:w="341" w:type="dxa"/>
            <w:tcBorders>
              <w:top w:val="nil"/>
              <w:left w:val="nil"/>
              <w:bottom w:val="single" w:sz="4" w:space="0" w:color="auto"/>
              <w:right w:val="nil"/>
            </w:tcBorders>
            <w:shd w:val="clear" w:color="auto" w:fill="auto"/>
            <w:vAlign w:val="bottom"/>
            <w:hideMark/>
          </w:tcPr>
          <w:p w14:paraId="763BB9B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6C519B3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June 30, 2018</w:t>
            </w:r>
          </w:p>
        </w:tc>
      </w:tr>
      <w:tr w:rsidR="00AC5D3E" w:rsidRPr="00AC5D3E" w14:paraId="09EE9EF5" w14:textId="77777777" w:rsidTr="0066673E">
        <w:trPr>
          <w:trHeight w:val="308"/>
        </w:trPr>
        <w:tc>
          <w:tcPr>
            <w:tcW w:w="5240" w:type="dxa"/>
            <w:tcBorders>
              <w:top w:val="nil"/>
              <w:left w:val="nil"/>
              <w:bottom w:val="nil"/>
              <w:right w:val="nil"/>
            </w:tcBorders>
            <w:shd w:val="clear" w:color="auto" w:fill="auto"/>
            <w:noWrap/>
            <w:vAlign w:val="bottom"/>
            <w:hideMark/>
          </w:tcPr>
          <w:p w14:paraId="6502FA21"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Assets</w:t>
            </w:r>
          </w:p>
        </w:tc>
        <w:tc>
          <w:tcPr>
            <w:tcW w:w="1696" w:type="dxa"/>
            <w:tcBorders>
              <w:top w:val="nil"/>
              <w:left w:val="nil"/>
              <w:bottom w:val="nil"/>
              <w:right w:val="nil"/>
            </w:tcBorders>
            <w:shd w:val="clear" w:color="auto" w:fill="auto"/>
            <w:noWrap/>
            <w:vAlign w:val="bottom"/>
            <w:hideMark/>
          </w:tcPr>
          <w:p w14:paraId="3E42A8FE"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c>
          <w:tcPr>
            <w:tcW w:w="341" w:type="dxa"/>
            <w:tcBorders>
              <w:top w:val="nil"/>
              <w:left w:val="nil"/>
              <w:bottom w:val="nil"/>
              <w:right w:val="nil"/>
            </w:tcBorders>
            <w:shd w:val="clear" w:color="auto" w:fill="auto"/>
            <w:noWrap/>
            <w:vAlign w:val="bottom"/>
            <w:hideMark/>
          </w:tcPr>
          <w:p w14:paraId="1E59EC6C"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ACF9E08"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0A817E00" w14:textId="77777777" w:rsidTr="0066673E">
        <w:trPr>
          <w:trHeight w:val="308"/>
        </w:trPr>
        <w:tc>
          <w:tcPr>
            <w:tcW w:w="5240" w:type="dxa"/>
            <w:tcBorders>
              <w:top w:val="nil"/>
              <w:left w:val="nil"/>
              <w:bottom w:val="nil"/>
              <w:right w:val="nil"/>
            </w:tcBorders>
            <w:shd w:val="clear" w:color="auto" w:fill="auto"/>
            <w:noWrap/>
            <w:vAlign w:val="bottom"/>
            <w:hideMark/>
          </w:tcPr>
          <w:p w14:paraId="2254CED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Current assets:</w:t>
            </w:r>
          </w:p>
        </w:tc>
        <w:tc>
          <w:tcPr>
            <w:tcW w:w="1696" w:type="dxa"/>
            <w:tcBorders>
              <w:top w:val="nil"/>
              <w:left w:val="nil"/>
              <w:bottom w:val="nil"/>
              <w:right w:val="nil"/>
            </w:tcBorders>
            <w:shd w:val="clear" w:color="auto" w:fill="auto"/>
            <w:noWrap/>
            <w:vAlign w:val="bottom"/>
            <w:hideMark/>
          </w:tcPr>
          <w:p w14:paraId="2A8F9334"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341" w:type="dxa"/>
            <w:tcBorders>
              <w:top w:val="nil"/>
              <w:left w:val="nil"/>
              <w:bottom w:val="nil"/>
              <w:right w:val="nil"/>
            </w:tcBorders>
            <w:shd w:val="clear" w:color="auto" w:fill="auto"/>
            <w:noWrap/>
            <w:vAlign w:val="bottom"/>
            <w:hideMark/>
          </w:tcPr>
          <w:p w14:paraId="610EF2DA"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587818B"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6CF69646" w14:textId="77777777" w:rsidTr="0066673E">
        <w:trPr>
          <w:trHeight w:val="308"/>
        </w:trPr>
        <w:tc>
          <w:tcPr>
            <w:tcW w:w="5240" w:type="dxa"/>
            <w:tcBorders>
              <w:top w:val="nil"/>
              <w:left w:val="nil"/>
              <w:bottom w:val="nil"/>
              <w:right w:val="nil"/>
            </w:tcBorders>
            <w:shd w:val="clear" w:color="auto" w:fill="auto"/>
            <w:noWrap/>
            <w:vAlign w:val="bottom"/>
            <w:hideMark/>
          </w:tcPr>
          <w:p w14:paraId="24CB8AF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Cash and cash equivalents</w:t>
            </w:r>
          </w:p>
        </w:tc>
        <w:tc>
          <w:tcPr>
            <w:tcW w:w="1696" w:type="dxa"/>
            <w:tcBorders>
              <w:top w:val="nil"/>
              <w:left w:val="nil"/>
              <w:bottom w:val="nil"/>
              <w:right w:val="nil"/>
            </w:tcBorders>
            <w:shd w:val="clear" w:color="auto" w:fill="auto"/>
            <w:noWrap/>
            <w:vAlign w:val="bottom"/>
            <w:hideMark/>
          </w:tcPr>
          <w:p w14:paraId="2F9DD0D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$15,137 </w:t>
            </w:r>
          </w:p>
        </w:tc>
        <w:tc>
          <w:tcPr>
            <w:tcW w:w="341" w:type="dxa"/>
            <w:tcBorders>
              <w:top w:val="nil"/>
              <w:left w:val="nil"/>
              <w:bottom w:val="nil"/>
              <w:right w:val="nil"/>
            </w:tcBorders>
            <w:shd w:val="clear" w:color="auto" w:fill="auto"/>
            <w:noWrap/>
            <w:vAlign w:val="bottom"/>
            <w:hideMark/>
          </w:tcPr>
          <w:p w14:paraId="5462603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D10EA3A"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$11,946 </w:t>
            </w:r>
          </w:p>
        </w:tc>
      </w:tr>
      <w:tr w:rsidR="00AC5D3E" w:rsidRPr="00AC5D3E" w14:paraId="19B63FF7" w14:textId="77777777" w:rsidTr="0066673E">
        <w:trPr>
          <w:trHeight w:val="308"/>
        </w:trPr>
        <w:tc>
          <w:tcPr>
            <w:tcW w:w="5240" w:type="dxa"/>
            <w:tcBorders>
              <w:top w:val="nil"/>
              <w:left w:val="nil"/>
              <w:bottom w:val="single" w:sz="4" w:space="0" w:color="auto"/>
              <w:right w:val="nil"/>
            </w:tcBorders>
            <w:shd w:val="clear" w:color="auto" w:fill="auto"/>
            <w:vAlign w:val="bottom"/>
            <w:hideMark/>
          </w:tcPr>
          <w:p w14:paraId="4AEFE82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Short-term investments</w:t>
            </w:r>
          </w:p>
        </w:tc>
        <w:tc>
          <w:tcPr>
            <w:tcW w:w="1696" w:type="dxa"/>
            <w:tcBorders>
              <w:top w:val="nil"/>
              <w:left w:val="nil"/>
              <w:bottom w:val="single" w:sz="4" w:space="0" w:color="auto"/>
              <w:right w:val="nil"/>
            </w:tcBorders>
            <w:shd w:val="clear" w:color="auto" w:fill="auto"/>
            <w:noWrap/>
            <w:vAlign w:val="bottom"/>
            <w:hideMark/>
          </w:tcPr>
          <w:p w14:paraId="70A9E93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120,743 </w:t>
            </w:r>
          </w:p>
        </w:tc>
        <w:tc>
          <w:tcPr>
            <w:tcW w:w="341" w:type="dxa"/>
            <w:tcBorders>
              <w:top w:val="nil"/>
              <w:left w:val="nil"/>
              <w:bottom w:val="nil"/>
              <w:right w:val="nil"/>
            </w:tcBorders>
            <w:shd w:val="clear" w:color="auto" w:fill="auto"/>
            <w:noWrap/>
            <w:vAlign w:val="bottom"/>
            <w:hideMark/>
          </w:tcPr>
          <w:p w14:paraId="41650D5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CBEAB16"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121,822 </w:t>
            </w:r>
          </w:p>
        </w:tc>
      </w:tr>
      <w:tr w:rsidR="00AC5D3E" w:rsidRPr="00AC5D3E" w14:paraId="01751D48" w14:textId="77777777" w:rsidTr="0066673E">
        <w:trPr>
          <w:trHeight w:val="615"/>
        </w:trPr>
        <w:tc>
          <w:tcPr>
            <w:tcW w:w="5240" w:type="dxa"/>
            <w:tcBorders>
              <w:top w:val="nil"/>
              <w:left w:val="nil"/>
              <w:bottom w:val="nil"/>
              <w:right w:val="nil"/>
            </w:tcBorders>
            <w:shd w:val="clear" w:color="auto" w:fill="auto"/>
            <w:vAlign w:val="bottom"/>
            <w:hideMark/>
          </w:tcPr>
          <w:p w14:paraId="7FC0997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cash, cash equivalents, and short-term investments</w:t>
            </w:r>
          </w:p>
        </w:tc>
        <w:tc>
          <w:tcPr>
            <w:tcW w:w="1696" w:type="dxa"/>
            <w:tcBorders>
              <w:top w:val="nil"/>
              <w:left w:val="nil"/>
              <w:bottom w:val="nil"/>
              <w:right w:val="nil"/>
            </w:tcBorders>
            <w:shd w:val="clear" w:color="auto" w:fill="auto"/>
            <w:noWrap/>
            <w:vAlign w:val="bottom"/>
            <w:hideMark/>
          </w:tcPr>
          <w:p w14:paraId="1ACBF63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135,880 </w:t>
            </w:r>
          </w:p>
        </w:tc>
        <w:tc>
          <w:tcPr>
            <w:tcW w:w="341" w:type="dxa"/>
            <w:tcBorders>
              <w:top w:val="nil"/>
              <w:left w:val="nil"/>
              <w:bottom w:val="nil"/>
              <w:right w:val="nil"/>
            </w:tcBorders>
            <w:shd w:val="clear" w:color="auto" w:fill="auto"/>
            <w:noWrap/>
            <w:vAlign w:val="bottom"/>
            <w:hideMark/>
          </w:tcPr>
          <w:p w14:paraId="1DB19E9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21D849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133,768 </w:t>
            </w:r>
          </w:p>
        </w:tc>
      </w:tr>
      <w:tr w:rsidR="00AC5D3E" w:rsidRPr="00AC5D3E" w14:paraId="317DA989" w14:textId="77777777" w:rsidTr="0066673E">
        <w:trPr>
          <w:trHeight w:val="615"/>
        </w:trPr>
        <w:tc>
          <w:tcPr>
            <w:tcW w:w="5240" w:type="dxa"/>
            <w:tcBorders>
              <w:top w:val="nil"/>
              <w:left w:val="nil"/>
              <w:bottom w:val="nil"/>
              <w:right w:val="nil"/>
            </w:tcBorders>
            <w:shd w:val="clear" w:color="auto" w:fill="auto"/>
            <w:vAlign w:val="bottom"/>
            <w:hideMark/>
          </w:tcPr>
          <w:p w14:paraId="04F10703"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Accounts receivable, net of allowance for doubtful</w:t>
            </w:r>
            <w:r w:rsidRPr="00AC5D3E">
              <w:rPr>
                <w:rFonts w:ascii="Segoe UI" w:eastAsia="Times New Roman" w:hAnsi="Segoe UI" w:cs="Segoe UI"/>
                <w:color w:val="666666"/>
                <w:sz w:val="20"/>
                <w:szCs w:val="20"/>
              </w:rPr>
              <w:br/>
              <w:t xml:space="preserve">      accounts of </w:t>
            </w:r>
            <w:r w:rsidRPr="00AC5D3E">
              <w:rPr>
                <w:rFonts w:ascii="Segoe UI" w:eastAsia="Times New Roman" w:hAnsi="Segoe UI" w:cs="Segoe UI"/>
                <w:b/>
                <w:bCs/>
                <w:color w:val="666666"/>
                <w:sz w:val="20"/>
                <w:szCs w:val="20"/>
              </w:rPr>
              <w:t>$319</w:t>
            </w:r>
            <w:r w:rsidRPr="00AC5D3E">
              <w:rPr>
                <w:rFonts w:ascii="Segoe UI" w:eastAsia="Times New Roman" w:hAnsi="Segoe UI" w:cs="Segoe UI"/>
                <w:color w:val="666666"/>
                <w:sz w:val="20"/>
                <w:szCs w:val="20"/>
              </w:rPr>
              <w:t xml:space="preserve"> and $377</w:t>
            </w:r>
          </w:p>
        </w:tc>
        <w:tc>
          <w:tcPr>
            <w:tcW w:w="1696" w:type="dxa"/>
            <w:tcBorders>
              <w:top w:val="nil"/>
              <w:left w:val="nil"/>
              <w:bottom w:val="nil"/>
              <w:right w:val="nil"/>
            </w:tcBorders>
            <w:shd w:val="clear" w:color="auto" w:fill="auto"/>
            <w:noWrap/>
            <w:vAlign w:val="bottom"/>
            <w:hideMark/>
          </w:tcPr>
          <w:p w14:paraId="2DA6A5E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17,390 </w:t>
            </w:r>
          </w:p>
        </w:tc>
        <w:tc>
          <w:tcPr>
            <w:tcW w:w="341" w:type="dxa"/>
            <w:tcBorders>
              <w:top w:val="nil"/>
              <w:left w:val="nil"/>
              <w:bottom w:val="nil"/>
              <w:right w:val="nil"/>
            </w:tcBorders>
            <w:shd w:val="clear" w:color="auto" w:fill="auto"/>
            <w:noWrap/>
            <w:vAlign w:val="bottom"/>
            <w:hideMark/>
          </w:tcPr>
          <w:p w14:paraId="6D36790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DCD8BE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26,481 </w:t>
            </w:r>
          </w:p>
        </w:tc>
      </w:tr>
      <w:tr w:rsidR="00AC5D3E" w:rsidRPr="00AC5D3E" w14:paraId="363A7560" w14:textId="77777777" w:rsidTr="0066673E">
        <w:trPr>
          <w:trHeight w:val="308"/>
        </w:trPr>
        <w:tc>
          <w:tcPr>
            <w:tcW w:w="5240" w:type="dxa"/>
            <w:tcBorders>
              <w:top w:val="nil"/>
              <w:left w:val="nil"/>
              <w:bottom w:val="nil"/>
              <w:right w:val="nil"/>
            </w:tcBorders>
            <w:shd w:val="clear" w:color="auto" w:fill="auto"/>
            <w:noWrap/>
            <w:vAlign w:val="bottom"/>
            <w:hideMark/>
          </w:tcPr>
          <w:p w14:paraId="3CDDCD9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Inventories</w:t>
            </w:r>
          </w:p>
        </w:tc>
        <w:tc>
          <w:tcPr>
            <w:tcW w:w="1696" w:type="dxa"/>
            <w:tcBorders>
              <w:top w:val="nil"/>
              <w:left w:val="nil"/>
              <w:bottom w:val="nil"/>
              <w:right w:val="nil"/>
            </w:tcBorders>
            <w:shd w:val="clear" w:color="auto" w:fill="auto"/>
            <w:noWrap/>
            <w:vAlign w:val="bottom"/>
            <w:hideMark/>
          </w:tcPr>
          <w:p w14:paraId="2424745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3,614 </w:t>
            </w:r>
          </w:p>
        </w:tc>
        <w:tc>
          <w:tcPr>
            <w:tcW w:w="341" w:type="dxa"/>
            <w:tcBorders>
              <w:top w:val="nil"/>
              <w:left w:val="nil"/>
              <w:bottom w:val="nil"/>
              <w:right w:val="nil"/>
            </w:tcBorders>
            <w:shd w:val="clear" w:color="auto" w:fill="auto"/>
            <w:noWrap/>
            <w:vAlign w:val="bottom"/>
            <w:hideMark/>
          </w:tcPr>
          <w:p w14:paraId="258F213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EF91F8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2,662 </w:t>
            </w:r>
          </w:p>
        </w:tc>
      </w:tr>
      <w:tr w:rsidR="00AC5D3E" w:rsidRPr="00AC5D3E" w14:paraId="316F0AD8" w14:textId="77777777" w:rsidTr="0066673E">
        <w:trPr>
          <w:trHeight w:val="308"/>
        </w:trPr>
        <w:tc>
          <w:tcPr>
            <w:tcW w:w="5240" w:type="dxa"/>
            <w:tcBorders>
              <w:top w:val="nil"/>
              <w:left w:val="nil"/>
              <w:bottom w:val="single" w:sz="4" w:space="0" w:color="auto"/>
              <w:right w:val="nil"/>
            </w:tcBorders>
            <w:shd w:val="clear" w:color="auto" w:fill="auto"/>
            <w:noWrap/>
            <w:vAlign w:val="center"/>
            <w:hideMark/>
          </w:tcPr>
          <w:p w14:paraId="7BB5B1B9"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Other</w:t>
            </w:r>
          </w:p>
        </w:tc>
        <w:tc>
          <w:tcPr>
            <w:tcW w:w="1696" w:type="dxa"/>
            <w:tcBorders>
              <w:top w:val="nil"/>
              <w:left w:val="nil"/>
              <w:bottom w:val="single" w:sz="4" w:space="0" w:color="auto"/>
              <w:right w:val="nil"/>
            </w:tcBorders>
            <w:shd w:val="clear" w:color="auto" w:fill="auto"/>
            <w:noWrap/>
            <w:vAlign w:val="bottom"/>
            <w:hideMark/>
          </w:tcPr>
          <w:p w14:paraId="046FFBD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7,311 </w:t>
            </w:r>
          </w:p>
        </w:tc>
        <w:tc>
          <w:tcPr>
            <w:tcW w:w="341" w:type="dxa"/>
            <w:tcBorders>
              <w:top w:val="nil"/>
              <w:left w:val="nil"/>
              <w:bottom w:val="nil"/>
              <w:right w:val="nil"/>
            </w:tcBorders>
            <w:shd w:val="clear" w:color="auto" w:fill="auto"/>
            <w:noWrap/>
            <w:vAlign w:val="bottom"/>
            <w:hideMark/>
          </w:tcPr>
          <w:p w14:paraId="571D6E3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F19877A"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6,751 </w:t>
            </w:r>
          </w:p>
        </w:tc>
      </w:tr>
      <w:tr w:rsidR="00AC5D3E" w:rsidRPr="00AC5D3E" w14:paraId="5A62EC8D" w14:textId="77777777" w:rsidTr="0066673E">
        <w:trPr>
          <w:trHeight w:val="308"/>
        </w:trPr>
        <w:tc>
          <w:tcPr>
            <w:tcW w:w="5240" w:type="dxa"/>
            <w:tcBorders>
              <w:top w:val="nil"/>
              <w:left w:val="nil"/>
              <w:bottom w:val="nil"/>
              <w:right w:val="nil"/>
            </w:tcBorders>
            <w:shd w:val="clear" w:color="auto" w:fill="auto"/>
            <w:noWrap/>
            <w:vAlign w:val="bottom"/>
            <w:hideMark/>
          </w:tcPr>
          <w:p w14:paraId="0BFFCACD"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current assets</w:t>
            </w:r>
          </w:p>
        </w:tc>
        <w:tc>
          <w:tcPr>
            <w:tcW w:w="1696" w:type="dxa"/>
            <w:tcBorders>
              <w:top w:val="nil"/>
              <w:left w:val="nil"/>
              <w:bottom w:val="nil"/>
              <w:right w:val="nil"/>
            </w:tcBorders>
            <w:shd w:val="clear" w:color="auto" w:fill="auto"/>
            <w:noWrap/>
            <w:vAlign w:val="bottom"/>
            <w:hideMark/>
          </w:tcPr>
          <w:p w14:paraId="6F13D52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164,195 </w:t>
            </w:r>
          </w:p>
        </w:tc>
        <w:tc>
          <w:tcPr>
            <w:tcW w:w="341" w:type="dxa"/>
            <w:tcBorders>
              <w:top w:val="nil"/>
              <w:left w:val="nil"/>
              <w:bottom w:val="nil"/>
              <w:right w:val="nil"/>
            </w:tcBorders>
            <w:shd w:val="clear" w:color="auto" w:fill="auto"/>
            <w:noWrap/>
            <w:vAlign w:val="bottom"/>
            <w:hideMark/>
          </w:tcPr>
          <w:p w14:paraId="66E4A88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D225D51"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169,662 </w:t>
            </w:r>
          </w:p>
        </w:tc>
      </w:tr>
      <w:tr w:rsidR="00AC5D3E" w:rsidRPr="00AC5D3E" w14:paraId="2C00ADE3" w14:textId="77777777" w:rsidTr="0066673E">
        <w:trPr>
          <w:trHeight w:val="615"/>
        </w:trPr>
        <w:tc>
          <w:tcPr>
            <w:tcW w:w="5240" w:type="dxa"/>
            <w:tcBorders>
              <w:top w:val="nil"/>
              <w:left w:val="nil"/>
              <w:bottom w:val="nil"/>
              <w:right w:val="nil"/>
            </w:tcBorders>
            <w:shd w:val="clear" w:color="auto" w:fill="auto"/>
            <w:vAlign w:val="bottom"/>
            <w:hideMark/>
          </w:tcPr>
          <w:p w14:paraId="2019CE71"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Property and equipment, net of accumulated</w:t>
            </w:r>
            <w:r w:rsidRPr="00AC5D3E">
              <w:rPr>
                <w:rFonts w:ascii="Segoe UI" w:eastAsia="Times New Roman" w:hAnsi="Segoe UI" w:cs="Segoe UI"/>
                <w:color w:val="666666"/>
                <w:sz w:val="20"/>
                <w:szCs w:val="20"/>
              </w:rPr>
              <w:br/>
              <w:t xml:space="preserve">   depreciation of </w:t>
            </w:r>
            <w:r w:rsidRPr="00AC5D3E">
              <w:rPr>
                <w:rFonts w:ascii="Segoe UI" w:eastAsia="Times New Roman" w:hAnsi="Segoe UI" w:cs="Segoe UI"/>
                <w:b/>
                <w:bCs/>
                <w:color w:val="666666"/>
                <w:sz w:val="20"/>
                <w:szCs w:val="20"/>
              </w:rPr>
              <w:t>$30,953</w:t>
            </w:r>
            <w:r w:rsidRPr="00AC5D3E">
              <w:rPr>
                <w:rFonts w:ascii="Segoe UI" w:eastAsia="Times New Roman" w:hAnsi="Segoe UI" w:cs="Segoe UI"/>
                <w:color w:val="666666"/>
                <w:sz w:val="20"/>
                <w:szCs w:val="20"/>
              </w:rPr>
              <w:t xml:space="preserve"> and $29,223</w:t>
            </w:r>
          </w:p>
        </w:tc>
        <w:tc>
          <w:tcPr>
            <w:tcW w:w="1696" w:type="dxa"/>
            <w:tcBorders>
              <w:top w:val="nil"/>
              <w:left w:val="nil"/>
              <w:bottom w:val="nil"/>
              <w:right w:val="nil"/>
            </w:tcBorders>
            <w:shd w:val="clear" w:color="auto" w:fill="auto"/>
            <w:noWrap/>
            <w:vAlign w:val="bottom"/>
            <w:hideMark/>
          </w:tcPr>
          <w:p w14:paraId="19118A2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31,430 </w:t>
            </w:r>
          </w:p>
        </w:tc>
        <w:tc>
          <w:tcPr>
            <w:tcW w:w="341" w:type="dxa"/>
            <w:tcBorders>
              <w:top w:val="nil"/>
              <w:left w:val="nil"/>
              <w:bottom w:val="nil"/>
              <w:right w:val="nil"/>
            </w:tcBorders>
            <w:shd w:val="clear" w:color="auto" w:fill="auto"/>
            <w:noWrap/>
            <w:vAlign w:val="bottom"/>
            <w:hideMark/>
          </w:tcPr>
          <w:p w14:paraId="50ED265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4E40E2D"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29,460 </w:t>
            </w:r>
          </w:p>
        </w:tc>
      </w:tr>
      <w:tr w:rsidR="00AC5D3E" w:rsidRPr="00AC5D3E" w14:paraId="0CEF6BE5" w14:textId="77777777" w:rsidTr="0066673E">
        <w:trPr>
          <w:trHeight w:val="308"/>
        </w:trPr>
        <w:tc>
          <w:tcPr>
            <w:tcW w:w="5240" w:type="dxa"/>
            <w:tcBorders>
              <w:top w:val="nil"/>
              <w:left w:val="nil"/>
              <w:bottom w:val="nil"/>
              <w:right w:val="nil"/>
            </w:tcBorders>
            <w:shd w:val="clear" w:color="auto" w:fill="auto"/>
            <w:vAlign w:val="bottom"/>
            <w:hideMark/>
          </w:tcPr>
          <w:p w14:paraId="311BB9A1"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Operating lease right-of-use assets</w:t>
            </w:r>
          </w:p>
        </w:tc>
        <w:tc>
          <w:tcPr>
            <w:tcW w:w="1696" w:type="dxa"/>
            <w:tcBorders>
              <w:top w:val="nil"/>
              <w:left w:val="nil"/>
              <w:bottom w:val="nil"/>
              <w:right w:val="nil"/>
            </w:tcBorders>
            <w:shd w:val="clear" w:color="auto" w:fill="auto"/>
            <w:noWrap/>
            <w:vAlign w:val="bottom"/>
            <w:hideMark/>
          </w:tcPr>
          <w:p w14:paraId="0FAD190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6,734 </w:t>
            </w:r>
          </w:p>
        </w:tc>
        <w:tc>
          <w:tcPr>
            <w:tcW w:w="341" w:type="dxa"/>
            <w:tcBorders>
              <w:top w:val="nil"/>
              <w:left w:val="nil"/>
              <w:bottom w:val="nil"/>
              <w:right w:val="nil"/>
            </w:tcBorders>
            <w:shd w:val="clear" w:color="auto" w:fill="auto"/>
            <w:noWrap/>
            <w:vAlign w:val="bottom"/>
            <w:hideMark/>
          </w:tcPr>
          <w:p w14:paraId="7EA4E1B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674766A"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6,686 </w:t>
            </w:r>
          </w:p>
        </w:tc>
      </w:tr>
      <w:tr w:rsidR="00AC5D3E" w:rsidRPr="00AC5D3E" w14:paraId="765B2B67" w14:textId="77777777" w:rsidTr="0066673E">
        <w:trPr>
          <w:trHeight w:val="308"/>
        </w:trPr>
        <w:tc>
          <w:tcPr>
            <w:tcW w:w="5240" w:type="dxa"/>
            <w:tcBorders>
              <w:top w:val="nil"/>
              <w:left w:val="nil"/>
              <w:bottom w:val="nil"/>
              <w:right w:val="nil"/>
            </w:tcBorders>
            <w:shd w:val="clear" w:color="auto" w:fill="auto"/>
            <w:noWrap/>
            <w:vAlign w:val="bottom"/>
            <w:hideMark/>
          </w:tcPr>
          <w:p w14:paraId="580AEA2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Equity investments</w:t>
            </w:r>
          </w:p>
        </w:tc>
        <w:tc>
          <w:tcPr>
            <w:tcW w:w="1696" w:type="dxa"/>
            <w:tcBorders>
              <w:top w:val="nil"/>
              <w:left w:val="nil"/>
              <w:bottom w:val="nil"/>
              <w:right w:val="nil"/>
            </w:tcBorders>
            <w:shd w:val="clear" w:color="auto" w:fill="auto"/>
            <w:noWrap/>
            <w:vAlign w:val="bottom"/>
            <w:hideMark/>
          </w:tcPr>
          <w:p w14:paraId="35C6FD8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2,034 </w:t>
            </w:r>
          </w:p>
        </w:tc>
        <w:tc>
          <w:tcPr>
            <w:tcW w:w="341" w:type="dxa"/>
            <w:tcBorders>
              <w:top w:val="nil"/>
              <w:left w:val="nil"/>
              <w:bottom w:val="nil"/>
              <w:right w:val="nil"/>
            </w:tcBorders>
            <w:shd w:val="clear" w:color="auto" w:fill="auto"/>
            <w:noWrap/>
            <w:vAlign w:val="bottom"/>
            <w:hideMark/>
          </w:tcPr>
          <w:p w14:paraId="2DF989A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9218794"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1,862 </w:t>
            </w:r>
          </w:p>
        </w:tc>
      </w:tr>
      <w:tr w:rsidR="00AC5D3E" w:rsidRPr="00AC5D3E" w14:paraId="7134D4BC" w14:textId="77777777" w:rsidTr="0066673E">
        <w:trPr>
          <w:trHeight w:val="308"/>
        </w:trPr>
        <w:tc>
          <w:tcPr>
            <w:tcW w:w="5240" w:type="dxa"/>
            <w:tcBorders>
              <w:top w:val="nil"/>
              <w:left w:val="nil"/>
              <w:bottom w:val="nil"/>
              <w:right w:val="nil"/>
            </w:tcBorders>
            <w:shd w:val="clear" w:color="auto" w:fill="auto"/>
            <w:noWrap/>
            <w:vAlign w:val="bottom"/>
            <w:hideMark/>
          </w:tcPr>
          <w:p w14:paraId="229D0B2D"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Goodwill</w:t>
            </w:r>
          </w:p>
        </w:tc>
        <w:tc>
          <w:tcPr>
            <w:tcW w:w="1696" w:type="dxa"/>
            <w:tcBorders>
              <w:top w:val="nil"/>
              <w:left w:val="nil"/>
              <w:bottom w:val="nil"/>
              <w:right w:val="nil"/>
            </w:tcBorders>
            <w:shd w:val="clear" w:color="auto" w:fill="auto"/>
            <w:noWrap/>
            <w:vAlign w:val="bottom"/>
            <w:hideMark/>
          </w:tcPr>
          <w:p w14:paraId="7DC2817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35,855 </w:t>
            </w:r>
          </w:p>
        </w:tc>
        <w:tc>
          <w:tcPr>
            <w:tcW w:w="341" w:type="dxa"/>
            <w:tcBorders>
              <w:top w:val="nil"/>
              <w:left w:val="nil"/>
              <w:bottom w:val="nil"/>
              <w:right w:val="nil"/>
            </w:tcBorders>
            <w:shd w:val="clear" w:color="auto" w:fill="auto"/>
            <w:noWrap/>
            <w:vAlign w:val="bottom"/>
            <w:hideMark/>
          </w:tcPr>
          <w:p w14:paraId="29ED439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E47BD46"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35,683 </w:t>
            </w:r>
          </w:p>
        </w:tc>
      </w:tr>
      <w:tr w:rsidR="00AC5D3E" w:rsidRPr="00AC5D3E" w14:paraId="7EBC5884" w14:textId="77777777" w:rsidTr="0066673E">
        <w:trPr>
          <w:trHeight w:val="308"/>
        </w:trPr>
        <w:tc>
          <w:tcPr>
            <w:tcW w:w="5240" w:type="dxa"/>
            <w:tcBorders>
              <w:top w:val="nil"/>
              <w:left w:val="nil"/>
              <w:bottom w:val="nil"/>
              <w:right w:val="nil"/>
            </w:tcBorders>
            <w:shd w:val="clear" w:color="auto" w:fill="auto"/>
            <w:noWrap/>
            <w:vAlign w:val="bottom"/>
            <w:hideMark/>
          </w:tcPr>
          <w:p w14:paraId="12D213E1"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Intangible assets, net</w:t>
            </w:r>
          </w:p>
        </w:tc>
        <w:tc>
          <w:tcPr>
            <w:tcW w:w="1696" w:type="dxa"/>
            <w:tcBorders>
              <w:top w:val="nil"/>
              <w:left w:val="nil"/>
              <w:bottom w:val="nil"/>
              <w:right w:val="nil"/>
            </w:tcBorders>
            <w:shd w:val="clear" w:color="auto" w:fill="auto"/>
            <w:noWrap/>
            <w:vAlign w:val="bottom"/>
            <w:hideMark/>
          </w:tcPr>
          <w:p w14:paraId="205161A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7,579 </w:t>
            </w:r>
          </w:p>
        </w:tc>
        <w:tc>
          <w:tcPr>
            <w:tcW w:w="341" w:type="dxa"/>
            <w:tcBorders>
              <w:top w:val="nil"/>
              <w:left w:val="nil"/>
              <w:bottom w:val="nil"/>
              <w:right w:val="nil"/>
            </w:tcBorders>
            <w:shd w:val="clear" w:color="auto" w:fill="auto"/>
            <w:noWrap/>
            <w:vAlign w:val="bottom"/>
            <w:hideMark/>
          </w:tcPr>
          <w:p w14:paraId="6D1BFF0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612EA88"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8,053 </w:t>
            </w:r>
          </w:p>
        </w:tc>
      </w:tr>
      <w:tr w:rsidR="00AC5D3E" w:rsidRPr="00AC5D3E" w14:paraId="066CAEC2" w14:textId="77777777" w:rsidTr="0066673E">
        <w:trPr>
          <w:trHeight w:val="308"/>
        </w:trPr>
        <w:tc>
          <w:tcPr>
            <w:tcW w:w="5240" w:type="dxa"/>
            <w:tcBorders>
              <w:top w:val="nil"/>
              <w:left w:val="nil"/>
              <w:bottom w:val="single" w:sz="4" w:space="0" w:color="auto"/>
              <w:right w:val="nil"/>
            </w:tcBorders>
            <w:shd w:val="clear" w:color="auto" w:fill="auto"/>
            <w:noWrap/>
            <w:vAlign w:val="bottom"/>
            <w:hideMark/>
          </w:tcPr>
          <w:p w14:paraId="1A9CBC7D"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Other long-term assets</w:t>
            </w:r>
          </w:p>
        </w:tc>
        <w:tc>
          <w:tcPr>
            <w:tcW w:w="1696" w:type="dxa"/>
            <w:tcBorders>
              <w:top w:val="nil"/>
              <w:left w:val="nil"/>
              <w:bottom w:val="single" w:sz="4" w:space="0" w:color="auto"/>
              <w:right w:val="nil"/>
            </w:tcBorders>
            <w:shd w:val="clear" w:color="auto" w:fill="auto"/>
            <w:noWrap/>
            <w:vAlign w:val="bottom"/>
            <w:hideMark/>
          </w:tcPr>
          <w:p w14:paraId="09F7B6B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9,792 </w:t>
            </w:r>
          </w:p>
        </w:tc>
        <w:tc>
          <w:tcPr>
            <w:tcW w:w="341" w:type="dxa"/>
            <w:tcBorders>
              <w:top w:val="nil"/>
              <w:left w:val="nil"/>
              <w:bottom w:val="nil"/>
              <w:right w:val="nil"/>
            </w:tcBorders>
            <w:shd w:val="clear" w:color="auto" w:fill="auto"/>
            <w:noWrap/>
            <w:vAlign w:val="bottom"/>
            <w:hideMark/>
          </w:tcPr>
          <w:p w14:paraId="7F286F6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D45B63A"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7,442 </w:t>
            </w:r>
          </w:p>
        </w:tc>
      </w:tr>
      <w:tr w:rsidR="00AC5D3E" w:rsidRPr="00AC5D3E" w14:paraId="2285D37E" w14:textId="77777777" w:rsidTr="0066673E">
        <w:trPr>
          <w:trHeight w:val="315"/>
        </w:trPr>
        <w:tc>
          <w:tcPr>
            <w:tcW w:w="5240" w:type="dxa"/>
            <w:tcBorders>
              <w:top w:val="nil"/>
              <w:left w:val="nil"/>
              <w:bottom w:val="nil"/>
              <w:right w:val="nil"/>
            </w:tcBorders>
            <w:shd w:val="clear" w:color="auto" w:fill="auto"/>
            <w:noWrap/>
            <w:vAlign w:val="bottom"/>
            <w:hideMark/>
          </w:tcPr>
          <w:p w14:paraId="1278FA3B" w14:textId="77777777" w:rsidR="00AC5D3E" w:rsidRPr="00AC5D3E" w:rsidRDefault="00AC5D3E" w:rsidP="00AC5D3E">
            <w:pPr>
              <w:spacing w:after="0" w:line="240" w:lineRule="auto"/>
              <w:ind w:firstLineChars="100" w:firstLine="200"/>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assets</w:t>
            </w:r>
          </w:p>
        </w:tc>
        <w:tc>
          <w:tcPr>
            <w:tcW w:w="1696" w:type="dxa"/>
            <w:tcBorders>
              <w:top w:val="nil"/>
              <w:left w:val="nil"/>
              <w:bottom w:val="single" w:sz="8" w:space="0" w:color="auto"/>
              <w:right w:val="nil"/>
            </w:tcBorders>
            <w:shd w:val="clear" w:color="auto" w:fill="auto"/>
            <w:noWrap/>
            <w:vAlign w:val="bottom"/>
            <w:hideMark/>
          </w:tcPr>
          <w:p w14:paraId="4624744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$257,619 </w:t>
            </w:r>
          </w:p>
        </w:tc>
        <w:tc>
          <w:tcPr>
            <w:tcW w:w="341" w:type="dxa"/>
            <w:tcBorders>
              <w:top w:val="nil"/>
              <w:left w:val="nil"/>
              <w:bottom w:val="nil"/>
              <w:right w:val="nil"/>
            </w:tcBorders>
            <w:shd w:val="clear" w:color="auto" w:fill="auto"/>
            <w:noWrap/>
            <w:vAlign w:val="bottom"/>
            <w:hideMark/>
          </w:tcPr>
          <w:p w14:paraId="7F8DFFF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05A192B5"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$258,848 </w:t>
            </w:r>
          </w:p>
        </w:tc>
      </w:tr>
      <w:tr w:rsidR="00AC5D3E" w:rsidRPr="00AC5D3E" w14:paraId="3A6276F5" w14:textId="77777777" w:rsidTr="0066673E">
        <w:trPr>
          <w:trHeight w:val="308"/>
        </w:trPr>
        <w:tc>
          <w:tcPr>
            <w:tcW w:w="5240" w:type="dxa"/>
            <w:tcBorders>
              <w:top w:val="nil"/>
              <w:left w:val="nil"/>
              <w:bottom w:val="nil"/>
              <w:right w:val="nil"/>
            </w:tcBorders>
            <w:shd w:val="clear" w:color="auto" w:fill="auto"/>
            <w:noWrap/>
            <w:vAlign w:val="bottom"/>
            <w:hideMark/>
          </w:tcPr>
          <w:p w14:paraId="030F42EC"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Liabilities and stockholders' equity</w:t>
            </w:r>
          </w:p>
        </w:tc>
        <w:tc>
          <w:tcPr>
            <w:tcW w:w="1696" w:type="dxa"/>
            <w:tcBorders>
              <w:top w:val="nil"/>
              <w:left w:val="nil"/>
              <w:bottom w:val="nil"/>
              <w:right w:val="nil"/>
            </w:tcBorders>
            <w:shd w:val="clear" w:color="auto" w:fill="auto"/>
            <w:noWrap/>
            <w:vAlign w:val="bottom"/>
            <w:hideMark/>
          </w:tcPr>
          <w:p w14:paraId="7B870969"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c>
          <w:tcPr>
            <w:tcW w:w="341" w:type="dxa"/>
            <w:tcBorders>
              <w:top w:val="nil"/>
              <w:left w:val="nil"/>
              <w:bottom w:val="nil"/>
              <w:right w:val="nil"/>
            </w:tcBorders>
            <w:shd w:val="clear" w:color="auto" w:fill="auto"/>
            <w:noWrap/>
            <w:vAlign w:val="bottom"/>
            <w:hideMark/>
          </w:tcPr>
          <w:p w14:paraId="0680EB66"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AD361FA"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2802D998" w14:textId="77777777" w:rsidTr="0066673E">
        <w:trPr>
          <w:trHeight w:val="308"/>
        </w:trPr>
        <w:tc>
          <w:tcPr>
            <w:tcW w:w="5240" w:type="dxa"/>
            <w:tcBorders>
              <w:top w:val="nil"/>
              <w:left w:val="nil"/>
              <w:bottom w:val="nil"/>
              <w:right w:val="nil"/>
            </w:tcBorders>
            <w:shd w:val="clear" w:color="auto" w:fill="auto"/>
            <w:noWrap/>
            <w:vAlign w:val="bottom"/>
            <w:hideMark/>
          </w:tcPr>
          <w:p w14:paraId="6E7A654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Current liabilities:</w:t>
            </w:r>
          </w:p>
        </w:tc>
        <w:tc>
          <w:tcPr>
            <w:tcW w:w="1696" w:type="dxa"/>
            <w:tcBorders>
              <w:top w:val="nil"/>
              <w:left w:val="nil"/>
              <w:bottom w:val="nil"/>
              <w:right w:val="nil"/>
            </w:tcBorders>
            <w:shd w:val="clear" w:color="auto" w:fill="auto"/>
            <w:noWrap/>
            <w:vAlign w:val="bottom"/>
            <w:hideMark/>
          </w:tcPr>
          <w:p w14:paraId="688B36B1"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341" w:type="dxa"/>
            <w:tcBorders>
              <w:top w:val="nil"/>
              <w:left w:val="nil"/>
              <w:bottom w:val="nil"/>
              <w:right w:val="nil"/>
            </w:tcBorders>
            <w:shd w:val="clear" w:color="auto" w:fill="auto"/>
            <w:noWrap/>
            <w:vAlign w:val="bottom"/>
            <w:hideMark/>
          </w:tcPr>
          <w:p w14:paraId="3FBE1A9D"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B0FCB9A"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7DD8A881" w14:textId="77777777" w:rsidTr="0066673E">
        <w:trPr>
          <w:trHeight w:val="308"/>
        </w:trPr>
        <w:tc>
          <w:tcPr>
            <w:tcW w:w="5240" w:type="dxa"/>
            <w:tcBorders>
              <w:top w:val="nil"/>
              <w:left w:val="nil"/>
              <w:bottom w:val="nil"/>
              <w:right w:val="nil"/>
            </w:tcBorders>
            <w:shd w:val="clear" w:color="auto" w:fill="auto"/>
            <w:noWrap/>
            <w:vAlign w:val="bottom"/>
            <w:hideMark/>
          </w:tcPr>
          <w:p w14:paraId="10625F6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Accounts payable</w:t>
            </w:r>
          </w:p>
        </w:tc>
        <w:tc>
          <w:tcPr>
            <w:tcW w:w="1696" w:type="dxa"/>
            <w:tcBorders>
              <w:top w:val="nil"/>
              <w:left w:val="nil"/>
              <w:bottom w:val="nil"/>
              <w:right w:val="nil"/>
            </w:tcBorders>
            <w:shd w:val="clear" w:color="auto" w:fill="auto"/>
            <w:noWrap/>
            <w:vAlign w:val="bottom"/>
            <w:hideMark/>
          </w:tcPr>
          <w:p w14:paraId="28F3D62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$8,511 </w:t>
            </w:r>
          </w:p>
        </w:tc>
        <w:tc>
          <w:tcPr>
            <w:tcW w:w="341" w:type="dxa"/>
            <w:tcBorders>
              <w:top w:val="nil"/>
              <w:left w:val="nil"/>
              <w:bottom w:val="nil"/>
              <w:right w:val="nil"/>
            </w:tcBorders>
            <w:shd w:val="clear" w:color="auto" w:fill="auto"/>
            <w:noWrap/>
            <w:vAlign w:val="bottom"/>
            <w:hideMark/>
          </w:tcPr>
          <w:p w14:paraId="2D6C66A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2ABA4A9"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$8,617 </w:t>
            </w:r>
          </w:p>
        </w:tc>
      </w:tr>
      <w:tr w:rsidR="00AC5D3E" w:rsidRPr="00AC5D3E" w14:paraId="3A2B1478" w14:textId="77777777" w:rsidTr="0066673E">
        <w:trPr>
          <w:trHeight w:val="308"/>
        </w:trPr>
        <w:tc>
          <w:tcPr>
            <w:tcW w:w="5240" w:type="dxa"/>
            <w:tcBorders>
              <w:top w:val="nil"/>
              <w:left w:val="nil"/>
              <w:bottom w:val="nil"/>
              <w:right w:val="nil"/>
            </w:tcBorders>
            <w:shd w:val="clear" w:color="auto" w:fill="auto"/>
            <w:noWrap/>
            <w:vAlign w:val="bottom"/>
            <w:hideMark/>
          </w:tcPr>
          <w:p w14:paraId="7BC5572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Current portion of long-term debt</w:t>
            </w:r>
          </w:p>
        </w:tc>
        <w:tc>
          <w:tcPr>
            <w:tcW w:w="1696" w:type="dxa"/>
            <w:tcBorders>
              <w:top w:val="nil"/>
              <w:left w:val="nil"/>
              <w:bottom w:val="nil"/>
              <w:right w:val="nil"/>
            </w:tcBorders>
            <w:shd w:val="clear" w:color="auto" w:fill="auto"/>
            <w:noWrap/>
            <w:vAlign w:val="bottom"/>
            <w:hideMark/>
          </w:tcPr>
          <w:p w14:paraId="5CAD111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6,497 </w:t>
            </w:r>
          </w:p>
        </w:tc>
        <w:tc>
          <w:tcPr>
            <w:tcW w:w="341" w:type="dxa"/>
            <w:tcBorders>
              <w:top w:val="nil"/>
              <w:left w:val="nil"/>
              <w:bottom w:val="nil"/>
              <w:right w:val="nil"/>
            </w:tcBorders>
            <w:shd w:val="clear" w:color="auto" w:fill="auto"/>
            <w:noWrap/>
            <w:vAlign w:val="bottom"/>
            <w:hideMark/>
          </w:tcPr>
          <w:p w14:paraId="76747EE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E3674C8"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3,998 </w:t>
            </w:r>
          </w:p>
        </w:tc>
      </w:tr>
      <w:tr w:rsidR="00AC5D3E" w:rsidRPr="00AC5D3E" w14:paraId="33E5AE65" w14:textId="77777777" w:rsidTr="0066673E">
        <w:trPr>
          <w:trHeight w:val="308"/>
        </w:trPr>
        <w:tc>
          <w:tcPr>
            <w:tcW w:w="5240" w:type="dxa"/>
            <w:tcBorders>
              <w:top w:val="nil"/>
              <w:left w:val="nil"/>
              <w:bottom w:val="nil"/>
              <w:right w:val="nil"/>
            </w:tcBorders>
            <w:shd w:val="clear" w:color="auto" w:fill="auto"/>
            <w:noWrap/>
            <w:vAlign w:val="bottom"/>
            <w:hideMark/>
          </w:tcPr>
          <w:p w14:paraId="21BD0428"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Accrued compensation</w:t>
            </w:r>
          </w:p>
        </w:tc>
        <w:tc>
          <w:tcPr>
            <w:tcW w:w="1696" w:type="dxa"/>
            <w:tcBorders>
              <w:top w:val="nil"/>
              <w:left w:val="nil"/>
              <w:bottom w:val="nil"/>
              <w:right w:val="nil"/>
            </w:tcBorders>
            <w:shd w:val="clear" w:color="auto" w:fill="auto"/>
            <w:noWrap/>
            <w:vAlign w:val="bottom"/>
            <w:hideMark/>
          </w:tcPr>
          <w:p w14:paraId="6B552DB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4,271 </w:t>
            </w:r>
          </w:p>
        </w:tc>
        <w:tc>
          <w:tcPr>
            <w:tcW w:w="341" w:type="dxa"/>
            <w:tcBorders>
              <w:top w:val="nil"/>
              <w:left w:val="nil"/>
              <w:bottom w:val="nil"/>
              <w:right w:val="nil"/>
            </w:tcBorders>
            <w:shd w:val="clear" w:color="auto" w:fill="auto"/>
            <w:noWrap/>
            <w:vAlign w:val="bottom"/>
            <w:hideMark/>
          </w:tcPr>
          <w:p w14:paraId="3DC7FF1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C917942"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6,103 </w:t>
            </w:r>
          </w:p>
        </w:tc>
      </w:tr>
      <w:tr w:rsidR="00AC5D3E" w:rsidRPr="00AC5D3E" w14:paraId="03D09104" w14:textId="77777777" w:rsidTr="0066673E">
        <w:trPr>
          <w:trHeight w:val="308"/>
        </w:trPr>
        <w:tc>
          <w:tcPr>
            <w:tcW w:w="5240" w:type="dxa"/>
            <w:tcBorders>
              <w:top w:val="nil"/>
              <w:left w:val="nil"/>
              <w:bottom w:val="nil"/>
              <w:right w:val="nil"/>
            </w:tcBorders>
            <w:shd w:val="clear" w:color="auto" w:fill="auto"/>
            <w:noWrap/>
            <w:vAlign w:val="bottom"/>
            <w:hideMark/>
          </w:tcPr>
          <w:p w14:paraId="0D60353B"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Short-term income taxes</w:t>
            </w:r>
          </w:p>
        </w:tc>
        <w:tc>
          <w:tcPr>
            <w:tcW w:w="1696" w:type="dxa"/>
            <w:tcBorders>
              <w:top w:val="nil"/>
              <w:left w:val="nil"/>
              <w:bottom w:val="nil"/>
              <w:right w:val="nil"/>
            </w:tcBorders>
            <w:shd w:val="clear" w:color="auto" w:fill="auto"/>
            <w:noWrap/>
            <w:vAlign w:val="bottom"/>
            <w:hideMark/>
          </w:tcPr>
          <w:p w14:paraId="3EE6D86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2,341 </w:t>
            </w:r>
          </w:p>
        </w:tc>
        <w:tc>
          <w:tcPr>
            <w:tcW w:w="341" w:type="dxa"/>
            <w:tcBorders>
              <w:top w:val="nil"/>
              <w:left w:val="nil"/>
              <w:bottom w:val="nil"/>
              <w:right w:val="nil"/>
            </w:tcBorders>
            <w:shd w:val="clear" w:color="auto" w:fill="auto"/>
            <w:noWrap/>
            <w:vAlign w:val="bottom"/>
            <w:hideMark/>
          </w:tcPr>
          <w:p w14:paraId="390985B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D5BBF8E"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2,121 </w:t>
            </w:r>
          </w:p>
        </w:tc>
      </w:tr>
      <w:tr w:rsidR="00AC5D3E" w:rsidRPr="00AC5D3E" w14:paraId="271EEC17" w14:textId="77777777" w:rsidTr="0066673E">
        <w:trPr>
          <w:trHeight w:val="308"/>
        </w:trPr>
        <w:tc>
          <w:tcPr>
            <w:tcW w:w="5240" w:type="dxa"/>
            <w:tcBorders>
              <w:top w:val="nil"/>
              <w:left w:val="nil"/>
              <w:bottom w:val="nil"/>
              <w:right w:val="nil"/>
            </w:tcBorders>
            <w:shd w:val="clear" w:color="auto" w:fill="auto"/>
            <w:noWrap/>
            <w:vAlign w:val="bottom"/>
            <w:hideMark/>
          </w:tcPr>
          <w:p w14:paraId="7358058A"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Short-term unearned revenue</w:t>
            </w:r>
          </w:p>
        </w:tc>
        <w:tc>
          <w:tcPr>
            <w:tcW w:w="1696" w:type="dxa"/>
            <w:tcBorders>
              <w:top w:val="nil"/>
              <w:left w:val="nil"/>
              <w:bottom w:val="nil"/>
              <w:right w:val="nil"/>
            </w:tcBorders>
            <w:shd w:val="clear" w:color="auto" w:fill="auto"/>
            <w:noWrap/>
            <w:vAlign w:val="bottom"/>
            <w:hideMark/>
          </w:tcPr>
          <w:p w14:paraId="12D97D1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26,704 </w:t>
            </w:r>
          </w:p>
        </w:tc>
        <w:tc>
          <w:tcPr>
            <w:tcW w:w="341" w:type="dxa"/>
            <w:tcBorders>
              <w:top w:val="nil"/>
              <w:left w:val="nil"/>
              <w:bottom w:val="nil"/>
              <w:right w:val="nil"/>
            </w:tcBorders>
            <w:shd w:val="clear" w:color="auto" w:fill="auto"/>
            <w:noWrap/>
            <w:vAlign w:val="bottom"/>
            <w:hideMark/>
          </w:tcPr>
          <w:p w14:paraId="3CA09BD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8887C8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28,905 </w:t>
            </w:r>
          </w:p>
        </w:tc>
      </w:tr>
      <w:tr w:rsidR="00AC5D3E" w:rsidRPr="00AC5D3E" w14:paraId="71FADFBC" w14:textId="77777777" w:rsidTr="0066673E">
        <w:trPr>
          <w:trHeight w:val="308"/>
        </w:trPr>
        <w:tc>
          <w:tcPr>
            <w:tcW w:w="5240" w:type="dxa"/>
            <w:tcBorders>
              <w:top w:val="nil"/>
              <w:left w:val="nil"/>
              <w:bottom w:val="single" w:sz="4" w:space="0" w:color="auto"/>
              <w:right w:val="nil"/>
            </w:tcBorders>
            <w:shd w:val="clear" w:color="auto" w:fill="auto"/>
            <w:noWrap/>
            <w:vAlign w:val="bottom"/>
            <w:hideMark/>
          </w:tcPr>
          <w:p w14:paraId="6853F11D"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Other</w:t>
            </w:r>
          </w:p>
        </w:tc>
        <w:tc>
          <w:tcPr>
            <w:tcW w:w="1696" w:type="dxa"/>
            <w:tcBorders>
              <w:top w:val="nil"/>
              <w:left w:val="nil"/>
              <w:bottom w:val="single" w:sz="4" w:space="0" w:color="auto"/>
              <w:right w:val="nil"/>
            </w:tcBorders>
            <w:shd w:val="clear" w:color="auto" w:fill="auto"/>
            <w:noWrap/>
            <w:vAlign w:val="bottom"/>
            <w:hideMark/>
          </w:tcPr>
          <w:p w14:paraId="7755DFA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7,953 </w:t>
            </w:r>
          </w:p>
        </w:tc>
        <w:tc>
          <w:tcPr>
            <w:tcW w:w="341" w:type="dxa"/>
            <w:tcBorders>
              <w:top w:val="nil"/>
              <w:left w:val="nil"/>
              <w:bottom w:val="nil"/>
              <w:right w:val="nil"/>
            </w:tcBorders>
            <w:shd w:val="clear" w:color="auto" w:fill="auto"/>
            <w:noWrap/>
            <w:vAlign w:val="bottom"/>
            <w:hideMark/>
          </w:tcPr>
          <w:p w14:paraId="34727FC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79DF634"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8,744 </w:t>
            </w:r>
          </w:p>
        </w:tc>
      </w:tr>
      <w:tr w:rsidR="00AC5D3E" w:rsidRPr="00AC5D3E" w14:paraId="7F991304" w14:textId="77777777" w:rsidTr="0066673E">
        <w:trPr>
          <w:trHeight w:val="308"/>
        </w:trPr>
        <w:tc>
          <w:tcPr>
            <w:tcW w:w="5240" w:type="dxa"/>
            <w:tcBorders>
              <w:top w:val="nil"/>
              <w:left w:val="nil"/>
              <w:bottom w:val="nil"/>
              <w:right w:val="nil"/>
            </w:tcBorders>
            <w:shd w:val="clear" w:color="auto" w:fill="auto"/>
            <w:noWrap/>
            <w:vAlign w:val="bottom"/>
            <w:hideMark/>
          </w:tcPr>
          <w:p w14:paraId="40662E0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current liabilities</w:t>
            </w:r>
          </w:p>
        </w:tc>
        <w:tc>
          <w:tcPr>
            <w:tcW w:w="1696" w:type="dxa"/>
            <w:tcBorders>
              <w:top w:val="nil"/>
              <w:left w:val="nil"/>
              <w:bottom w:val="nil"/>
              <w:right w:val="nil"/>
            </w:tcBorders>
            <w:shd w:val="clear" w:color="auto" w:fill="auto"/>
            <w:noWrap/>
            <w:vAlign w:val="bottom"/>
            <w:hideMark/>
          </w:tcPr>
          <w:p w14:paraId="2AFF95D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56,277 </w:t>
            </w:r>
          </w:p>
        </w:tc>
        <w:tc>
          <w:tcPr>
            <w:tcW w:w="341" w:type="dxa"/>
            <w:tcBorders>
              <w:top w:val="nil"/>
              <w:left w:val="nil"/>
              <w:bottom w:val="nil"/>
              <w:right w:val="nil"/>
            </w:tcBorders>
            <w:shd w:val="clear" w:color="auto" w:fill="auto"/>
            <w:noWrap/>
            <w:vAlign w:val="bottom"/>
            <w:hideMark/>
          </w:tcPr>
          <w:p w14:paraId="2A23F26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0184EF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58,488 </w:t>
            </w:r>
          </w:p>
        </w:tc>
      </w:tr>
      <w:tr w:rsidR="00AC5D3E" w:rsidRPr="00AC5D3E" w14:paraId="4534C2AB" w14:textId="77777777" w:rsidTr="0066673E">
        <w:trPr>
          <w:trHeight w:val="308"/>
        </w:trPr>
        <w:tc>
          <w:tcPr>
            <w:tcW w:w="5240" w:type="dxa"/>
            <w:tcBorders>
              <w:top w:val="nil"/>
              <w:left w:val="nil"/>
              <w:bottom w:val="nil"/>
              <w:right w:val="nil"/>
            </w:tcBorders>
            <w:shd w:val="clear" w:color="auto" w:fill="auto"/>
            <w:noWrap/>
            <w:vAlign w:val="bottom"/>
            <w:hideMark/>
          </w:tcPr>
          <w:p w14:paraId="2E7B8BB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Long-term debt</w:t>
            </w:r>
          </w:p>
        </w:tc>
        <w:tc>
          <w:tcPr>
            <w:tcW w:w="1696" w:type="dxa"/>
            <w:tcBorders>
              <w:top w:val="nil"/>
              <w:left w:val="nil"/>
              <w:bottom w:val="nil"/>
              <w:right w:val="nil"/>
            </w:tcBorders>
            <w:shd w:val="clear" w:color="auto" w:fill="auto"/>
            <w:noWrap/>
            <w:vAlign w:val="bottom"/>
            <w:hideMark/>
          </w:tcPr>
          <w:p w14:paraId="54ACEBA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69,733 </w:t>
            </w:r>
          </w:p>
        </w:tc>
        <w:tc>
          <w:tcPr>
            <w:tcW w:w="341" w:type="dxa"/>
            <w:tcBorders>
              <w:top w:val="nil"/>
              <w:left w:val="nil"/>
              <w:bottom w:val="nil"/>
              <w:right w:val="nil"/>
            </w:tcBorders>
            <w:shd w:val="clear" w:color="auto" w:fill="auto"/>
            <w:noWrap/>
            <w:vAlign w:val="bottom"/>
            <w:hideMark/>
          </w:tcPr>
          <w:p w14:paraId="08D8B07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BF6C6C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72,242 </w:t>
            </w:r>
          </w:p>
        </w:tc>
      </w:tr>
      <w:tr w:rsidR="00AC5D3E" w:rsidRPr="00AC5D3E" w14:paraId="757702DD" w14:textId="77777777" w:rsidTr="0066673E">
        <w:trPr>
          <w:trHeight w:val="308"/>
        </w:trPr>
        <w:tc>
          <w:tcPr>
            <w:tcW w:w="5240" w:type="dxa"/>
            <w:tcBorders>
              <w:top w:val="nil"/>
              <w:left w:val="nil"/>
              <w:bottom w:val="nil"/>
              <w:right w:val="nil"/>
            </w:tcBorders>
            <w:shd w:val="clear" w:color="auto" w:fill="auto"/>
            <w:noWrap/>
            <w:vAlign w:val="bottom"/>
            <w:hideMark/>
          </w:tcPr>
          <w:p w14:paraId="141CF61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Long-term income taxes</w:t>
            </w:r>
          </w:p>
        </w:tc>
        <w:tc>
          <w:tcPr>
            <w:tcW w:w="1696" w:type="dxa"/>
            <w:tcBorders>
              <w:top w:val="nil"/>
              <w:left w:val="nil"/>
              <w:bottom w:val="nil"/>
              <w:right w:val="nil"/>
            </w:tcBorders>
            <w:shd w:val="clear" w:color="auto" w:fill="auto"/>
            <w:noWrap/>
            <w:vAlign w:val="bottom"/>
            <w:hideMark/>
          </w:tcPr>
          <w:p w14:paraId="3618726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28,936 </w:t>
            </w:r>
          </w:p>
        </w:tc>
        <w:tc>
          <w:tcPr>
            <w:tcW w:w="341" w:type="dxa"/>
            <w:tcBorders>
              <w:top w:val="nil"/>
              <w:left w:val="nil"/>
              <w:bottom w:val="nil"/>
              <w:right w:val="nil"/>
            </w:tcBorders>
            <w:shd w:val="clear" w:color="auto" w:fill="auto"/>
            <w:noWrap/>
            <w:vAlign w:val="bottom"/>
            <w:hideMark/>
          </w:tcPr>
          <w:p w14:paraId="62EA4BF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170F515"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30,265 </w:t>
            </w:r>
          </w:p>
        </w:tc>
      </w:tr>
      <w:tr w:rsidR="00AC5D3E" w:rsidRPr="00AC5D3E" w14:paraId="4C16EB66" w14:textId="77777777" w:rsidTr="0066673E">
        <w:trPr>
          <w:trHeight w:val="308"/>
        </w:trPr>
        <w:tc>
          <w:tcPr>
            <w:tcW w:w="5240" w:type="dxa"/>
            <w:tcBorders>
              <w:top w:val="nil"/>
              <w:left w:val="nil"/>
              <w:bottom w:val="nil"/>
              <w:right w:val="nil"/>
            </w:tcBorders>
            <w:shd w:val="clear" w:color="auto" w:fill="auto"/>
            <w:noWrap/>
            <w:vAlign w:val="bottom"/>
            <w:hideMark/>
          </w:tcPr>
          <w:p w14:paraId="71B5C92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Long-term unearned revenue</w:t>
            </w:r>
          </w:p>
        </w:tc>
        <w:tc>
          <w:tcPr>
            <w:tcW w:w="1696" w:type="dxa"/>
            <w:tcBorders>
              <w:top w:val="nil"/>
              <w:left w:val="nil"/>
              <w:bottom w:val="nil"/>
              <w:right w:val="nil"/>
            </w:tcBorders>
            <w:shd w:val="clear" w:color="auto" w:fill="auto"/>
            <w:noWrap/>
            <w:vAlign w:val="bottom"/>
            <w:hideMark/>
          </w:tcPr>
          <w:p w14:paraId="65F1BFB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3,538 </w:t>
            </w:r>
          </w:p>
        </w:tc>
        <w:tc>
          <w:tcPr>
            <w:tcW w:w="341" w:type="dxa"/>
            <w:tcBorders>
              <w:top w:val="nil"/>
              <w:left w:val="nil"/>
              <w:bottom w:val="nil"/>
              <w:right w:val="nil"/>
            </w:tcBorders>
            <w:shd w:val="clear" w:color="auto" w:fill="auto"/>
            <w:noWrap/>
            <w:vAlign w:val="bottom"/>
            <w:hideMark/>
          </w:tcPr>
          <w:p w14:paraId="0655C44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3569821"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3,815 </w:t>
            </w:r>
          </w:p>
        </w:tc>
      </w:tr>
      <w:tr w:rsidR="00AC5D3E" w:rsidRPr="00AC5D3E" w14:paraId="7158FCC5" w14:textId="77777777" w:rsidTr="0066673E">
        <w:trPr>
          <w:trHeight w:val="308"/>
        </w:trPr>
        <w:tc>
          <w:tcPr>
            <w:tcW w:w="5240" w:type="dxa"/>
            <w:tcBorders>
              <w:top w:val="nil"/>
              <w:left w:val="nil"/>
              <w:bottom w:val="nil"/>
              <w:right w:val="nil"/>
            </w:tcBorders>
            <w:shd w:val="clear" w:color="auto" w:fill="auto"/>
            <w:noWrap/>
            <w:vAlign w:val="bottom"/>
            <w:hideMark/>
          </w:tcPr>
          <w:p w14:paraId="265197D9"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Deferred income taxes</w:t>
            </w:r>
          </w:p>
        </w:tc>
        <w:tc>
          <w:tcPr>
            <w:tcW w:w="1696" w:type="dxa"/>
            <w:tcBorders>
              <w:top w:val="nil"/>
              <w:left w:val="nil"/>
              <w:bottom w:val="nil"/>
              <w:right w:val="nil"/>
            </w:tcBorders>
            <w:shd w:val="clear" w:color="auto" w:fill="auto"/>
            <w:noWrap/>
            <w:vAlign w:val="bottom"/>
            <w:hideMark/>
          </w:tcPr>
          <w:p w14:paraId="233B39F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1,977 </w:t>
            </w:r>
          </w:p>
        </w:tc>
        <w:tc>
          <w:tcPr>
            <w:tcW w:w="341" w:type="dxa"/>
            <w:tcBorders>
              <w:top w:val="nil"/>
              <w:left w:val="nil"/>
              <w:bottom w:val="nil"/>
              <w:right w:val="nil"/>
            </w:tcBorders>
            <w:shd w:val="clear" w:color="auto" w:fill="auto"/>
            <w:noWrap/>
            <w:vAlign w:val="bottom"/>
            <w:hideMark/>
          </w:tcPr>
          <w:p w14:paraId="322BCCA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556787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541 </w:t>
            </w:r>
          </w:p>
        </w:tc>
      </w:tr>
      <w:tr w:rsidR="00AC5D3E" w:rsidRPr="00AC5D3E" w14:paraId="42C85AC0" w14:textId="77777777" w:rsidTr="0066673E">
        <w:trPr>
          <w:trHeight w:val="308"/>
        </w:trPr>
        <w:tc>
          <w:tcPr>
            <w:tcW w:w="5240" w:type="dxa"/>
            <w:tcBorders>
              <w:top w:val="nil"/>
              <w:left w:val="nil"/>
              <w:bottom w:val="nil"/>
              <w:right w:val="nil"/>
            </w:tcBorders>
            <w:shd w:val="clear" w:color="auto" w:fill="auto"/>
            <w:noWrap/>
            <w:vAlign w:val="bottom"/>
            <w:hideMark/>
          </w:tcPr>
          <w:p w14:paraId="7DE5F598"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Operating lease liabilities</w:t>
            </w:r>
          </w:p>
        </w:tc>
        <w:tc>
          <w:tcPr>
            <w:tcW w:w="1696" w:type="dxa"/>
            <w:tcBorders>
              <w:top w:val="nil"/>
              <w:left w:val="nil"/>
              <w:bottom w:val="nil"/>
              <w:right w:val="nil"/>
            </w:tcBorders>
            <w:shd w:val="clear" w:color="auto" w:fill="auto"/>
            <w:noWrap/>
            <w:vAlign w:val="bottom"/>
            <w:hideMark/>
          </w:tcPr>
          <w:p w14:paraId="7A0BB4F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5,652 </w:t>
            </w:r>
          </w:p>
        </w:tc>
        <w:tc>
          <w:tcPr>
            <w:tcW w:w="341" w:type="dxa"/>
            <w:tcBorders>
              <w:top w:val="nil"/>
              <w:left w:val="nil"/>
              <w:bottom w:val="nil"/>
              <w:right w:val="nil"/>
            </w:tcBorders>
            <w:shd w:val="clear" w:color="auto" w:fill="auto"/>
            <w:noWrap/>
            <w:vAlign w:val="bottom"/>
            <w:hideMark/>
          </w:tcPr>
          <w:p w14:paraId="2E294A9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11FFA0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5,568 </w:t>
            </w:r>
          </w:p>
        </w:tc>
      </w:tr>
      <w:tr w:rsidR="00AC5D3E" w:rsidRPr="00AC5D3E" w14:paraId="6281E902" w14:textId="77777777" w:rsidTr="0066673E">
        <w:trPr>
          <w:trHeight w:val="353"/>
        </w:trPr>
        <w:tc>
          <w:tcPr>
            <w:tcW w:w="5240" w:type="dxa"/>
            <w:tcBorders>
              <w:top w:val="nil"/>
              <w:left w:val="nil"/>
              <w:bottom w:val="single" w:sz="4" w:space="0" w:color="auto"/>
              <w:right w:val="nil"/>
            </w:tcBorders>
            <w:shd w:val="clear" w:color="auto" w:fill="auto"/>
            <w:noWrap/>
            <w:vAlign w:val="bottom"/>
            <w:hideMark/>
          </w:tcPr>
          <w:p w14:paraId="1B4E6107"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Other long-term liabilities</w:t>
            </w:r>
          </w:p>
        </w:tc>
        <w:tc>
          <w:tcPr>
            <w:tcW w:w="1696" w:type="dxa"/>
            <w:tcBorders>
              <w:top w:val="nil"/>
              <w:left w:val="nil"/>
              <w:bottom w:val="single" w:sz="4" w:space="0" w:color="auto"/>
              <w:right w:val="nil"/>
            </w:tcBorders>
            <w:shd w:val="clear" w:color="auto" w:fill="auto"/>
            <w:noWrap/>
            <w:vAlign w:val="bottom"/>
            <w:hideMark/>
          </w:tcPr>
          <w:p w14:paraId="28ED105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5,539 </w:t>
            </w:r>
          </w:p>
        </w:tc>
        <w:tc>
          <w:tcPr>
            <w:tcW w:w="341" w:type="dxa"/>
            <w:tcBorders>
              <w:top w:val="nil"/>
              <w:left w:val="nil"/>
              <w:bottom w:val="nil"/>
              <w:right w:val="nil"/>
            </w:tcBorders>
            <w:shd w:val="clear" w:color="auto" w:fill="auto"/>
            <w:noWrap/>
            <w:vAlign w:val="bottom"/>
            <w:hideMark/>
          </w:tcPr>
          <w:p w14:paraId="2999192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1659E9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5,211 </w:t>
            </w:r>
          </w:p>
        </w:tc>
      </w:tr>
      <w:tr w:rsidR="00AC5D3E" w:rsidRPr="00AC5D3E" w14:paraId="4D3070CD" w14:textId="77777777" w:rsidTr="0066673E">
        <w:trPr>
          <w:trHeight w:val="308"/>
        </w:trPr>
        <w:tc>
          <w:tcPr>
            <w:tcW w:w="5240" w:type="dxa"/>
            <w:tcBorders>
              <w:top w:val="nil"/>
              <w:left w:val="nil"/>
              <w:bottom w:val="single" w:sz="4" w:space="0" w:color="auto"/>
              <w:right w:val="nil"/>
            </w:tcBorders>
            <w:shd w:val="clear" w:color="auto" w:fill="auto"/>
            <w:noWrap/>
            <w:vAlign w:val="bottom"/>
            <w:hideMark/>
          </w:tcPr>
          <w:p w14:paraId="2CD4F022"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liabilities</w:t>
            </w:r>
          </w:p>
        </w:tc>
        <w:tc>
          <w:tcPr>
            <w:tcW w:w="1696" w:type="dxa"/>
            <w:tcBorders>
              <w:top w:val="nil"/>
              <w:left w:val="nil"/>
              <w:bottom w:val="single" w:sz="4" w:space="0" w:color="auto"/>
              <w:right w:val="nil"/>
            </w:tcBorders>
            <w:shd w:val="clear" w:color="auto" w:fill="auto"/>
            <w:noWrap/>
            <w:vAlign w:val="bottom"/>
            <w:hideMark/>
          </w:tcPr>
          <w:p w14:paraId="000D0C3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171,652 </w:t>
            </w:r>
          </w:p>
        </w:tc>
        <w:tc>
          <w:tcPr>
            <w:tcW w:w="341" w:type="dxa"/>
            <w:tcBorders>
              <w:top w:val="nil"/>
              <w:left w:val="nil"/>
              <w:bottom w:val="nil"/>
              <w:right w:val="nil"/>
            </w:tcBorders>
            <w:shd w:val="clear" w:color="auto" w:fill="auto"/>
            <w:noWrap/>
            <w:vAlign w:val="bottom"/>
            <w:hideMark/>
          </w:tcPr>
          <w:p w14:paraId="0F9B495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35A6062"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176,130 </w:t>
            </w:r>
          </w:p>
        </w:tc>
      </w:tr>
      <w:tr w:rsidR="00AC5D3E" w:rsidRPr="00AC5D3E" w14:paraId="04018656" w14:textId="77777777" w:rsidTr="0066673E">
        <w:trPr>
          <w:trHeight w:val="308"/>
        </w:trPr>
        <w:tc>
          <w:tcPr>
            <w:tcW w:w="5240" w:type="dxa"/>
            <w:tcBorders>
              <w:top w:val="nil"/>
              <w:left w:val="nil"/>
              <w:bottom w:val="nil"/>
              <w:right w:val="nil"/>
            </w:tcBorders>
            <w:shd w:val="clear" w:color="auto" w:fill="auto"/>
            <w:noWrap/>
            <w:vAlign w:val="bottom"/>
            <w:hideMark/>
          </w:tcPr>
          <w:p w14:paraId="566450F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Commitments and contingencies</w:t>
            </w:r>
          </w:p>
        </w:tc>
        <w:tc>
          <w:tcPr>
            <w:tcW w:w="1696" w:type="dxa"/>
            <w:tcBorders>
              <w:top w:val="nil"/>
              <w:left w:val="nil"/>
              <w:bottom w:val="nil"/>
              <w:right w:val="nil"/>
            </w:tcBorders>
            <w:shd w:val="clear" w:color="auto" w:fill="auto"/>
            <w:noWrap/>
            <w:vAlign w:val="bottom"/>
            <w:hideMark/>
          </w:tcPr>
          <w:p w14:paraId="61842F62"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341" w:type="dxa"/>
            <w:tcBorders>
              <w:top w:val="nil"/>
              <w:left w:val="nil"/>
              <w:bottom w:val="nil"/>
              <w:right w:val="nil"/>
            </w:tcBorders>
            <w:shd w:val="clear" w:color="auto" w:fill="auto"/>
            <w:noWrap/>
            <w:vAlign w:val="bottom"/>
            <w:hideMark/>
          </w:tcPr>
          <w:p w14:paraId="271AC042"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84E6EE8"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3E2ACE62" w14:textId="77777777" w:rsidTr="0066673E">
        <w:trPr>
          <w:trHeight w:val="308"/>
        </w:trPr>
        <w:tc>
          <w:tcPr>
            <w:tcW w:w="5240" w:type="dxa"/>
            <w:tcBorders>
              <w:top w:val="nil"/>
              <w:left w:val="nil"/>
              <w:bottom w:val="nil"/>
              <w:right w:val="nil"/>
            </w:tcBorders>
            <w:shd w:val="clear" w:color="auto" w:fill="auto"/>
            <w:noWrap/>
            <w:vAlign w:val="bottom"/>
            <w:hideMark/>
          </w:tcPr>
          <w:p w14:paraId="498B52BB"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Stockholders' equity:</w:t>
            </w:r>
          </w:p>
        </w:tc>
        <w:tc>
          <w:tcPr>
            <w:tcW w:w="1696" w:type="dxa"/>
            <w:tcBorders>
              <w:top w:val="nil"/>
              <w:left w:val="nil"/>
              <w:bottom w:val="nil"/>
              <w:right w:val="nil"/>
            </w:tcBorders>
            <w:shd w:val="clear" w:color="auto" w:fill="auto"/>
            <w:noWrap/>
            <w:vAlign w:val="bottom"/>
            <w:hideMark/>
          </w:tcPr>
          <w:p w14:paraId="00F1A056"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341" w:type="dxa"/>
            <w:tcBorders>
              <w:top w:val="nil"/>
              <w:left w:val="nil"/>
              <w:bottom w:val="nil"/>
              <w:right w:val="nil"/>
            </w:tcBorders>
            <w:shd w:val="clear" w:color="auto" w:fill="auto"/>
            <w:noWrap/>
            <w:vAlign w:val="bottom"/>
            <w:hideMark/>
          </w:tcPr>
          <w:p w14:paraId="50A0B2E5"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FFBE91D"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34807C2F" w14:textId="77777777" w:rsidTr="0066673E">
        <w:trPr>
          <w:trHeight w:val="615"/>
        </w:trPr>
        <w:tc>
          <w:tcPr>
            <w:tcW w:w="5240" w:type="dxa"/>
            <w:tcBorders>
              <w:top w:val="nil"/>
              <w:left w:val="nil"/>
              <w:bottom w:val="nil"/>
              <w:right w:val="nil"/>
            </w:tcBorders>
            <w:shd w:val="clear" w:color="auto" w:fill="auto"/>
            <w:vAlign w:val="bottom"/>
            <w:hideMark/>
          </w:tcPr>
          <w:p w14:paraId="0B3C5F12"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Common stock and paid-in capital - shares</w:t>
            </w:r>
            <w:r w:rsidRPr="00AC5D3E">
              <w:rPr>
                <w:rFonts w:ascii="Segoe UI" w:eastAsia="Times New Roman" w:hAnsi="Segoe UI" w:cs="Segoe UI"/>
                <w:color w:val="666666"/>
                <w:sz w:val="20"/>
                <w:szCs w:val="20"/>
              </w:rPr>
              <w:br/>
              <w:t xml:space="preserve">      authorized 24,000; outstanding </w:t>
            </w:r>
            <w:r w:rsidRPr="00AC5D3E">
              <w:rPr>
                <w:rFonts w:ascii="Segoe UI" w:eastAsia="Times New Roman" w:hAnsi="Segoe UI" w:cs="Segoe UI"/>
                <w:b/>
                <w:bCs/>
                <w:color w:val="666666"/>
                <w:sz w:val="20"/>
                <w:szCs w:val="20"/>
              </w:rPr>
              <w:t>7,680</w:t>
            </w:r>
            <w:r w:rsidRPr="00AC5D3E">
              <w:rPr>
                <w:rFonts w:ascii="Segoe UI" w:eastAsia="Times New Roman" w:hAnsi="Segoe UI" w:cs="Segoe UI"/>
                <w:color w:val="666666"/>
                <w:sz w:val="20"/>
                <w:szCs w:val="20"/>
              </w:rPr>
              <w:t xml:space="preserve"> and 7,677</w:t>
            </w:r>
          </w:p>
        </w:tc>
        <w:tc>
          <w:tcPr>
            <w:tcW w:w="1696" w:type="dxa"/>
            <w:tcBorders>
              <w:top w:val="nil"/>
              <w:left w:val="nil"/>
              <w:bottom w:val="nil"/>
              <w:right w:val="nil"/>
            </w:tcBorders>
            <w:shd w:val="clear" w:color="auto" w:fill="auto"/>
            <w:noWrap/>
            <w:vAlign w:val="bottom"/>
            <w:hideMark/>
          </w:tcPr>
          <w:p w14:paraId="2617E45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71,303 </w:t>
            </w:r>
          </w:p>
        </w:tc>
        <w:tc>
          <w:tcPr>
            <w:tcW w:w="341" w:type="dxa"/>
            <w:tcBorders>
              <w:top w:val="nil"/>
              <w:left w:val="nil"/>
              <w:bottom w:val="nil"/>
              <w:right w:val="nil"/>
            </w:tcBorders>
            <w:shd w:val="clear" w:color="auto" w:fill="auto"/>
            <w:noWrap/>
            <w:vAlign w:val="bottom"/>
            <w:hideMark/>
          </w:tcPr>
          <w:p w14:paraId="7DA0D82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E90CFC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71,223 </w:t>
            </w:r>
          </w:p>
        </w:tc>
      </w:tr>
      <w:tr w:rsidR="00AC5D3E" w:rsidRPr="00AC5D3E" w14:paraId="6FFA4B61" w14:textId="77777777" w:rsidTr="0066673E">
        <w:trPr>
          <w:trHeight w:val="308"/>
        </w:trPr>
        <w:tc>
          <w:tcPr>
            <w:tcW w:w="5240" w:type="dxa"/>
            <w:tcBorders>
              <w:top w:val="nil"/>
              <w:left w:val="nil"/>
              <w:bottom w:val="nil"/>
              <w:right w:val="nil"/>
            </w:tcBorders>
            <w:shd w:val="clear" w:color="auto" w:fill="auto"/>
            <w:vAlign w:val="bottom"/>
            <w:hideMark/>
          </w:tcPr>
          <w:p w14:paraId="4028DDF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Retained earnings</w:t>
            </w:r>
          </w:p>
        </w:tc>
        <w:tc>
          <w:tcPr>
            <w:tcW w:w="1696" w:type="dxa"/>
            <w:tcBorders>
              <w:top w:val="nil"/>
              <w:left w:val="nil"/>
              <w:bottom w:val="nil"/>
              <w:right w:val="nil"/>
            </w:tcBorders>
            <w:shd w:val="clear" w:color="auto" w:fill="auto"/>
            <w:noWrap/>
            <w:vAlign w:val="bottom"/>
            <w:hideMark/>
          </w:tcPr>
          <w:p w14:paraId="7AD7D36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17,279 </w:t>
            </w:r>
          </w:p>
        </w:tc>
        <w:tc>
          <w:tcPr>
            <w:tcW w:w="341" w:type="dxa"/>
            <w:tcBorders>
              <w:top w:val="nil"/>
              <w:left w:val="nil"/>
              <w:bottom w:val="nil"/>
              <w:right w:val="nil"/>
            </w:tcBorders>
            <w:shd w:val="clear" w:color="auto" w:fill="auto"/>
            <w:noWrap/>
            <w:vAlign w:val="bottom"/>
            <w:hideMark/>
          </w:tcPr>
          <w:p w14:paraId="44D5D04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9A37CDF"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13,682 </w:t>
            </w:r>
          </w:p>
        </w:tc>
      </w:tr>
      <w:tr w:rsidR="00AC5D3E" w:rsidRPr="00AC5D3E" w14:paraId="760E8CBF" w14:textId="77777777" w:rsidTr="0066673E">
        <w:trPr>
          <w:trHeight w:val="308"/>
        </w:trPr>
        <w:tc>
          <w:tcPr>
            <w:tcW w:w="5240" w:type="dxa"/>
            <w:tcBorders>
              <w:top w:val="nil"/>
              <w:left w:val="nil"/>
              <w:bottom w:val="nil"/>
              <w:right w:val="nil"/>
            </w:tcBorders>
            <w:shd w:val="clear" w:color="auto" w:fill="auto"/>
            <w:vAlign w:val="bottom"/>
            <w:hideMark/>
          </w:tcPr>
          <w:p w14:paraId="702AB64E"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Accumulated other comprehensive loss</w:t>
            </w:r>
          </w:p>
        </w:tc>
        <w:tc>
          <w:tcPr>
            <w:tcW w:w="1696" w:type="dxa"/>
            <w:tcBorders>
              <w:top w:val="nil"/>
              <w:left w:val="nil"/>
              <w:bottom w:val="nil"/>
              <w:right w:val="nil"/>
            </w:tcBorders>
            <w:shd w:val="clear" w:color="auto" w:fill="auto"/>
            <w:noWrap/>
            <w:vAlign w:val="bottom"/>
            <w:hideMark/>
          </w:tcPr>
          <w:p w14:paraId="31A0C81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(2,615)</w:t>
            </w:r>
          </w:p>
        </w:tc>
        <w:tc>
          <w:tcPr>
            <w:tcW w:w="341" w:type="dxa"/>
            <w:tcBorders>
              <w:top w:val="nil"/>
              <w:left w:val="nil"/>
              <w:bottom w:val="nil"/>
              <w:right w:val="nil"/>
            </w:tcBorders>
            <w:shd w:val="clear" w:color="auto" w:fill="auto"/>
            <w:noWrap/>
            <w:vAlign w:val="bottom"/>
            <w:hideMark/>
          </w:tcPr>
          <w:p w14:paraId="0029210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4E3E68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(2,187)</w:t>
            </w:r>
          </w:p>
        </w:tc>
      </w:tr>
      <w:tr w:rsidR="00AC5D3E" w:rsidRPr="00AC5D3E" w14:paraId="717FBAC6" w14:textId="77777777" w:rsidTr="0066673E">
        <w:trPr>
          <w:trHeight w:val="353"/>
        </w:trPr>
        <w:tc>
          <w:tcPr>
            <w:tcW w:w="5240" w:type="dxa"/>
            <w:tcBorders>
              <w:top w:val="single" w:sz="4" w:space="0" w:color="auto"/>
              <w:left w:val="nil"/>
              <w:bottom w:val="single" w:sz="4" w:space="0" w:color="auto"/>
              <w:right w:val="nil"/>
            </w:tcBorders>
            <w:shd w:val="clear" w:color="auto" w:fill="auto"/>
            <w:noWrap/>
            <w:vAlign w:val="bottom"/>
            <w:hideMark/>
          </w:tcPr>
          <w:p w14:paraId="273A7838"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stockholders' equity</w:t>
            </w:r>
          </w:p>
        </w:tc>
        <w:tc>
          <w:tcPr>
            <w:tcW w:w="1696" w:type="dxa"/>
            <w:tcBorders>
              <w:top w:val="single" w:sz="4" w:space="0" w:color="auto"/>
              <w:left w:val="nil"/>
              <w:bottom w:val="single" w:sz="4" w:space="0" w:color="auto"/>
              <w:right w:val="nil"/>
            </w:tcBorders>
            <w:shd w:val="clear" w:color="auto" w:fill="auto"/>
            <w:noWrap/>
            <w:vAlign w:val="bottom"/>
            <w:hideMark/>
          </w:tcPr>
          <w:p w14:paraId="0922C78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85,967 </w:t>
            </w:r>
          </w:p>
        </w:tc>
        <w:tc>
          <w:tcPr>
            <w:tcW w:w="341" w:type="dxa"/>
            <w:tcBorders>
              <w:top w:val="nil"/>
              <w:left w:val="nil"/>
              <w:bottom w:val="nil"/>
              <w:right w:val="nil"/>
            </w:tcBorders>
            <w:shd w:val="clear" w:color="auto" w:fill="auto"/>
            <w:noWrap/>
            <w:vAlign w:val="bottom"/>
            <w:hideMark/>
          </w:tcPr>
          <w:p w14:paraId="164C341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single" w:sz="4" w:space="0" w:color="auto"/>
              <w:left w:val="nil"/>
              <w:bottom w:val="single" w:sz="4" w:space="0" w:color="auto"/>
              <w:right w:val="nil"/>
            </w:tcBorders>
            <w:shd w:val="clear" w:color="auto" w:fill="auto"/>
            <w:noWrap/>
            <w:vAlign w:val="bottom"/>
            <w:hideMark/>
          </w:tcPr>
          <w:p w14:paraId="04775836"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82,718 </w:t>
            </w:r>
          </w:p>
        </w:tc>
      </w:tr>
      <w:tr w:rsidR="00AC5D3E" w:rsidRPr="00AC5D3E" w14:paraId="15343F8E" w14:textId="77777777" w:rsidTr="0066673E">
        <w:trPr>
          <w:trHeight w:val="338"/>
        </w:trPr>
        <w:tc>
          <w:tcPr>
            <w:tcW w:w="5240" w:type="dxa"/>
            <w:tcBorders>
              <w:top w:val="nil"/>
              <w:left w:val="nil"/>
              <w:bottom w:val="nil"/>
              <w:right w:val="nil"/>
            </w:tcBorders>
            <w:shd w:val="clear" w:color="auto" w:fill="auto"/>
            <w:noWrap/>
            <w:vAlign w:val="bottom"/>
            <w:hideMark/>
          </w:tcPr>
          <w:p w14:paraId="4C2D2FBF" w14:textId="77777777" w:rsidR="00AC5D3E" w:rsidRPr="00AC5D3E" w:rsidRDefault="00AC5D3E" w:rsidP="00AC5D3E">
            <w:pPr>
              <w:spacing w:after="0" w:line="240" w:lineRule="auto"/>
              <w:ind w:firstLineChars="100" w:firstLine="200"/>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 liabilities and stockholders' equity</w:t>
            </w:r>
          </w:p>
        </w:tc>
        <w:tc>
          <w:tcPr>
            <w:tcW w:w="1696" w:type="dxa"/>
            <w:tcBorders>
              <w:top w:val="nil"/>
              <w:left w:val="nil"/>
              <w:bottom w:val="single" w:sz="8" w:space="0" w:color="auto"/>
              <w:right w:val="nil"/>
            </w:tcBorders>
            <w:shd w:val="clear" w:color="auto" w:fill="auto"/>
            <w:noWrap/>
            <w:vAlign w:val="bottom"/>
            <w:hideMark/>
          </w:tcPr>
          <w:p w14:paraId="7C8D88E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$257,619 </w:t>
            </w:r>
          </w:p>
        </w:tc>
        <w:tc>
          <w:tcPr>
            <w:tcW w:w="341" w:type="dxa"/>
            <w:tcBorders>
              <w:top w:val="nil"/>
              <w:left w:val="nil"/>
              <w:bottom w:val="nil"/>
              <w:right w:val="nil"/>
            </w:tcBorders>
            <w:shd w:val="clear" w:color="auto" w:fill="auto"/>
            <w:noWrap/>
            <w:vAlign w:val="bottom"/>
            <w:hideMark/>
          </w:tcPr>
          <w:p w14:paraId="5CCAE46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6EAA455F"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$258,848 </w:t>
            </w:r>
          </w:p>
        </w:tc>
      </w:tr>
    </w:tbl>
    <w:p w14:paraId="488EF8C0" w14:textId="77777777" w:rsidR="0066673E" w:rsidRDefault="0066673E">
      <w:r>
        <w:br w:type="page"/>
      </w:r>
    </w:p>
    <w:tbl>
      <w:tblPr>
        <w:tblW w:w="8556" w:type="dxa"/>
        <w:tblLook w:val="04A0" w:firstRow="1" w:lastRow="0" w:firstColumn="1" w:lastColumn="0" w:noHBand="0" w:noVBand="1"/>
      </w:tblPr>
      <w:tblGrid>
        <w:gridCol w:w="5404"/>
        <w:gridCol w:w="563"/>
        <w:gridCol w:w="848"/>
        <w:gridCol w:w="272"/>
        <w:gridCol w:w="169"/>
        <w:gridCol w:w="272"/>
        <w:gridCol w:w="878"/>
        <w:gridCol w:w="151"/>
      </w:tblGrid>
      <w:tr w:rsidR="00AC5D3E" w:rsidRPr="00AC5D3E" w14:paraId="52989457" w14:textId="77777777" w:rsidTr="0066673E">
        <w:trPr>
          <w:trHeight w:val="308"/>
        </w:trPr>
        <w:tc>
          <w:tcPr>
            <w:tcW w:w="8556" w:type="dxa"/>
            <w:gridSpan w:val="8"/>
            <w:tcBorders>
              <w:top w:val="nil"/>
              <w:left w:val="nil"/>
              <w:bottom w:val="nil"/>
              <w:right w:val="nil"/>
            </w:tcBorders>
            <w:shd w:val="clear" w:color="auto" w:fill="auto"/>
            <w:noWrap/>
            <w:vAlign w:val="bottom"/>
            <w:hideMark/>
          </w:tcPr>
          <w:p w14:paraId="58D3DB80" w14:textId="12079940"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lastRenderedPageBreak/>
              <w:t>CASH FLOWS STATEMENTS</w:t>
            </w:r>
          </w:p>
        </w:tc>
      </w:tr>
      <w:tr w:rsidR="00AC5D3E" w:rsidRPr="00AC5D3E" w14:paraId="39470F8E" w14:textId="77777777" w:rsidTr="0066673E">
        <w:trPr>
          <w:trHeight w:val="308"/>
        </w:trPr>
        <w:tc>
          <w:tcPr>
            <w:tcW w:w="8556" w:type="dxa"/>
            <w:gridSpan w:val="8"/>
            <w:tcBorders>
              <w:top w:val="nil"/>
              <w:left w:val="nil"/>
              <w:bottom w:val="nil"/>
              <w:right w:val="nil"/>
            </w:tcBorders>
            <w:shd w:val="clear" w:color="auto" w:fill="auto"/>
            <w:noWrap/>
            <w:vAlign w:val="bottom"/>
            <w:hideMark/>
          </w:tcPr>
          <w:p w14:paraId="427FBB73"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 millions)(Unaudited)</w:t>
            </w:r>
          </w:p>
        </w:tc>
      </w:tr>
      <w:tr w:rsidR="00AC5D3E" w:rsidRPr="00AC5D3E" w14:paraId="057BD583"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762CA030"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p>
        </w:tc>
        <w:tc>
          <w:tcPr>
            <w:tcW w:w="1288" w:type="dxa"/>
            <w:gridSpan w:val="3"/>
            <w:tcBorders>
              <w:top w:val="nil"/>
              <w:left w:val="nil"/>
              <w:bottom w:val="nil"/>
              <w:right w:val="nil"/>
            </w:tcBorders>
            <w:shd w:val="clear" w:color="auto" w:fill="auto"/>
            <w:noWrap/>
            <w:vAlign w:val="bottom"/>
            <w:hideMark/>
          </w:tcPr>
          <w:p w14:paraId="290A36F8"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7EB805E"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1029" w:type="dxa"/>
            <w:gridSpan w:val="2"/>
            <w:tcBorders>
              <w:top w:val="nil"/>
              <w:left w:val="nil"/>
              <w:bottom w:val="nil"/>
              <w:right w:val="nil"/>
            </w:tcBorders>
            <w:shd w:val="clear" w:color="auto" w:fill="auto"/>
            <w:noWrap/>
            <w:vAlign w:val="bottom"/>
            <w:hideMark/>
          </w:tcPr>
          <w:p w14:paraId="70A8596E" w14:textId="77777777" w:rsidR="00AC5D3E" w:rsidRPr="00AC5D3E" w:rsidRDefault="00AC5D3E" w:rsidP="00AC5D3E">
            <w:pPr>
              <w:spacing w:after="0" w:line="240" w:lineRule="auto"/>
              <w:jc w:val="center"/>
              <w:rPr>
                <w:rFonts w:ascii="Times New Roman" w:eastAsia="Times New Roman" w:hAnsi="Times New Roman"/>
                <w:sz w:val="20"/>
                <w:szCs w:val="20"/>
              </w:rPr>
            </w:pPr>
          </w:p>
        </w:tc>
      </w:tr>
      <w:tr w:rsidR="00AC5D3E" w:rsidRPr="00AC5D3E" w14:paraId="382FB713" w14:textId="77777777" w:rsidTr="0066673E">
        <w:trPr>
          <w:trHeight w:val="300"/>
        </w:trPr>
        <w:tc>
          <w:tcPr>
            <w:tcW w:w="5967" w:type="dxa"/>
            <w:gridSpan w:val="2"/>
            <w:tcBorders>
              <w:top w:val="nil"/>
              <w:left w:val="nil"/>
              <w:bottom w:val="nil"/>
              <w:right w:val="nil"/>
            </w:tcBorders>
            <w:shd w:val="clear" w:color="auto" w:fill="auto"/>
            <w:noWrap/>
            <w:vAlign w:val="bottom"/>
            <w:hideMark/>
          </w:tcPr>
          <w:p w14:paraId="7ABAC280" w14:textId="77777777" w:rsidR="00AC5D3E" w:rsidRPr="00AC5D3E" w:rsidRDefault="00AC5D3E" w:rsidP="00AC5D3E">
            <w:pPr>
              <w:spacing w:after="0" w:line="240" w:lineRule="auto"/>
              <w:jc w:val="center"/>
              <w:rPr>
                <w:rFonts w:ascii="Times New Roman" w:eastAsia="Times New Roman" w:hAnsi="Times New Roman"/>
                <w:sz w:val="20"/>
                <w:szCs w:val="20"/>
              </w:rPr>
            </w:pPr>
          </w:p>
        </w:tc>
        <w:tc>
          <w:tcPr>
            <w:tcW w:w="2589" w:type="dxa"/>
            <w:gridSpan w:val="6"/>
            <w:vMerge w:val="restart"/>
            <w:tcBorders>
              <w:top w:val="nil"/>
              <w:left w:val="nil"/>
              <w:bottom w:val="nil"/>
              <w:right w:val="nil"/>
            </w:tcBorders>
            <w:shd w:val="clear" w:color="auto" w:fill="auto"/>
            <w:vAlign w:val="bottom"/>
            <w:hideMark/>
          </w:tcPr>
          <w:p w14:paraId="69C4A66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Three Months Ended September 30,</w:t>
            </w:r>
          </w:p>
        </w:tc>
      </w:tr>
      <w:tr w:rsidR="00AC5D3E" w:rsidRPr="00AC5D3E" w14:paraId="1CC86137"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198F139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2589" w:type="dxa"/>
            <w:gridSpan w:val="6"/>
            <w:vMerge/>
            <w:tcBorders>
              <w:top w:val="nil"/>
              <w:left w:val="nil"/>
              <w:bottom w:val="nil"/>
              <w:right w:val="nil"/>
            </w:tcBorders>
            <w:vAlign w:val="center"/>
            <w:hideMark/>
          </w:tcPr>
          <w:p w14:paraId="20EF70D5"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r>
      <w:tr w:rsidR="00AC5D3E" w:rsidRPr="00AC5D3E" w14:paraId="1A70B1B4" w14:textId="77777777" w:rsidTr="0066673E">
        <w:trPr>
          <w:trHeight w:val="308"/>
        </w:trPr>
        <w:tc>
          <w:tcPr>
            <w:tcW w:w="5967" w:type="dxa"/>
            <w:gridSpan w:val="2"/>
            <w:tcBorders>
              <w:top w:val="nil"/>
              <w:left w:val="nil"/>
              <w:bottom w:val="single" w:sz="4" w:space="0" w:color="auto"/>
              <w:right w:val="nil"/>
            </w:tcBorders>
            <w:shd w:val="clear" w:color="auto" w:fill="auto"/>
            <w:noWrap/>
            <w:vAlign w:val="bottom"/>
            <w:hideMark/>
          </w:tcPr>
          <w:p w14:paraId="4E46398C"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288" w:type="dxa"/>
            <w:gridSpan w:val="3"/>
            <w:tcBorders>
              <w:top w:val="nil"/>
              <w:left w:val="nil"/>
              <w:bottom w:val="single" w:sz="4" w:space="0" w:color="auto"/>
              <w:right w:val="nil"/>
            </w:tcBorders>
            <w:shd w:val="clear" w:color="auto" w:fill="auto"/>
            <w:noWrap/>
            <w:vAlign w:val="bottom"/>
            <w:hideMark/>
          </w:tcPr>
          <w:p w14:paraId="771A7D0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4E3B9F8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029" w:type="dxa"/>
            <w:gridSpan w:val="2"/>
            <w:tcBorders>
              <w:top w:val="nil"/>
              <w:left w:val="nil"/>
              <w:bottom w:val="single" w:sz="4" w:space="0" w:color="auto"/>
              <w:right w:val="nil"/>
            </w:tcBorders>
            <w:shd w:val="clear" w:color="auto" w:fill="auto"/>
            <w:noWrap/>
            <w:vAlign w:val="bottom"/>
            <w:hideMark/>
          </w:tcPr>
          <w:p w14:paraId="6064E9F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2017</w:t>
            </w:r>
          </w:p>
        </w:tc>
      </w:tr>
      <w:tr w:rsidR="00AC5D3E" w:rsidRPr="00AC5D3E" w14:paraId="0873461B"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705DFB5D"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Operations</w:t>
            </w:r>
          </w:p>
        </w:tc>
        <w:tc>
          <w:tcPr>
            <w:tcW w:w="1288" w:type="dxa"/>
            <w:gridSpan w:val="3"/>
            <w:tcBorders>
              <w:top w:val="nil"/>
              <w:left w:val="nil"/>
              <w:bottom w:val="nil"/>
              <w:right w:val="nil"/>
            </w:tcBorders>
            <w:shd w:val="clear" w:color="auto" w:fill="auto"/>
            <w:noWrap/>
            <w:vAlign w:val="bottom"/>
            <w:hideMark/>
          </w:tcPr>
          <w:p w14:paraId="608108BB"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138E824"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029" w:type="dxa"/>
            <w:gridSpan w:val="2"/>
            <w:tcBorders>
              <w:top w:val="nil"/>
              <w:left w:val="nil"/>
              <w:bottom w:val="nil"/>
              <w:right w:val="nil"/>
            </w:tcBorders>
            <w:shd w:val="clear" w:color="auto" w:fill="auto"/>
            <w:noWrap/>
            <w:vAlign w:val="bottom"/>
            <w:hideMark/>
          </w:tcPr>
          <w:p w14:paraId="0F2E90BC" w14:textId="77777777" w:rsidR="00AC5D3E" w:rsidRPr="00AC5D3E" w:rsidRDefault="00AC5D3E" w:rsidP="00AC5D3E">
            <w:pPr>
              <w:spacing w:after="0" w:line="240" w:lineRule="auto"/>
              <w:jc w:val="center"/>
              <w:rPr>
                <w:rFonts w:ascii="Times New Roman" w:eastAsia="Times New Roman" w:hAnsi="Times New Roman"/>
                <w:sz w:val="20"/>
                <w:szCs w:val="20"/>
              </w:rPr>
            </w:pPr>
          </w:p>
        </w:tc>
      </w:tr>
      <w:tr w:rsidR="00AC5D3E" w:rsidRPr="00AC5D3E" w14:paraId="4CB27981"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49552A1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Net income</w:t>
            </w:r>
          </w:p>
        </w:tc>
        <w:tc>
          <w:tcPr>
            <w:tcW w:w="1288" w:type="dxa"/>
            <w:gridSpan w:val="3"/>
            <w:tcBorders>
              <w:top w:val="nil"/>
              <w:left w:val="nil"/>
              <w:bottom w:val="nil"/>
              <w:right w:val="nil"/>
            </w:tcBorders>
            <w:shd w:val="clear" w:color="auto" w:fill="auto"/>
            <w:noWrap/>
            <w:vAlign w:val="bottom"/>
            <w:hideMark/>
          </w:tcPr>
          <w:p w14:paraId="633B80C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$8,824 </w:t>
            </w:r>
          </w:p>
        </w:tc>
        <w:tc>
          <w:tcPr>
            <w:tcW w:w="272" w:type="dxa"/>
            <w:tcBorders>
              <w:top w:val="nil"/>
              <w:left w:val="nil"/>
              <w:bottom w:val="nil"/>
              <w:right w:val="nil"/>
            </w:tcBorders>
            <w:shd w:val="clear" w:color="auto" w:fill="auto"/>
            <w:noWrap/>
            <w:vAlign w:val="bottom"/>
            <w:hideMark/>
          </w:tcPr>
          <w:p w14:paraId="7CC736E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0191AD5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$6,576 </w:t>
            </w:r>
          </w:p>
        </w:tc>
      </w:tr>
      <w:tr w:rsidR="00AC5D3E" w:rsidRPr="00AC5D3E" w14:paraId="749582AD" w14:textId="77777777" w:rsidTr="0066673E">
        <w:trPr>
          <w:trHeight w:val="615"/>
        </w:trPr>
        <w:tc>
          <w:tcPr>
            <w:tcW w:w="5967" w:type="dxa"/>
            <w:gridSpan w:val="2"/>
            <w:tcBorders>
              <w:top w:val="nil"/>
              <w:left w:val="nil"/>
              <w:bottom w:val="nil"/>
              <w:right w:val="nil"/>
            </w:tcBorders>
            <w:shd w:val="clear" w:color="auto" w:fill="auto"/>
            <w:vAlign w:val="bottom"/>
            <w:hideMark/>
          </w:tcPr>
          <w:p w14:paraId="75EC207B"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Adjustments to reconcile net income </w:t>
            </w:r>
            <w:r w:rsidRPr="00AC5D3E">
              <w:rPr>
                <w:rFonts w:ascii="Segoe UI" w:eastAsia="Times New Roman" w:hAnsi="Segoe UI" w:cs="Segoe UI"/>
                <w:color w:val="666666"/>
                <w:sz w:val="20"/>
                <w:szCs w:val="20"/>
              </w:rPr>
              <w:br/>
              <w:t xml:space="preserve">  to net cash from operations:</w:t>
            </w:r>
          </w:p>
        </w:tc>
        <w:tc>
          <w:tcPr>
            <w:tcW w:w="1288" w:type="dxa"/>
            <w:gridSpan w:val="3"/>
            <w:tcBorders>
              <w:top w:val="nil"/>
              <w:left w:val="nil"/>
              <w:bottom w:val="nil"/>
              <w:right w:val="nil"/>
            </w:tcBorders>
            <w:shd w:val="clear" w:color="auto" w:fill="auto"/>
            <w:noWrap/>
            <w:vAlign w:val="bottom"/>
            <w:hideMark/>
          </w:tcPr>
          <w:p w14:paraId="7EA6F316"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5C87C1D"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029" w:type="dxa"/>
            <w:gridSpan w:val="2"/>
            <w:tcBorders>
              <w:top w:val="nil"/>
              <w:left w:val="nil"/>
              <w:bottom w:val="nil"/>
              <w:right w:val="nil"/>
            </w:tcBorders>
            <w:shd w:val="clear" w:color="auto" w:fill="auto"/>
            <w:noWrap/>
            <w:vAlign w:val="bottom"/>
            <w:hideMark/>
          </w:tcPr>
          <w:p w14:paraId="574E5EBE"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6355B28C" w14:textId="77777777" w:rsidTr="0066673E">
        <w:trPr>
          <w:trHeight w:val="308"/>
        </w:trPr>
        <w:tc>
          <w:tcPr>
            <w:tcW w:w="5967" w:type="dxa"/>
            <w:gridSpan w:val="2"/>
            <w:tcBorders>
              <w:top w:val="nil"/>
              <w:left w:val="nil"/>
              <w:bottom w:val="nil"/>
              <w:right w:val="nil"/>
            </w:tcBorders>
            <w:shd w:val="clear" w:color="auto" w:fill="auto"/>
            <w:vAlign w:val="bottom"/>
            <w:hideMark/>
          </w:tcPr>
          <w:p w14:paraId="26C3170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Depreciation, amortization, and other</w:t>
            </w:r>
          </w:p>
        </w:tc>
        <w:tc>
          <w:tcPr>
            <w:tcW w:w="1288" w:type="dxa"/>
            <w:gridSpan w:val="3"/>
            <w:tcBorders>
              <w:top w:val="nil"/>
              <w:left w:val="nil"/>
              <w:bottom w:val="nil"/>
              <w:right w:val="nil"/>
            </w:tcBorders>
            <w:shd w:val="clear" w:color="auto" w:fill="auto"/>
            <w:noWrap/>
            <w:vAlign w:val="bottom"/>
            <w:hideMark/>
          </w:tcPr>
          <w:p w14:paraId="2556CB2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2,837 </w:t>
            </w:r>
          </w:p>
        </w:tc>
        <w:tc>
          <w:tcPr>
            <w:tcW w:w="272" w:type="dxa"/>
            <w:tcBorders>
              <w:top w:val="nil"/>
              <w:left w:val="nil"/>
              <w:bottom w:val="nil"/>
              <w:right w:val="nil"/>
            </w:tcBorders>
            <w:shd w:val="clear" w:color="auto" w:fill="auto"/>
            <w:noWrap/>
            <w:vAlign w:val="bottom"/>
            <w:hideMark/>
          </w:tcPr>
          <w:p w14:paraId="0DBC2A5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06B1855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2,499 </w:t>
            </w:r>
          </w:p>
        </w:tc>
      </w:tr>
      <w:tr w:rsidR="00AC5D3E" w:rsidRPr="00AC5D3E" w14:paraId="75871615" w14:textId="77777777" w:rsidTr="0066673E">
        <w:trPr>
          <w:trHeight w:val="308"/>
        </w:trPr>
        <w:tc>
          <w:tcPr>
            <w:tcW w:w="5967" w:type="dxa"/>
            <w:gridSpan w:val="2"/>
            <w:tcBorders>
              <w:top w:val="nil"/>
              <w:left w:val="nil"/>
              <w:bottom w:val="nil"/>
              <w:right w:val="nil"/>
            </w:tcBorders>
            <w:shd w:val="clear" w:color="auto" w:fill="auto"/>
            <w:vAlign w:val="bottom"/>
            <w:hideMark/>
          </w:tcPr>
          <w:p w14:paraId="69AF916E"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Stock-based compensation expense</w:t>
            </w:r>
          </w:p>
        </w:tc>
        <w:tc>
          <w:tcPr>
            <w:tcW w:w="1288" w:type="dxa"/>
            <w:gridSpan w:val="3"/>
            <w:tcBorders>
              <w:top w:val="nil"/>
              <w:left w:val="nil"/>
              <w:bottom w:val="nil"/>
              <w:right w:val="nil"/>
            </w:tcBorders>
            <w:shd w:val="clear" w:color="auto" w:fill="auto"/>
            <w:noWrap/>
            <w:vAlign w:val="bottom"/>
            <w:hideMark/>
          </w:tcPr>
          <w:p w14:paraId="0F6B0A5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1,107 </w:t>
            </w:r>
          </w:p>
        </w:tc>
        <w:tc>
          <w:tcPr>
            <w:tcW w:w="272" w:type="dxa"/>
            <w:tcBorders>
              <w:top w:val="nil"/>
              <w:left w:val="nil"/>
              <w:bottom w:val="nil"/>
              <w:right w:val="nil"/>
            </w:tcBorders>
            <w:shd w:val="clear" w:color="auto" w:fill="auto"/>
            <w:noWrap/>
            <w:vAlign w:val="bottom"/>
            <w:hideMark/>
          </w:tcPr>
          <w:p w14:paraId="1879971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0BA5DFC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973 </w:t>
            </w:r>
          </w:p>
        </w:tc>
      </w:tr>
      <w:tr w:rsidR="00AC5D3E" w:rsidRPr="00AC5D3E" w14:paraId="53A02901" w14:textId="77777777" w:rsidTr="0066673E">
        <w:trPr>
          <w:trHeight w:val="308"/>
        </w:trPr>
        <w:tc>
          <w:tcPr>
            <w:tcW w:w="5967" w:type="dxa"/>
            <w:gridSpan w:val="2"/>
            <w:tcBorders>
              <w:top w:val="nil"/>
              <w:left w:val="nil"/>
              <w:bottom w:val="nil"/>
              <w:right w:val="nil"/>
            </w:tcBorders>
            <w:shd w:val="clear" w:color="auto" w:fill="auto"/>
            <w:vAlign w:val="bottom"/>
            <w:hideMark/>
          </w:tcPr>
          <w:p w14:paraId="5A670B5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Net recognized gains on investments and derivatives</w:t>
            </w:r>
          </w:p>
        </w:tc>
        <w:tc>
          <w:tcPr>
            <w:tcW w:w="1288" w:type="dxa"/>
            <w:gridSpan w:val="3"/>
            <w:tcBorders>
              <w:top w:val="nil"/>
              <w:left w:val="nil"/>
              <w:bottom w:val="nil"/>
              <w:right w:val="nil"/>
            </w:tcBorders>
            <w:shd w:val="clear" w:color="auto" w:fill="auto"/>
            <w:noWrap/>
            <w:vAlign w:val="bottom"/>
            <w:hideMark/>
          </w:tcPr>
          <w:p w14:paraId="3E2A7E5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(240)</w:t>
            </w:r>
          </w:p>
        </w:tc>
        <w:tc>
          <w:tcPr>
            <w:tcW w:w="272" w:type="dxa"/>
            <w:tcBorders>
              <w:top w:val="nil"/>
              <w:left w:val="nil"/>
              <w:bottom w:val="nil"/>
              <w:right w:val="nil"/>
            </w:tcBorders>
            <w:shd w:val="clear" w:color="auto" w:fill="auto"/>
            <w:noWrap/>
            <w:vAlign w:val="bottom"/>
            <w:hideMark/>
          </w:tcPr>
          <w:p w14:paraId="7F3DADD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7C43E474"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(523)</w:t>
            </w:r>
          </w:p>
        </w:tc>
      </w:tr>
      <w:tr w:rsidR="00AC5D3E" w:rsidRPr="00AC5D3E" w14:paraId="67ED367E"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4251F6BC"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Deferred income taxes</w:t>
            </w:r>
          </w:p>
        </w:tc>
        <w:tc>
          <w:tcPr>
            <w:tcW w:w="1288" w:type="dxa"/>
            <w:gridSpan w:val="3"/>
            <w:tcBorders>
              <w:top w:val="nil"/>
              <w:left w:val="nil"/>
              <w:bottom w:val="nil"/>
              <w:right w:val="nil"/>
            </w:tcBorders>
            <w:shd w:val="clear" w:color="auto" w:fill="auto"/>
            <w:noWrap/>
            <w:vAlign w:val="bottom"/>
            <w:hideMark/>
          </w:tcPr>
          <w:p w14:paraId="5D736F4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(247)</w:t>
            </w:r>
          </w:p>
        </w:tc>
        <w:tc>
          <w:tcPr>
            <w:tcW w:w="272" w:type="dxa"/>
            <w:tcBorders>
              <w:top w:val="nil"/>
              <w:left w:val="nil"/>
              <w:bottom w:val="nil"/>
              <w:right w:val="nil"/>
            </w:tcBorders>
            <w:shd w:val="clear" w:color="auto" w:fill="auto"/>
            <w:noWrap/>
            <w:vAlign w:val="bottom"/>
            <w:hideMark/>
          </w:tcPr>
          <w:p w14:paraId="3081B11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7A74A50F"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(53)</w:t>
            </w:r>
          </w:p>
        </w:tc>
      </w:tr>
      <w:tr w:rsidR="00AC5D3E" w:rsidRPr="00AC5D3E" w14:paraId="51F7DDAE" w14:textId="77777777" w:rsidTr="0066673E">
        <w:trPr>
          <w:trHeight w:val="308"/>
        </w:trPr>
        <w:tc>
          <w:tcPr>
            <w:tcW w:w="5967" w:type="dxa"/>
            <w:gridSpan w:val="2"/>
            <w:tcBorders>
              <w:top w:val="nil"/>
              <w:left w:val="nil"/>
              <w:bottom w:val="nil"/>
              <w:right w:val="nil"/>
            </w:tcBorders>
            <w:shd w:val="clear" w:color="auto" w:fill="auto"/>
            <w:vAlign w:val="bottom"/>
            <w:hideMark/>
          </w:tcPr>
          <w:p w14:paraId="12507E5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Changes in operating assets and liabilities:</w:t>
            </w:r>
          </w:p>
        </w:tc>
        <w:tc>
          <w:tcPr>
            <w:tcW w:w="1288" w:type="dxa"/>
            <w:gridSpan w:val="3"/>
            <w:tcBorders>
              <w:top w:val="nil"/>
              <w:left w:val="nil"/>
              <w:bottom w:val="nil"/>
              <w:right w:val="nil"/>
            </w:tcBorders>
            <w:shd w:val="clear" w:color="auto" w:fill="auto"/>
            <w:noWrap/>
            <w:vAlign w:val="bottom"/>
            <w:hideMark/>
          </w:tcPr>
          <w:p w14:paraId="350B2E57" w14:textId="77777777" w:rsidR="00AC5D3E" w:rsidRPr="00AC5D3E" w:rsidRDefault="00AC5D3E" w:rsidP="00AC5D3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8FD8092"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029" w:type="dxa"/>
            <w:gridSpan w:val="2"/>
            <w:tcBorders>
              <w:top w:val="nil"/>
              <w:left w:val="nil"/>
              <w:bottom w:val="nil"/>
              <w:right w:val="nil"/>
            </w:tcBorders>
            <w:shd w:val="clear" w:color="auto" w:fill="auto"/>
            <w:noWrap/>
            <w:vAlign w:val="bottom"/>
            <w:hideMark/>
          </w:tcPr>
          <w:p w14:paraId="003A2707"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750595F5"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2D004783"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Accounts receivable</w:t>
            </w:r>
          </w:p>
        </w:tc>
        <w:tc>
          <w:tcPr>
            <w:tcW w:w="1288" w:type="dxa"/>
            <w:gridSpan w:val="3"/>
            <w:tcBorders>
              <w:top w:val="nil"/>
              <w:left w:val="nil"/>
              <w:bottom w:val="nil"/>
              <w:right w:val="nil"/>
            </w:tcBorders>
            <w:shd w:val="clear" w:color="auto" w:fill="auto"/>
            <w:noWrap/>
            <w:vAlign w:val="bottom"/>
            <w:hideMark/>
          </w:tcPr>
          <w:p w14:paraId="7EC432A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9,194 </w:t>
            </w:r>
          </w:p>
        </w:tc>
        <w:tc>
          <w:tcPr>
            <w:tcW w:w="272" w:type="dxa"/>
            <w:tcBorders>
              <w:top w:val="nil"/>
              <w:left w:val="nil"/>
              <w:bottom w:val="nil"/>
              <w:right w:val="nil"/>
            </w:tcBorders>
            <w:shd w:val="clear" w:color="auto" w:fill="auto"/>
            <w:noWrap/>
            <w:vAlign w:val="bottom"/>
            <w:hideMark/>
          </w:tcPr>
          <w:p w14:paraId="47D7DDC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3F63DC42"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7,949 </w:t>
            </w:r>
          </w:p>
        </w:tc>
      </w:tr>
      <w:tr w:rsidR="00AC5D3E" w:rsidRPr="00AC5D3E" w14:paraId="59151F61"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7256CADE"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Inventories</w:t>
            </w:r>
          </w:p>
        </w:tc>
        <w:tc>
          <w:tcPr>
            <w:tcW w:w="1288" w:type="dxa"/>
            <w:gridSpan w:val="3"/>
            <w:tcBorders>
              <w:top w:val="nil"/>
              <w:left w:val="nil"/>
              <w:bottom w:val="nil"/>
              <w:right w:val="nil"/>
            </w:tcBorders>
            <w:shd w:val="clear" w:color="auto" w:fill="auto"/>
            <w:noWrap/>
            <w:vAlign w:val="bottom"/>
            <w:hideMark/>
          </w:tcPr>
          <w:p w14:paraId="06B1920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(956)</w:t>
            </w:r>
          </w:p>
        </w:tc>
        <w:tc>
          <w:tcPr>
            <w:tcW w:w="272" w:type="dxa"/>
            <w:tcBorders>
              <w:top w:val="nil"/>
              <w:left w:val="nil"/>
              <w:bottom w:val="nil"/>
              <w:right w:val="nil"/>
            </w:tcBorders>
            <w:shd w:val="clear" w:color="auto" w:fill="auto"/>
            <w:noWrap/>
            <w:vAlign w:val="bottom"/>
            <w:hideMark/>
          </w:tcPr>
          <w:p w14:paraId="653BAEE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3DB1624E"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(1,023)</w:t>
            </w:r>
          </w:p>
        </w:tc>
      </w:tr>
      <w:tr w:rsidR="00AC5D3E" w:rsidRPr="00AC5D3E" w14:paraId="4684C4A7"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1A61AC4D"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Other current assets</w:t>
            </w:r>
          </w:p>
        </w:tc>
        <w:tc>
          <w:tcPr>
            <w:tcW w:w="1288" w:type="dxa"/>
            <w:gridSpan w:val="3"/>
            <w:tcBorders>
              <w:top w:val="nil"/>
              <w:left w:val="nil"/>
              <w:bottom w:val="nil"/>
              <w:right w:val="nil"/>
            </w:tcBorders>
            <w:shd w:val="clear" w:color="auto" w:fill="auto"/>
            <w:noWrap/>
            <w:vAlign w:val="bottom"/>
            <w:hideMark/>
          </w:tcPr>
          <w:p w14:paraId="301BB43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(677)</w:t>
            </w:r>
          </w:p>
        </w:tc>
        <w:tc>
          <w:tcPr>
            <w:tcW w:w="272" w:type="dxa"/>
            <w:tcBorders>
              <w:top w:val="nil"/>
              <w:left w:val="nil"/>
              <w:bottom w:val="nil"/>
              <w:right w:val="nil"/>
            </w:tcBorders>
            <w:shd w:val="clear" w:color="auto" w:fill="auto"/>
            <w:noWrap/>
            <w:vAlign w:val="bottom"/>
            <w:hideMark/>
          </w:tcPr>
          <w:p w14:paraId="31DD0B8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080F1AD3"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(318)</w:t>
            </w:r>
          </w:p>
        </w:tc>
      </w:tr>
      <w:tr w:rsidR="00AC5D3E" w:rsidRPr="00AC5D3E" w14:paraId="508797E6"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6E7916C1"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Other long-term assets</w:t>
            </w:r>
          </w:p>
        </w:tc>
        <w:tc>
          <w:tcPr>
            <w:tcW w:w="1288" w:type="dxa"/>
            <w:gridSpan w:val="3"/>
            <w:tcBorders>
              <w:top w:val="nil"/>
              <w:left w:val="nil"/>
              <w:bottom w:val="nil"/>
              <w:right w:val="nil"/>
            </w:tcBorders>
            <w:shd w:val="clear" w:color="auto" w:fill="auto"/>
            <w:noWrap/>
            <w:vAlign w:val="bottom"/>
            <w:hideMark/>
          </w:tcPr>
          <w:p w14:paraId="366ACD0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21 </w:t>
            </w:r>
          </w:p>
        </w:tc>
        <w:tc>
          <w:tcPr>
            <w:tcW w:w="272" w:type="dxa"/>
            <w:tcBorders>
              <w:top w:val="nil"/>
              <w:left w:val="nil"/>
              <w:bottom w:val="nil"/>
              <w:right w:val="nil"/>
            </w:tcBorders>
            <w:shd w:val="clear" w:color="auto" w:fill="auto"/>
            <w:noWrap/>
            <w:vAlign w:val="bottom"/>
            <w:hideMark/>
          </w:tcPr>
          <w:p w14:paraId="3A4809A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78A79838"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(278)</w:t>
            </w:r>
          </w:p>
        </w:tc>
      </w:tr>
      <w:tr w:rsidR="00AC5D3E" w:rsidRPr="00AC5D3E" w14:paraId="72E36CC9"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7CDB409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Accounts payable</w:t>
            </w:r>
          </w:p>
        </w:tc>
        <w:tc>
          <w:tcPr>
            <w:tcW w:w="1288" w:type="dxa"/>
            <w:gridSpan w:val="3"/>
            <w:tcBorders>
              <w:top w:val="nil"/>
              <w:left w:val="nil"/>
              <w:bottom w:val="nil"/>
              <w:right w:val="nil"/>
            </w:tcBorders>
            <w:shd w:val="clear" w:color="auto" w:fill="auto"/>
            <w:noWrap/>
            <w:vAlign w:val="bottom"/>
            <w:hideMark/>
          </w:tcPr>
          <w:p w14:paraId="024B0D7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(395)</w:t>
            </w:r>
          </w:p>
        </w:tc>
        <w:tc>
          <w:tcPr>
            <w:tcW w:w="272" w:type="dxa"/>
            <w:tcBorders>
              <w:top w:val="nil"/>
              <w:left w:val="nil"/>
              <w:bottom w:val="nil"/>
              <w:right w:val="nil"/>
            </w:tcBorders>
            <w:shd w:val="clear" w:color="auto" w:fill="auto"/>
            <w:noWrap/>
            <w:vAlign w:val="bottom"/>
            <w:hideMark/>
          </w:tcPr>
          <w:p w14:paraId="144FA7A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4EDF9852"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(407)</w:t>
            </w:r>
          </w:p>
        </w:tc>
      </w:tr>
      <w:tr w:rsidR="00AC5D3E" w:rsidRPr="00AC5D3E" w14:paraId="20562ED6"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19D1438C"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Unearned revenue</w:t>
            </w:r>
          </w:p>
        </w:tc>
        <w:tc>
          <w:tcPr>
            <w:tcW w:w="1288" w:type="dxa"/>
            <w:gridSpan w:val="3"/>
            <w:tcBorders>
              <w:top w:val="nil"/>
              <w:left w:val="nil"/>
              <w:bottom w:val="nil"/>
              <w:right w:val="nil"/>
            </w:tcBorders>
            <w:shd w:val="clear" w:color="auto" w:fill="auto"/>
            <w:noWrap/>
            <w:vAlign w:val="bottom"/>
            <w:hideMark/>
          </w:tcPr>
          <w:p w14:paraId="0C19145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(2,441)</w:t>
            </w:r>
          </w:p>
        </w:tc>
        <w:tc>
          <w:tcPr>
            <w:tcW w:w="272" w:type="dxa"/>
            <w:tcBorders>
              <w:top w:val="nil"/>
              <w:left w:val="nil"/>
              <w:bottom w:val="nil"/>
              <w:right w:val="nil"/>
            </w:tcBorders>
            <w:shd w:val="clear" w:color="auto" w:fill="auto"/>
            <w:noWrap/>
            <w:vAlign w:val="bottom"/>
            <w:hideMark/>
          </w:tcPr>
          <w:p w14:paraId="392D6C0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1E96F588"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(1,806)</w:t>
            </w:r>
          </w:p>
        </w:tc>
      </w:tr>
      <w:tr w:rsidR="00AC5D3E" w:rsidRPr="00AC5D3E" w14:paraId="73C416F2"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254F85B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Income taxes</w:t>
            </w:r>
          </w:p>
        </w:tc>
        <w:tc>
          <w:tcPr>
            <w:tcW w:w="1288" w:type="dxa"/>
            <w:gridSpan w:val="3"/>
            <w:tcBorders>
              <w:top w:val="nil"/>
              <w:left w:val="nil"/>
              <w:bottom w:val="nil"/>
              <w:right w:val="nil"/>
            </w:tcBorders>
            <w:shd w:val="clear" w:color="auto" w:fill="auto"/>
            <w:noWrap/>
            <w:vAlign w:val="bottom"/>
            <w:hideMark/>
          </w:tcPr>
          <w:p w14:paraId="76C952E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(1,091)</w:t>
            </w:r>
          </w:p>
        </w:tc>
        <w:tc>
          <w:tcPr>
            <w:tcW w:w="272" w:type="dxa"/>
            <w:tcBorders>
              <w:top w:val="nil"/>
              <w:left w:val="nil"/>
              <w:bottom w:val="nil"/>
              <w:right w:val="nil"/>
            </w:tcBorders>
            <w:shd w:val="clear" w:color="auto" w:fill="auto"/>
            <w:noWrap/>
            <w:vAlign w:val="bottom"/>
            <w:hideMark/>
          </w:tcPr>
          <w:p w14:paraId="247E8C8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25E24028"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661 </w:t>
            </w:r>
          </w:p>
        </w:tc>
      </w:tr>
      <w:tr w:rsidR="00AC5D3E" w:rsidRPr="00AC5D3E" w14:paraId="5F13A1EF"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44B128A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Other current liabilities</w:t>
            </w:r>
          </w:p>
        </w:tc>
        <w:tc>
          <w:tcPr>
            <w:tcW w:w="1288" w:type="dxa"/>
            <w:gridSpan w:val="3"/>
            <w:tcBorders>
              <w:top w:val="nil"/>
              <w:left w:val="nil"/>
              <w:bottom w:val="nil"/>
              <w:right w:val="nil"/>
            </w:tcBorders>
            <w:shd w:val="clear" w:color="auto" w:fill="auto"/>
            <w:noWrap/>
            <w:vAlign w:val="bottom"/>
            <w:hideMark/>
          </w:tcPr>
          <w:p w14:paraId="5B70F69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(2,322)</w:t>
            </w:r>
          </w:p>
        </w:tc>
        <w:tc>
          <w:tcPr>
            <w:tcW w:w="272" w:type="dxa"/>
            <w:tcBorders>
              <w:top w:val="nil"/>
              <w:left w:val="nil"/>
              <w:bottom w:val="nil"/>
              <w:right w:val="nil"/>
            </w:tcBorders>
            <w:shd w:val="clear" w:color="auto" w:fill="auto"/>
            <w:noWrap/>
            <w:vAlign w:val="bottom"/>
            <w:hideMark/>
          </w:tcPr>
          <w:p w14:paraId="17B1D97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1CF0DB23"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(2,164)</w:t>
            </w:r>
          </w:p>
        </w:tc>
      </w:tr>
      <w:tr w:rsidR="00AC5D3E" w:rsidRPr="00AC5D3E" w14:paraId="0C2BA15B" w14:textId="77777777" w:rsidTr="0066673E">
        <w:trPr>
          <w:trHeight w:val="308"/>
        </w:trPr>
        <w:tc>
          <w:tcPr>
            <w:tcW w:w="5967" w:type="dxa"/>
            <w:gridSpan w:val="2"/>
            <w:tcBorders>
              <w:top w:val="nil"/>
              <w:left w:val="nil"/>
              <w:bottom w:val="single" w:sz="4" w:space="0" w:color="auto"/>
              <w:right w:val="nil"/>
            </w:tcBorders>
            <w:shd w:val="clear" w:color="auto" w:fill="auto"/>
            <w:noWrap/>
            <w:vAlign w:val="bottom"/>
            <w:hideMark/>
          </w:tcPr>
          <w:p w14:paraId="0F382DF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Other long-term liabilities</w:t>
            </w:r>
          </w:p>
        </w:tc>
        <w:tc>
          <w:tcPr>
            <w:tcW w:w="1288" w:type="dxa"/>
            <w:gridSpan w:val="3"/>
            <w:tcBorders>
              <w:top w:val="nil"/>
              <w:left w:val="nil"/>
              <w:bottom w:val="single" w:sz="4" w:space="0" w:color="auto"/>
              <w:right w:val="nil"/>
            </w:tcBorders>
            <w:shd w:val="clear" w:color="auto" w:fill="auto"/>
            <w:noWrap/>
            <w:vAlign w:val="bottom"/>
            <w:hideMark/>
          </w:tcPr>
          <w:p w14:paraId="7947EB9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43 </w:t>
            </w:r>
          </w:p>
        </w:tc>
        <w:tc>
          <w:tcPr>
            <w:tcW w:w="272" w:type="dxa"/>
            <w:tcBorders>
              <w:top w:val="nil"/>
              <w:left w:val="nil"/>
              <w:bottom w:val="nil"/>
              <w:right w:val="nil"/>
            </w:tcBorders>
            <w:shd w:val="clear" w:color="auto" w:fill="auto"/>
            <w:noWrap/>
            <w:vAlign w:val="bottom"/>
            <w:hideMark/>
          </w:tcPr>
          <w:p w14:paraId="5724F22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3F6B230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354 </w:t>
            </w:r>
          </w:p>
        </w:tc>
      </w:tr>
      <w:tr w:rsidR="00AC5D3E" w:rsidRPr="00AC5D3E" w14:paraId="02D046FD" w14:textId="77777777" w:rsidTr="0066673E">
        <w:trPr>
          <w:trHeight w:val="308"/>
        </w:trPr>
        <w:tc>
          <w:tcPr>
            <w:tcW w:w="5967" w:type="dxa"/>
            <w:gridSpan w:val="2"/>
            <w:tcBorders>
              <w:top w:val="nil"/>
              <w:left w:val="nil"/>
              <w:bottom w:val="single" w:sz="4" w:space="0" w:color="auto"/>
              <w:right w:val="nil"/>
            </w:tcBorders>
            <w:shd w:val="clear" w:color="auto" w:fill="auto"/>
            <w:vAlign w:val="bottom"/>
            <w:hideMark/>
          </w:tcPr>
          <w:p w14:paraId="00D9E36C"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Net cash from operations</w:t>
            </w:r>
          </w:p>
        </w:tc>
        <w:tc>
          <w:tcPr>
            <w:tcW w:w="1288" w:type="dxa"/>
            <w:gridSpan w:val="3"/>
            <w:tcBorders>
              <w:top w:val="nil"/>
              <w:left w:val="nil"/>
              <w:bottom w:val="single" w:sz="4" w:space="0" w:color="auto"/>
              <w:right w:val="nil"/>
            </w:tcBorders>
            <w:shd w:val="clear" w:color="auto" w:fill="auto"/>
            <w:noWrap/>
            <w:vAlign w:val="bottom"/>
            <w:hideMark/>
          </w:tcPr>
          <w:p w14:paraId="41F6650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13,657 </w:t>
            </w:r>
          </w:p>
        </w:tc>
        <w:tc>
          <w:tcPr>
            <w:tcW w:w="272" w:type="dxa"/>
            <w:tcBorders>
              <w:top w:val="nil"/>
              <w:left w:val="nil"/>
              <w:bottom w:val="nil"/>
              <w:right w:val="nil"/>
            </w:tcBorders>
            <w:shd w:val="clear" w:color="auto" w:fill="auto"/>
            <w:noWrap/>
            <w:vAlign w:val="bottom"/>
            <w:hideMark/>
          </w:tcPr>
          <w:p w14:paraId="248E794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08CEDBB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12,440 </w:t>
            </w:r>
          </w:p>
        </w:tc>
      </w:tr>
      <w:tr w:rsidR="00AC5D3E" w:rsidRPr="00AC5D3E" w14:paraId="1ECBAE36"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0B401847"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Financing</w:t>
            </w:r>
          </w:p>
        </w:tc>
        <w:tc>
          <w:tcPr>
            <w:tcW w:w="1288" w:type="dxa"/>
            <w:gridSpan w:val="3"/>
            <w:tcBorders>
              <w:top w:val="nil"/>
              <w:left w:val="nil"/>
              <w:bottom w:val="nil"/>
              <w:right w:val="nil"/>
            </w:tcBorders>
            <w:shd w:val="clear" w:color="auto" w:fill="auto"/>
            <w:noWrap/>
            <w:vAlign w:val="bottom"/>
            <w:hideMark/>
          </w:tcPr>
          <w:p w14:paraId="34F01065"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8B1D0CA"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029" w:type="dxa"/>
            <w:gridSpan w:val="2"/>
            <w:tcBorders>
              <w:top w:val="nil"/>
              <w:left w:val="nil"/>
              <w:bottom w:val="nil"/>
              <w:right w:val="nil"/>
            </w:tcBorders>
            <w:shd w:val="clear" w:color="auto" w:fill="auto"/>
            <w:noWrap/>
            <w:vAlign w:val="bottom"/>
            <w:hideMark/>
          </w:tcPr>
          <w:p w14:paraId="58A3CBBB"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5B553109" w14:textId="77777777" w:rsidTr="0066673E">
        <w:trPr>
          <w:trHeight w:val="615"/>
        </w:trPr>
        <w:tc>
          <w:tcPr>
            <w:tcW w:w="5967" w:type="dxa"/>
            <w:gridSpan w:val="2"/>
            <w:tcBorders>
              <w:top w:val="nil"/>
              <w:left w:val="nil"/>
              <w:bottom w:val="nil"/>
              <w:right w:val="nil"/>
            </w:tcBorders>
            <w:shd w:val="clear" w:color="auto" w:fill="auto"/>
            <w:vAlign w:val="bottom"/>
            <w:hideMark/>
          </w:tcPr>
          <w:p w14:paraId="06E708F7"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Repayments of short-term debt, maturities of 90 days </w:t>
            </w:r>
            <w:r w:rsidRPr="00AC5D3E">
              <w:rPr>
                <w:rFonts w:ascii="Segoe UI" w:eastAsia="Times New Roman" w:hAnsi="Segoe UI" w:cs="Segoe UI"/>
                <w:color w:val="666666"/>
                <w:sz w:val="20"/>
                <w:szCs w:val="20"/>
              </w:rPr>
              <w:br/>
              <w:t xml:space="preserve">  or less, net</w:t>
            </w:r>
          </w:p>
        </w:tc>
        <w:tc>
          <w:tcPr>
            <w:tcW w:w="1288" w:type="dxa"/>
            <w:gridSpan w:val="3"/>
            <w:tcBorders>
              <w:top w:val="nil"/>
              <w:left w:val="nil"/>
              <w:bottom w:val="nil"/>
              <w:right w:val="nil"/>
            </w:tcBorders>
            <w:shd w:val="clear" w:color="auto" w:fill="auto"/>
            <w:noWrap/>
            <w:vAlign w:val="bottom"/>
            <w:hideMark/>
          </w:tcPr>
          <w:p w14:paraId="684F99C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50CC8F3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529FE65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(3,710)</w:t>
            </w:r>
          </w:p>
        </w:tc>
      </w:tr>
      <w:tr w:rsidR="00AC5D3E" w:rsidRPr="00AC5D3E" w14:paraId="7D4BCF17" w14:textId="77777777" w:rsidTr="0066673E">
        <w:trPr>
          <w:trHeight w:val="308"/>
        </w:trPr>
        <w:tc>
          <w:tcPr>
            <w:tcW w:w="5967" w:type="dxa"/>
            <w:gridSpan w:val="2"/>
            <w:tcBorders>
              <w:top w:val="nil"/>
              <w:left w:val="nil"/>
              <w:bottom w:val="nil"/>
              <w:right w:val="nil"/>
            </w:tcBorders>
            <w:shd w:val="clear" w:color="auto" w:fill="auto"/>
            <w:vAlign w:val="bottom"/>
            <w:hideMark/>
          </w:tcPr>
          <w:p w14:paraId="6E47096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Proceeds from issuance of debt</w:t>
            </w:r>
          </w:p>
        </w:tc>
        <w:tc>
          <w:tcPr>
            <w:tcW w:w="1288" w:type="dxa"/>
            <w:gridSpan w:val="3"/>
            <w:tcBorders>
              <w:top w:val="nil"/>
              <w:left w:val="nil"/>
              <w:bottom w:val="nil"/>
              <w:right w:val="nil"/>
            </w:tcBorders>
            <w:shd w:val="clear" w:color="auto" w:fill="auto"/>
            <w:noWrap/>
            <w:vAlign w:val="bottom"/>
            <w:hideMark/>
          </w:tcPr>
          <w:p w14:paraId="364073C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61A7997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75B6B50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3,954 </w:t>
            </w:r>
          </w:p>
        </w:tc>
      </w:tr>
      <w:tr w:rsidR="00AC5D3E" w:rsidRPr="00AC5D3E" w14:paraId="7F918EB7" w14:textId="77777777" w:rsidTr="0066673E">
        <w:trPr>
          <w:trHeight w:val="308"/>
        </w:trPr>
        <w:tc>
          <w:tcPr>
            <w:tcW w:w="5967" w:type="dxa"/>
            <w:gridSpan w:val="2"/>
            <w:tcBorders>
              <w:top w:val="nil"/>
              <w:left w:val="nil"/>
              <w:bottom w:val="nil"/>
              <w:right w:val="nil"/>
            </w:tcBorders>
            <w:shd w:val="clear" w:color="auto" w:fill="auto"/>
            <w:vAlign w:val="bottom"/>
            <w:hideMark/>
          </w:tcPr>
          <w:p w14:paraId="6054A7CE"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Repayments of debt</w:t>
            </w:r>
          </w:p>
        </w:tc>
        <w:tc>
          <w:tcPr>
            <w:tcW w:w="1288" w:type="dxa"/>
            <w:gridSpan w:val="3"/>
            <w:tcBorders>
              <w:top w:val="nil"/>
              <w:left w:val="nil"/>
              <w:bottom w:val="nil"/>
              <w:right w:val="nil"/>
            </w:tcBorders>
            <w:shd w:val="clear" w:color="auto" w:fill="auto"/>
            <w:noWrap/>
            <w:vAlign w:val="bottom"/>
            <w:hideMark/>
          </w:tcPr>
          <w:p w14:paraId="2AB66CD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37965B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5340FF5E"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(1,169)</w:t>
            </w:r>
          </w:p>
        </w:tc>
      </w:tr>
      <w:tr w:rsidR="00AC5D3E" w:rsidRPr="00AC5D3E" w14:paraId="68903FC3"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0E1CECF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Common stock issued</w:t>
            </w:r>
          </w:p>
        </w:tc>
        <w:tc>
          <w:tcPr>
            <w:tcW w:w="1288" w:type="dxa"/>
            <w:gridSpan w:val="3"/>
            <w:tcBorders>
              <w:top w:val="nil"/>
              <w:left w:val="nil"/>
              <w:bottom w:val="nil"/>
              <w:right w:val="nil"/>
            </w:tcBorders>
            <w:shd w:val="clear" w:color="auto" w:fill="auto"/>
            <w:noWrap/>
            <w:vAlign w:val="bottom"/>
            <w:hideMark/>
          </w:tcPr>
          <w:p w14:paraId="06BB2AD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360 </w:t>
            </w:r>
          </w:p>
        </w:tc>
        <w:tc>
          <w:tcPr>
            <w:tcW w:w="272" w:type="dxa"/>
            <w:tcBorders>
              <w:top w:val="nil"/>
              <w:left w:val="nil"/>
              <w:bottom w:val="nil"/>
              <w:right w:val="nil"/>
            </w:tcBorders>
            <w:shd w:val="clear" w:color="auto" w:fill="auto"/>
            <w:noWrap/>
            <w:vAlign w:val="bottom"/>
            <w:hideMark/>
          </w:tcPr>
          <w:p w14:paraId="5566C6D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62E7901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307 </w:t>
            </w:r>
          </w:p>
        </w:tc>
      </w:tr>
      <w:tr w:rsidR="00AC5D3E" w:rsidRPr="00AC5D3E" w14:paraId="5EBC9C44"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00EB018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Common stock repurchased</w:t>
            </w:r>
          </w:p>
        </w:tc>
        <w:tc>
          <w:tcPr>
            <w:tcW w:w="1288" w:type="dxa"/>
            <w:gridSpan w:val="3"/>
            <w:tcBorders>
              <w:top w:val="nil"/>
              <w:left w:val="nil"/>
              <w:bottom w:val="nil"/>
              <w:right w:val="nil"/>
            </w:tcBorders>
            <w:shd w:val="clear" w:color="auto" w:fill="auto"/>
            <w:noWrap/>
            <w:vAlign w:val="bottom"/>
            <w:hideMark/>
          </w:tcPr>
          <w:p w14:paraId="52A6117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(3,744)</w:t>
            </w:r>
          </w:p>
        </w:tc>
        <w:tc>
          <w:tcPr>
            <w:tcW w:w="272" w:type="dxa"/>
            <w:tcBorders>
              <w:top w:val="nil"/>
              <w:left w:val="nil"/>
              <w:bottom w:val="nil"/>
              <w:right w:val="nil"/>
            </w:tcBorders>
            <w:shd w:val="clear" w:color="auto" w:fill="auto"/>
            <w:noWrap/>
            <w:vAlign w:val="bottom"/>
            <w:hideMark/>
          </w:tcPr>
          <w:p w14:paraId="47F84338"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1A378381"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(2,570)</w:t>
            </w:r>
          </w:p>
        </w:tc>
      </w:tr>
      <w:tr w:rsidR="00AC5D3E" w:rsidRPr="00AC5D3E" w14:paraId="62C0A588"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04C3C395"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Common stock cash dividends paid</w:t>
            </w:r>
          </w:p>
        </w:tc>
        <w:tc>
          <w:tcPr>
            <w:tcW w:w="1288" w:type="dxa"/>
            <w:gridSpan w:val="3"/>
            <w:tcBorders>
              <w:top w:val="nil"/>
              <w:left w:val="nil"/>
              <w:bottom w:val="nil"/>
              <w:right w:val="nil"/>
            </w:tcBorders>
            <w:shd w:val="clear" w:color="auto" w:fill="auto"/>
            <w:noWrap/>
            <w:vAlign w:val="bottom"/>
            <w:hideMark/>
          </w:tcPr>
          <w:p w14:paraId="6532EDA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(3,220)</w:t>
            </w:r>
          </w:p>
        </w:tc>
        <w:tc>
          <w:tcPr>
            <w:tcW w:w="272" w:type="dxa"/>
            <w:tcBorders>
              <w:top w:val="nil"/>
              <w:left w:val="nil"/>
              <w:bottom w:val="nil"/>
              <w:right w:val="nil"/>
            </w:tcBorders>
            <w:shd w:val="clear" w:color="auto" w:fill="auto"/>
            <w:noWrap/>
            <w:vAlign w:val="bottom"/>
            <w:hideMark/>
          </w:tcPr>
          <w:p w14:paraId="6DD477F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0B0BE79A"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(3,003)</w:t>
            </w:r>
          </w:p>
        </w:tc>
      </w:tr>
      <w:tr w:rsidR="00AC5D3E" w:rsidRPr="00AC5D3E" w14:paraId="597B7F14" w14:textId="77777777" w:rsidTr="0066673E">
        <w:trPr>
          <w:trHeight w:val="308"/>
        </w:trPr>
        <w:tc>
          <w:tcPr>
            <w:tcW w:w="5967" w:type="dxa"/>
            <w:gridSpan w:val="2"/>
            <w:tcBorders>
              <w:top w:val="nil"/>
              <w:left w:val="nil"/>
              <w:bottom w:val="single" w:sz="4" w:space="0" w:color="auto"/>
              <w:right w:val="nil"/>
            </w:tcBorders>
            <w:shd w:val="clear" w:color="auto" w:fill="auto"/>
            <w:vAlign w:val="bottom"/>
            <w:hideMark/>
          </w:tcPr>
          <w:p w14:paraId="139B4127"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Other, net</w:t>
            </w:r>
          </w:p>
        </w:tc>
        <w:tc>
          <w:tcPr>
            <w:tcW w:w="1288" w:type="dxa"/>
            <w:gridSpan w:val="3"/>
            <w:tcBorders>
              <w:top w:val="nil"/>
              <w:left w:val="nil"/>
              <w:bottom w:val="single" w:sz="4" w:space="0" w:color="auto"/>
              <w:right w:val="nil"/>
            </w:tcBorders>
            <w:shd w:val="clear" w:color="auto" w:fill="auto"/>
            <w:noWrap/>
            <w:vAlign w:val="bottom"/>
            <w:hideMark/>
          </w:tcPr>
          <w:p w14:paraId="461F3A7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(780)</w:t>
            </w:r>
          </w:p>
        </w:tc>
        <w:tc>
          <w:tcPr>
            <w:tcW w:w="272" w:type="dxa"/>
            <w:tcBorders>
              <w:top w:val="nil"/>
              <w:left w:val="nil"/>
              <w:bottom w:val="nil"/>
              <w:right w:val="nil"/>
            </w:tcBorders>
            <w:shd w:val="clear" w:color="auto" w:fill="auto"/>
            <w:noWrap/>
            <w:vAlign w:val="bottom"/>
            <w:hideMark/>
          </w:tcPr>
          <w:p w14:paraId="371334D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76DEB966"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(150)</w:t>
            </w:r>
          </w:p>
        </w:tc>
      </w:tr>
      <w:tr w:rsidR="00AC5D3E" w:rsidRPr="00AC5D3E" w14:paraId="7E7A9277" w14:textId="77777777" w:rsidTr="0066673E">
        <w:trPr>
          <w:trHeight w:val="308"/>
        </w:trPr>
        <w:tc>
          <w:tcPr>
            <w:tcW w:w="5967" w:type="dxa"/>
            <w:gridSpan w:val="2"/>
            <w:tcBorders>
              <w:top w:val="nil"/>
              <w:left w:val="nil"/>
              <w:bottom w:val="single" w:sz="4" w:space="0" w:color="auto"/>
              <w:right w:val="nil"/>
            </w:tcBorders>
            <w:shd w:val="clear" w:color="auto" w:fill="auto"/>
            <w:vAlign w:val="bottom"/>
            <w:hideMark/>
          </w:tcPr>
          <w:p w14:paraId="71C71A5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Net cash used in financing</w:t>
            </w:r>
          </w:p>
        </w:tc>
        <w:tc>
          <w:tcPr>
            <w:tcW w:w="1288" w:type="dxa"/>
            <w:gridSpan w:val="3"/>
            <w:tcBorders>
              <w:top w:val="nil"/>
              <w:left w:val="nil"/>
              <w:bottom w:val="single" w:sz="4" w:space="0" w:color="auto"/>
              <w:right w:val="nil"/>
            </w:tcBorders>
            <w:shd w:val="clear" w:color="auto" w:fill="auto"/>
            <w:noWrap/>
            <w:vAlign w:val="bottom"/>
            <w:hideMark/>
          </w:tcPr>
          <w:p w14:paraId="7E4BB53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(7,384)</w:t>
            </w:r>
          </w:p>
        </w:tc>
        <w:tc>
          <w:tcPr>
            <w:tcW w:w="272" w:type="dxa"/>
            <w:tcBorders>
              <w:top w:val="nil"/>
              <w:left w:val="nil"/>
              <w:bottom w:val="nil"/>
              <w:right w:val="nil"/>
            </w:tcBorders>
            <w:shd w:val="clear" w:color="auto" w:fill="auto"/>
            <w:noWrap/>
            <w:vAlign w:val="bottom"/>
            <w:hideMark/>
          </w:tcPr>
          <w:p w14:paraId="3974890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46BA91D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(6,341)</w:t>
            </w:r>
          </w:p>
        </w:tc>
      </w:tr>
      <w:tr w:rsidR="00AC5D3E" w:rsidRPr="00AC5D3E" w14:paraId="79BF9020"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3F51CE80"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Investing</w:t>
            </w:r>
          </w:p>
        </w:tc>
        <w:tc>
          <w:tcPr>
            <w:tcW w:w="1288" w:type="dxa"/>
            <w:gridSpan w:val="3"/>
            <w:tcBorders>
              <w:top w:val="nil"/>
              <w:left w:val="nil"/>
              <w:bottom w:val="nil"/>
              <w:right w:val="nil"/>
            </w:tcBorders>
            <w:shd w:val="clear" w:color="auto" w:fill="auto"/>
            <w:noWrap/>
            <w:vAlign w:val="bottom"/>
            <w:hideMark/>
          </w:tcPr>
          <w:p w14:paraId="406BD44D"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3BC529C" w14:textId="77777777" w:rsidR="00AC5D3E" w:rsidRPr="00AC5D3E" w:rsidRDefault="00AC5D3E" w:rsidP="00AC5D3E">
            <w:pPr>
              <w:spacing w:after="0" w:line="240" w:lineRule="auto"/>
              <w:jc w:val="right"/>
              <w:rPr>
                <w:rFonts w:ascii="Times New Roman" w:eastAsia="Times New Roman" w:hAnsi="Times New Roman"/>
                <w:sz w:val="20"/>
                <w:szCs w:val="20"/>
              </w:rPr>
            </w:pPr>
          </w:p>
        </w:tc>
        <w:tc>
          <w:tcPr>
            <w:tcW w:w="1029" w:type="dxa"/>
            <w:gridSpan w:val="2"/>
            <w:tcBorders>
              <w:top w:val="nil"/>
              <w:left w:val="nil"/>
              <w:bottom w:val="nil"/>
              <w:right w:val="nil"/>
            </w:tcBorders>
            <w:shd w:val="clear" w:color="auto" w:fill="auto"/>
            <w:noWrap/>
            <w:vAlign w:val="bottom"/>
            <w:hideMark/>
          </w:tcPr>
          <w:p w14:paraId="6AB9ECD5" w14:textId="77777777" w:rsidR="00AC5D3E" w:rsidRPr="00AC5D3E" w:rsidRDefault="00AC5D3E" w:rsidP="00AC5D3E">
            <w:pPr>
              <w:spacing w:after="0" w:line="240" w:lineRule="auto"/>
              <w:rPr>
                <w:rFonts w:ascii="Times New Roman" w:eastAsia="Times New Roman" w:hAnsi="Times New Roman"/>
                <w:sz w:val="20"/>
                <w:szCs w:val="20"/>
              </w:rPr>
            </w:pPr>
          </w:p>
        </w:tc>
      </w:tr>
      <w:tr w:rsidR="00AC5D3E" w:rsidRPr="00AC5D3E" w14:paraId="0D660870" w14:textId="77777777" w:rsidTr="0066673E">
        <w:trPr>
          <w:trHeight w:val="308"/>
        </w:trPr>
        <w:tc>
          <w:tcPr>
            <w:tcW w:w="5967" w:type="dxa"/>
            <w:gridSpan w:val="2"/>
            <w:tcBorders>
              <w:top w:val="nil"/>
              <w:left w:val="nil"/>
              <w:bottom w:val="nil"/>
              <w:right w:val="nil"/>
            </w:tcBorders>
            <w:shd w:val="clear" w:color="auto" w:fill="auto"/>
            <w:vAlign w:val="bottom"/>
            <w:hideMark/>
          </w:tcPr>
          <w:p w14:paraId="45091948"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Additions to property and equipment</w:t>
            </w:r>
          </w:p>
        </w:tc>
        <w:tc>
          <w:tcPr>
            <w:tcW w:w="1288" w:type="dxa"/>
            <w:gridSpan w:val="3"/>
            <w:tcBorders>
              <w:top w:val="nil"/>
              <w:left w:val="nil"/>
              <w:bottom w:val="nil"/>
              <w:right w:val="nil"/>
            </w:tcBorders>
            <w:shd w:val="clear" w:color="auto" w:fill="auto"/>
            <w:noWrap/>
            <w:vAlign w:val="bottom"/>
            <w:hideMark/>
          </w:tcPr>
          <w:p w14:paraId="091BAA2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(3,602)</w:t>
            </w:r>
          </w:p>
        </w:tc>
        <w:tc>
          <w:tcPr>
            <w:tcW w:w="272" w:type="dxa"/>
            <w:tcBorders>
              <w:top w:val="nil"/>
              <w:left w:val="nil"/>
              <w:bottom w:val="nil"/>
              <w:right w:val="nil"/>
            </w:tcBorders>
            <w:shd w:val="clear" w:color="auto" w:fill="auto"/>
            <w:noWrap/>
            <w:vAlign w:val="bottom"/>
            <w:hideMark/>
          </w:tcPr>
          <w:p w14:paraId="055BB9E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2AF829BD"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(2,132)</w:t>
            </w:r>
          </w:p>
        </w:tc>
      </w:tr>
      <w:tr w:rsidR="00AC5D3E" w:rsidRPr="00AC5D3E" w14:paraId="665E88D3" w14:textId="77777777" w:rsidTr="0066673E">
        <w:trPr>
          <w:trHeight w:val="615"/>
        </w:trPr>
        <w:tc>
          <w:tcPr>
            <w:tcW w:w="5967" w:type="dxa"/>
            <w:gridSpan w:val="2"/>
            <w:tcBorders>
              <w:top w:val="nil"/>
              <w:left w:val="nil"/>
              <w:bottom w:val="nil"/>
              <w:right w:val="nil"/>
            </w:tcBorders>
            <w:shd w:val="clear" w:color="auto" w:fill="auto"/>
            <w:vAlign w:val="bottom"/>
            <w:hideMark/>
          </w:tcPr>
          <w:p w14:paraId="1E5E5CD3"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Acquisition of companies, net of cash acquired,</w:t>
            </w:r>
            <w:r w:rsidRPr="00AC5D3E">
              <w:rPr>
                <w:rFonts w:ascii="Segoe UI" w:eastAsia="Times New Roman" w:hAnsi="Segoe UI" w:cs="Segoe UI"/>
                <w:color w:val="666666"/>
                <w:sz w:val="20"/>
                <w:szCs w:val="20"/>
              </w:rPr>
              <w:br/>
              <w:t xml:space="preserve">  and purchases of intangible and other assets</w:t>
            </w:r>
          </w:p>
        </w:tc>
        <w:tc>
          <w:tcPr>
            <w:tcW w:w="1288" w:type="dxa"/>
            <w:gridSpan w:val="3"/>
            <w:tcBorders>
              <w:top w:val="nil"/>
              <w:left w:val="nil"/>
              <w:bottom w:val="nil"/>
              <w:right w:val="nil"/>
            </w:tcBorders>
            <w:shd w:val="clear" w:color="auto" w:fill="auto"/>
            <w:noWrap/>
            <w:vAlign w:val="bottom"/>
            <w:hideMark/>
          </w:tcPr>
          <w:p w14:paraId="251BBD9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(245)</w:t>
            </w:r>
          </w:p>
        </w:tc>
        <w:tc>
          <w:tcPr>
            <w:tcW w:w="272" w:type="dxa"/>
            <w:tcBorders>
              <w:top w:val="nil"/>
              <w:left w:val="nil"/>
              <w:bottom w:val="nil"/>
              <w:right w:val="nil"/>
            </w:tcBorders>
            <w:shd w:val="clear" w:color="auto" w:fill="auto"/>
            <w:noWrap/>
            <w:vAlign w:val="bottom"/>
            <w:hideMark/>
          </w:tcPr>
          <w:p w14:paraId="3445AA9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6FAD4C8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(179)</w:t>
            </w:r>
          </w:p>
        </w:tc>
      </w:tr>
      <w:tr w:rsidR="00AC5D3E" w:rsidRPr="00AC5D3E" w14:paraId="2178BE1D"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53B3EB21"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Purchases of investments</w:t>
            </w:r>
          </w:p>
        </w:tc>
        <w:tc>
          <w:tcPr>
            <w:tcW w:w="1288" w:type="dxa"/>
            <w:gridSpan w:val="3"/>
            <w:tcBorders>
              <w:top w:val="nil"/>
              <w:left w:val="nil"/>
              <w:bottom w:val="nil"/>
              <w:right w:val="nil"/>
            </w:tcBorders>
            <w:shd w:val="clear" w:color="auto" w:fill="auto"/>
            <w:noWrap/>
            <w:vAlign w:val="bottom"/>
            <w:hideMark/>
          </w:tcPr>
          <w:p w14:paraId="3850411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(19,551)</w:t>
            </w:r>
          </w:p>
        </w:tc>
        <w:tc>
          <w:tcPr>
            <w:tcW w:w="272" w:type="dxa"/>
            <w:tcBorders>
              <w:top w:val="nil"/>
              <w:left w:val="nil"/>
              <w:bottom w:val="nil"/>
              <w:right w:val="nil"/>
            </w:tcBorders>
            <w:shd w:val="clear" w:color="auto" w:fill="auto"/>
            <w:noWrap/>
            <w:vAlign w:val="bottom"/>
            <w:hideMark/>
          </w:tcPr>
          <w:p w14:paraId="79DD924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44418AD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(32,961)</w:t>
            </w:r>
          </w:p>
        </w:tc>
      </w:tr>
      <w:tr w:rsidR="00AC5D3E" w:rsidRPr="00AC5D3E" w14:paraId="60DFB385"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30222E1C"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Maturities of investments</w:t>
            </w:r>
          </w:p>
        </w:tc>
        <w:tc>
          <w:tcPr>
            <w:tcW w:w="1288" w:type="dxa"/>
            <w:gridSpan w:val="3"/>
            <w:tcBorders>
              <w:top w:val="nil"/>
              <w:left w:val="nil"/>
              <w:bottom w:val="nil"/>
              <w:right w:val="nil"/>
            </w:tcBorders>
            <w:shd w:val="clear" w:color="auto" w:fill="auto"/>
            <w:noWrap/>
            <w:vAlign w:val="bottom"/>
            <w:hideMark/>
          </w:tcPr>
          <w:p w14:paraId="2A4FBE4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5,214 </w:t>
            </w:r>
          </w:p>
        </w:tc>
        <w:tc>
          <w:tcPr>
            <w:tcW w:w="272" w:type="dxa"/>
            <w:tcBorders>
              <w:top w:val="nil"/>
              <w:left w:val="nil"/>
              <w:bottom w:val="nil"/>
              <w:right w:val="nil"/>
            </w:tcBorders>
            <w:shd w:val="clear" w:color="auto" w:fill="auto"/>
            <w:noWrap/>
            <w:vAlign w:val="bottom"/>
            <w:hideMark/>
          </w:tcPr>
          <w:p w14:paraId="5043053A"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362C69B2"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5,226 </w:t>
            </w:r>
          </w:p>
        </w:tc>
      </w:tr>
      <w:tr w:rsidR="00AC5D3E" w:rsidRPr="00AC5D3E" w14:paraId="6585AA87" w14:textId="77777777" w:rsidTr="0066673E">
        <w:trPr>
          <w:trHeight w:val="308"/>
        </w:trPr>
        <w:tc>
          <w:tcPr>
            <w:tcW w:w="5967" w:type="dxa"/>
            <w:gridSpan w:val="2"/>
            <w:tcBorders>
              <w:top w:val="nil"/>
              <w:left w:val="nil"/>
              <w:bottom w:val="nil"/>
              <w:right w:val="nil"/>
            </w:tcBorders>
            <w:shd w:val="clear" w:color="auto" w:fill="auto"/>
            <w:noWrap/>
            <w:vAlign w:val="bottom"/>
            <w:hideMark/>
          </w:tcPr>
          <w:p w14:paraId="00F6D7B4"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Sales of investments</w:t>
            </w:r>
          </w:p>
        </w:tc>
        <w:tc>
          <w:tcPr>
            <w:tcW w:w="1288" w:type="dxa"/>
            <w:gridSpan w:val="3"/>
            <w:tcBorders>
              <w:top w:val="nil"/>
              <w:left w:val="nil"/>
              <w:bottom w:val="nil"/>
              <w:right w:val="nil"/>
            </w:tcBorders>
            <w:shd w:val="clear" w:color="auto" w:fill="auto"/>
            <w:noWrap/>
            <w:vAlign w:val="bottom"/>
            <w:hideMark/>
          </w:tcPr>
          <w:p w14:paraId="18BDB47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15,231 </w:t>
            </w:r>
          </w:p>
        </w:tc>
        <w:tc>
          <w:tcPr>
            <w:tcW w:w="272" w:type="dxa"/>
            <w:tcBorders>
              <w:top w:val="nil"/>
              <w:left w:val="nil"/>
              <w:bottom w:val="nil"/>
              <w:right w:val="nil"/>
            </w:tcBorders>
            <w:shd w:val="clear" w:color="auto" w:fill="auto"/>
            <w:noWrap/>
            <w:vAlign w:val="bottom"/>
            <w:hideMark/>
          </w:tcPr>
          <w:p w14:paraId="40C0E2D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42CA4A0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23,036 </w:t>
            </w:r>
          </w:p>
        </w:tc>
      </w:tr>
      <w:tr w:rsidR="00AC5D3E" w:rsidRPr="00AC5D3E" w14:paraId="7EF85FA8" w14:textId="77777777" w:rsidTr="0066673E">
        <w:trPr>
          <w:trHeight w:val="308"/>
        </w:trPr>
        <w:tc>
          <w:tcPr>
            <w:tcW w:w="5967" w:type="dxa"/>
            <w:gridSpan w:val="2"/>
            <w:tcBorders>
              <w:top w:val="nil"/>
              <w:left w:val="nil"/>
              <w:bottom w:val="single" w:sz="4" w:space="0" w:color="auto"/>
              <w:right w:val="nil"/>
            </w:tcBorders>
            <w:shd w:val="clear" w:color="auto" w:fill="auto"/>
            <w:noWrap/>
            <w:vAlign w:val="bottom"/>
            <w:hideMark/>
          </w:tcPr>
          <w:p w14:paraId="53EBF6A7"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Securities lending payable</w:t>
            </w:r>
          </w:p>
        </w:tc>
        <w:tc>
          <w:tcPr>
            <w:tcW w:w="1288" w:type="dxa"/>
            <w:gridSpan w:val="3"/>
            <w:tcBorders>
              <w:top w:val="nil"/>
              <w:left w:val="nil"/>
              <w:bottom w:val="single" w:sz="4" w:space="0" w:color="auto"/>
              <w:right w:val="nil"/>
            </w:tcBorders>
            <w:shd w:val="clear" w:color="auto" w:fill="auto"/>
            <w:noWrap/>
            <w:vAlign w:val="bottom"/>
            <w:hideMark/>
          </w:tcPr>
          <w:p w14:paraId="1E6236F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8E27FF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6453D3FC"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106 </w:t>
            </w:r>
          </w:p>
        </w:tc>
      </w:tr>
      <w:tr w:rsidR="00AC5D3E" w:rsidRPr="00AC5D3E" w14:paraId="51B5BB15" w14:textId="77777777" w:rsidTr="0066673E">
        <w:trPr>
          <w:trHeight w:val="308"/>
        </w:trPr>
        <w:tc>
          <w:tcPr>
            <w:tcW w:w="5967" w:type="dxa"/>
            <w:gridSpan w:val="2"/>
            <w:tcBorders>
              <w:top w:val="nil"/>
              <w:left w:val="nil"/>
              <w:bottom w:val="single" w:sz="4" w:space="0" w:color="auto"/>
              <w:right w:val="nil"/>
            </w:tcBorders>
            <w:shd w:val="clear" w:color="auto" w:fill="auto"/>
            <w:vAlign w:val="bottom"/>
            <w:hideMark/>
          </w:tcPr>
          <w:p w14:paraId="197AAC91"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Net cash used in investing</w:t>
            </w:r>
          </w:p>
        </w:tc>
        <w:tc>
          <w:tcPr>
            <w:tcW w:w="1288" w:type="dxa"/>
            <w:gridSpan w:val="3"/>
            <w:tcBorders>
              <w:top w:val="nil"/>
              <w:left w:val="nil"/>
              <w:bottom w:val="single" w:sz="4" w:space="0" w:color="auto"/>
              <w:right w:val="nil"/>
            </w:tcBorders>
            <w:shd w:val="clear" w:color="auto" w:fill="auto"/>
            <w:noWrap/>
            <w:vAlign w:val="bottom"/>
            <w:hideMark/>
          </w:tcPr>
          <w:p w14:paraId="123AE5F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(2,953)</w:t>
            </w:r>
          </w:p>
        </w:tc>
        <w:tc>
          <w:tcPr>
            <w:tcW w:w="272" w:type="dxa"/>
            <w:tcBorders>
              <w:top w:val="nil"/>
              <w:left w:val="nil"/>
              <w:bottom w:val="nil"/>
              <w:right w:val="nil"/>
            </w:tcBorders>
            <w:shd w:val="clear" w:color="auto" w:fill="auto"/>
            <w:noWrap/>
            <w:vAlign w:val="bottom"/>
            <w:hideMark/>
          </w:tcPr>
          <w:p w14:paraId="7894B31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7BA7069D"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(6,904)</w:t>
            </w:r>
          </w:p>
        </w:tc>
      </w:tr>
      <w:tr w:rsidR="00AC5D3E" w:rsidRPr="00AC5D3E" w14:paraId="35ECC48D" w14:textId="77777777" w:rsidTr="0066673E">
        <w:trPr>
          <w:trHeight w:val="615"/>
        </w:trPr>
        <w:tc>
          <w:tcPr>
            <w:tcW w:w="5967" w:type="dxa"/>
            <w:gridSpan w:val="2"/>
            <w:tcBorders>
              <w:top w:val="nil"/>
              <w:left w:val="nil"/>
              <w:bottom w:val="single" w:sz="4" w:space="0" w:color="auto"/>
              <w:right w:val="nil"/>
            </w:tcBorders>
            <w:shd w:val="clear" w:color="auto" w:fill="auto"/>
            <w:vAlign w:val="bottom"/>
            <w:hideMark/>
          </w:tcPr>
          <w:p w14:paraId="43D6ECD2"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Effect of foreign exchange rates on cash and cash </w:t>
            </w:r>
            <w:r w:rsidRPr="00AC5D3E">
              <w:rPr>
                <w:rFonts w:ascii="Segoe UI" w:eastAsia="Times New Roman" w:hAnsi="Segoe UI" w:cs="Segoe UI"/>
                <w:color w:val="666666"/>
                <w:sz w:val="20"/>
                <w:szCs w:val="20"/>
              </w:rPr>
              <w:br/>
              <w:t xml:space="preserve">   equivalents</w:t>
            </w:r>
          </w:p>
        </w:tc>
        <w:tc>
          <w:tcPr>
            <w:tcW w:w="1288" w:type="dxa"/>
            <w:gridSpan w:val="3"/>
            <w:tcBorders>
              <w:top w:val="nil"/>
              <w:left w:val="nil"/>
              <w:bottom w:val="single" w:sz="4" w:space="0" w:color="auto"/>
              <w:right w:val="nil"/>
            </w:tcBorders>
            <w:shd w:val="clear" w:color="auto" w:fill="auto"/>
            <w:noWrap/>
            <w:vAlign w:val="bottom"/>
            <w:hideMark/>
          </w:tcPr>
          <w:p w14:paraId="2748061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(129)</w:t>
            </w:r>
          </w:p>
        </w:tc>
        <w:tc>
          <w:tcPr>
            <w:tcW w:w="272" w:type="dxa"/>
            <w:tcBorders>
              <w:top w:val="nil"/>
              <w:left w:val="nil"/>
              <w:bottom w:val="nil"/>
              <w:right w:val="nil"/>
            </w:tcBorders>
            <w:shd w:val="clear" w:color="auto" w:fill="auto"/>
            <w:noWrap/>
            <w:vAlign w:val="bottom"/>
            <w:hideMark/>
          </w:tcPr>
          <w:p w14:paraId="111F478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7806BF7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26 </w:t>
            </w:r>
          </w:p>
        </w:tc>
      </w:tr>
      <w:tr w:rsidR="00AC5D3E" w:rsidRPr="00AC5D3E" w14:paraId="2E8D4A2E" w14:textId="77777777" w:rsidTr="0066673E">
        <w:trPr>
          <w:trHeight w:val="308"/>
        </w:trPr>
        <w:tc>
          <w:tcPr>
            <w:tcW w:w="5967" w:type="dxa"/>
            <w:gridSpan w:val="2"/>
            <w:tcBorders>
              <w:top w:val="nil"/>
              <w:left w:val="nil"/>
              <w:bottom w:val="nil"/>
              <w:right w:val="nil"/>
            </w:tcBorders>
            <w:shd w:val="clear" w:color="auto" w:fill="auto"/>
            <w:vAlign w:val="bottom"/>
            <w:hideMark/>
          </w:tcPr>
          <w:p w14:paraId="573D1A3B"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Net change in cash and cash equivalents</w:t>
            </w:r>
          </w:p>
        </w:tc>
        <w:tc>
          <w:tcPr>
            <w:tcW w:w="1288" w:type="dxa"/>
            <w:gridSpan w:val="3"/>
            <w:tcBorders>
              <w:top w:val="nil"/>
              <w:left w:val="nil"/>
              <w:bottom w:val="nil"/>
              <w:right w:val="nil"/>
            </w:tcBorders>
            <w:shd w:val="clear" w:color="auto" w:fill="auto"/>
            <w:noWrap/>
            <w:vAlign w:val="bottom"/>
            <w:hideMark/>
          </w:tcPr>
          <w:p w14:paraId="5E242E6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3,191 </w:t>
            </w:r>
          </w:p>
        </w:tc>
        <w:tc>
          <w:tcPr>
            <w:tcW w:w="272" w:type="dxa"/>
            <w:tcBorders>
              <w:top w:val="nil"/>
              <w:left w:val="nil"/>
              <w:bottom w:val="nil"/>
              <w:right w:val="nil"/>
            </w:tcBorders>
            <w:shd w:val="clear" w:color="auto" w:fill="auto"/>
            <w:noWrap/>
            <w:vAlign w:val="bottom"/>
            <w:hideMark/>
          </w:tcPr>
          <w:p w14:paraId="2D1652D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nil"/>
              <w:right w:val="nil"/>
            </w:tcBorders>
            <w:shd w:val="clear" w:color="auto" w:fill="auto"/>
            <w:noWrap/>
            <w:vAlign w:val="bottom"/>
            <w:hideMark/>
          </w:tcPr>
          <w:p w14:paraId="4C748E8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(779)</w:t>
            </w:r>
          </w:p>
        </w:tc>
      </w:tr>
      <w:tr w:rsidR="00AC5D3E" w:rsidRPr="00AC5D3E" w14:paraId="7A390D28" w14:textId="77777777" w:rsidTr="0066673E">
        <w:trPr>
          <w:trHeight w:val="308"/>
        </w:trPr>
        <w:tc>
          <w:tcPr>
            <w:tcW w:w="5967" w:type="dxa"/>
            <w:gridSpan w:val="2"/>
            <w:tcBorders>
              <w:top w:val="nil"/>
              <w:left w:val="nil"/>
              <w:bottom w:val="single" w:sz="4" w:space="0" w:color="auto"/>
              <w:right w:val="nil"/>
            </w:tcBorders>
            <w:shd w:val="clear" w:color="auto" w:fill="auto"/>
            <w:vAlign w:val="bottom"/>
            <w:hideMark/>
          </w:tcPr>
          <w:p w14:paraId="7D639ED3"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Cash and cash equivalents, beginning of period</w:t>
            </w:r>
          </w:p>
        </w:tc>
        <w:tc>
          <w:tcPr>
            <w:tcW w:w="1288" w:type="dxa"/>
            <w:gridSpan w:val="3"/>
            <w:tcBorders>
              <w:top w:val="nil"/>
              <w:left w:val="nil"/>
              <w:bottom w:val="single" w:sz="4" w:space="0" w:color="auto"/>
              <w:right w:val="nil"/>
            </w:tcBorders>
            <w:shd w:val="clear" w:color="auto" w:fill="auto"/>
            <w:noWrap/>
            <w:vAlign w:val="bottom"/>
            <w:hideMark/>
          </w:tcPr>
          <w:p w14:paraId="71D0F5D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11,946 </w:t>
            </w:r>
          </w:p>
        </w:tc>
        <w:tc>
          <w:tcPr>
            <w:tcW w:w="272" w:type="dxa"/>
            <w:tcBorders>
              <w:top w:val="nil"/>
              <w:left w:val="nil"/>
              <w:bottom w:val="nil"/>
              <w:right w:val="nil"/>
            </w:tcBorders>
            <w:shd w:val="clear" w:color="auto" w:fill="auto"/>
            <w:noWrap/>
            <w:vAlign w:val="bottom"/>
            <w:hideMark/>
          </w:tcPr>
          <w:p w14:paraId="7875312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4" w:space="0" w:color="auto"/>
              <w:right w:val="nil"/>
            </w:tcBorders>
            <w:shd w:val="clear" w:color="auto" w:fill="auto"/>
            <w:noWrap/>
            <w:vAlign w:val="bottom"/>
            <w:hideMark/>
          </w:tcPr>
          <w:p w14:paraId="42EC31A3"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7,663 </w:t>
            </w:r>
          </w:p>
        </w:tc>
      </w:tr>
      <w:tr w:rsidR="00AC5D3E" w:rsidRPr="00AC5D3E" w14:paraId="0E90CCDF" w14:textId="77777777" w:rsidTr="0066673E">
        <w:trPr>
          <w:trHeight w:val="315"/>
        </w:trPr>
        <w:tc>
          <w:tcPr>
            <w:tcW w:w="5967" w:type="dxa"/>
            <w:gridSpan w:val="2"/>
            <w:tcBorders>
              <w:top w:val="nil"/>
              <w:left w:val="nil"/>
              <w:bottom w:val="nil"/>
              <w:right w:val="nil"/>
            </w:tcBorders>
            <w:shd w:val="clear" w:color="auto" w:fill="auto"/>
            <w:vAlign w:val="bottom"/>
            <w:hideMark/>
          </w:tcPr>
          <w:p w14:paraId="79BABAA7"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Cash and cash equivalents, end of period</w:t>
            </w:r>
          </w:p>
        </w:tc>
        <w:tc>
          <w:tcPr>
            <w:tcW w:w="1288" w:type="dxa"/>
            <w:gridSpan w:val="3"/>
            <w:tcBorders>
              <w:top w:val="nil"/>
              <w:left w:val="nil"/>
              <w:bottom w:val="single" w:sz="8" w:space="0" w:color="auto"/>
              <w:right w:val="nil"/>
            </w:tcBorders>
            <w:shd w:val="clear" w:color="auto" w:fill="auto"/>
            <w:noWrap/>
            <w:vAlign w:val="bottom"/>
            <w:hideMark/>
          </w:tcPr>
          <w:p w14:paraId="0B979414"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$15,137 </w:t>
            </w:r>
          </w:p>
        </w:tc>
        <w:tc>
          <w:tcPr>
            <w:tcW w:w="272" w:type="dxa"/>
            <w:tcBorders>
              <w:top w:val="nil"/>
              <w:left w:val="nil"/>
              <w:bottom w:val="nil"/>
              <w:right w:val="nil"/>
            </w:tcBorders>
            <w:shd w:val="clear" w:color="auto" w:fill="auto"/>
            <w:noWrap/>
            <w:vAlign w:val="bottom"/>
            <w:hideMark/>
          </w:tcPr>
          <w:p w14:paraId="51187D09"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p>
        </w:tc>
        <w:tc>
          <w:tcPr>
            <w:tcW w:w="1029" w:type="dxa"/>
            <w:gridSpan w:val="2"/>
            <w:tcBorders>
              <w:top w:val="nil"/>
              <w:left w:val="nil"/>
              <w:bottom w:val="single" w:sz="8" w:space="0" w:color="auto"/>
              <w:right w:val="nil"/>
            </w:tcBorders>
            <w:shd w:val="clear" w:color="auto" w:fill="auto"/>
            <w:noWrap/>
            <w:vAlign w:val="bottom"/>
            <w:hideMark/>
          </w:tcPr>
          <w:p w14:paraId="33819DD5"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$6,884 </w:t>
            </w:r>
          </w:p>
        </w:tc>
      </w:tr>
      <w:tr w:rsidR="00AC5D3E" w:rsidRPr="00AC5D3E" w14:paraId="7747EE60" w14:textId="77777777" w:rsidTr="0066673E">
        <w:trPr>
          <w:gridAfter w:val="1"/>
          <w:wAfter w:w="151" w:type="dxa"/>
          <w:trHeight w:val="308"/>
        </w:trPr>
        <w:tc>
          <w:tcPr>
            <w:tcW w:w="8405" w:type="dxa"/>
            <w:gridSpan w:val="7"/>
            <w:tcBorders>
              <w:top w:val="nil"/>
              <w:left w:val="nil"/>
              <w:bottom w:val="nil"/>
              <w:right w:val="nil"/>
            </w:tcBorders>
            <w:shd w:val="clear" w:color="000000" w:fill="FFFFFF"/>
            <w:noWrap/>
            <w:vAlign w:val="bottom"/>
            <w:hideMark/>
          </w:tcPr>
          <w:p w14:paraId="217742BC"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lastRenderedPageBreak/>
              <w:t>SEGMENT REVENUE AND OPERATING INCOME</w:t>
            </w:r>
          </w:p>
        </w:tc>
      </w:tr>
      <w:tr w:rsidR="00AC5D3E" w:rsidRPr="00AC5D3E" w14:paraId="57637757" w14:textId="77777777" w:rsidTr="0066673E">
        <w:trPr>
          <w:gridAfter w:val="1"/>
          <w:wAfter w:w="151" w:type="dxa"/>
          <w:trHeight w:val="308"/>
        </w:trPr>
        <w:tc>
          <w:tcPr>
            <w:tcW w:w="8405" w:type="dxa"/>
            <w:gridSpan w:val="7"/>
            <w:tcBorders>
              <w:top w:val="nil"/>
              <w:left w:val="nil"/>
              <w:bottom w:val="nil"/>
              <w:right w:val="nil"/>
            </w:tcBorders>
            <w:shd w:val="clear" w:color="000000" w:fill="FFFFFF"/>
            <w:noWrap/>
            <w:vAlign w:val="bottom"/>
            <w:hideMark/>
          </w:tcPr>
          <w:p w14:paraId="1D90CF0A"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 millions)(Unaudited)</w:t>
            </w:r>
          </w:p>
        </w:tc>
      </w:tr>
      <w:tr w:rsidR="00AC5D3E" w:rsidRPr="00AC5D3E" w14:paraId="52462968"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1DE6341A"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w:t>
            </w:r>
          </w:p>
        </w:tc>
        <w:tc>
          <w:tcPr>
            <w:tcW w:w="1411" w:type="dxa"/>
            <w:gridSpan w:val="2"/>
            <w:tcBorders>
              <w:top w:val="nil"/>
              <w:left w:val="nil"/>
              <w:bottom w:val="nil"/>
              <w:right w:val="nil"/>
            </w:tcBorders>
            <w:shd w:val="clear" w:color="000000" w:fill="FFFFFF"/>
            <w:noWrap/>
            <w:vAlign w:val="bottom"/>
            <w:hideMark/>
          </w:tcPr>
          <w:p w14:paraId="236987B6"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w:t>
            </w:r>
          </w:p>
        </w:tc>
        <w:tc>
          <w:tcPr>
            <w:tcW w:w="271" w:type="dxa"/>
            <w:tcBorders>
              <w:top w:val="nil"/>
              <w:left w:val="nil"/>
              <w:bottom w:val="nil"/>
              <w:right w:val="nil"/>
            </w:tcBorders>
            <w:shd w:val="clear" w:color="000000" w:fill="FFFFFF"/>
            <w:noWrap/>
            <w:vAlign w:val="bottom"/>
            <w:hideMark/>
          </w:tcPr>
          <w:p w14:paraId="228828C9"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5C916E6D" w14:textId="77777777" w:rsidR="00AC5D3E" w:rsidRPr="00AC5D3E" w:rsidRDefault="00AC5D3E" w:rsidP="00AC5D3E">
            <w:pPr>
              <w:spacing w:after="0" w:line="240" w:lineRule="auto"/>
              <w:jc w:val="center"/>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w:t>
            </w:r>
          </w:p>
        </w:tc>
      </w:tr>
      <w:tr w:rsidR="00AC5D3E" w:rsidRPr="00AC5D3E" w14:paraId="08E8118A" w14:textId="77777777" w:rsidTr="0066673E">
        <w:trPr>
          <w:gridAfter w:val="1"/>
          <w:wAfter w:w="151" w:type="dxa"/>
          <w:trHeight w:val="300"/>
        </w:trPr>
        <w:tc>
          <w:tcPr>
            <w:tcW w:w="5404" w:type="dxa"/>
            <w:tcBorders>
              <w:top w:val="nil"/>
              <w:left w:val="nil"/>
              <w:bottom w:val="nil"/>
              <w:right w:val="nil"/>
            </w:tcBorders>
            <w:shd w:val="clear" w:color="000000" w:fill="FFFFFF"/>
            <w:noWrap/>
            <w:vAlign w:val="bottom"/>
            <w:hideMark/>
          </w:tcPr>
          <w:p w14:paraId="68AF6481"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3001" w:type="dxa"/>
            <w:gridSpan w:val="6"/>
            <w:vMerge w:val="restart"/>
            <w:tcBorders>
              <w:top w:val="nil"/>
              <w:left w:val="nil"/>
              <w:bottom w:val="nil"/>
              <w:right w:val="nil"/>
            </w:tcBorders>
            <w:shd w:val="clear" w:color="000000" w:fill="FFFFFF"/>
            <w:vAlign w:val="bottom"/>
            <w:hideMark/>
          </w:tcPr>
          <w:p w14:paraId="2BAF8E05"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Three Months Ended September 30,</w:t>
            </w:r>
          </w:p>
        </w:tc>
      </w:tr>
      <w:tr w:rsidR="00AC5D3E" w:rsidRPr="00AC5D3E" w14:paraId="6193785E"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49F585B1"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3001" w:type="dxa"/>
            <w:gridSpan w:val="6"/>
            <w:vMerge/>
            <w:tcBorders>
              <w:top w:val="nil"/>
              <w:left w:val="nil"/>
              <w:bottom w:val="nil"/>
              <w:right w:val="nil"/>
            </w:tcBorders>
            <w:vAlign w:val="center"/>
            <w:hideMark/>
          </w:tcPr>
          <w:p w14:paraId="6B16B7BB" w14:textId="77777777" w:rsidR="00AC5D3E" w:rsidRPr="00AC5D3E" w:rsidRDefault="00AC5D3E" w:rsidP="00AC5D3E">
            <w:pPr>
              <w:spacing w:after="0" w:line="240" w:lineRule="auto"/>
              <w:rPr>
                <w:rFonts w:ascii="Segoe UI" w:eastAsia="Times New Roman" w:hAnsi="Segoe UI" w:cs="Segoe UI"/>
                <w:b/>
                <w:bCs/>
                <w:color w:val="666666"/>
                <w:sz w:val="20"/>
                <w:szCs w:val="20"/>
              </w:rPr>
            </w:pPr>
          </w:p>
        </w:tc>
      </w:tr>
      <w:tr w:rsidR="00AC5D3E" w:rsidRPr="00AC5D3E" w14:paraId="019F04BF" w14:textId="77777777" w:rsidTr="0066673E">
        <w:trPr>
          <w:gridAfter w:val="1"/>
          <w:wAfter w:w="151" w:type="dxa"/>
          <w:trHeight w:val="308"/>
        </w:trPr>
        <w:tc>
          <w:tcPr>
            <w:tcW w:w="5404" w:type="dxa"/>
            <w:tcBorders>
              <w:top w:val="nil"/>
              <w:left w:val="nil"/>
              <w:bottom w:val="single" w:sz="4" w:space="0" w:color="auto"/>
              <w:right w:val="nil"/>
            </w:tcBorders>
            <w:shd w:val="clear" w:color="000000" w:fill="FFFFFF"/>
            <w:noWrap/>
            <w:vAlign w:val="bottom"/>
            <w:hideMark/>
          </w:tcPr>
          <w:p w14:paraId="717D9CAA"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411" w:type="dxa"/>
            <w:gridSpan w:val="2"/>
            <w:tcBorders>
              <w:top w:val="nil"/>
              <w:left w:val="nil"/>
              <w:bottom w:val="single" w:sz="4" w:space="0" w:color="auto"/>
              <w:right w:val="nil"/>
            </w:tcBorders>
            <w:shd w:val="clear" w:color="000000" w:fill="FFFFFF"/>
            <w:noWrap/>
            <w:vAlign w:val="bottom"/>
            <w:hideMark/>
          </w:tcPr>
          <w:p w14:paraId="7AF022E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2018</w:t>
            </w:r>
          </w:p>
        </w:tc>
        <w:tc>
          <w:tcPr>
            <w:tcW w:w="271" w:type="dxa"/>
            <w:tcBorders>
              <w:top w:val="nil"/>
              <w:left w:val="nil"/>
              <w:bottom w:val="single" w:sz="4" w:space="0" w:color="auto"/>
              <w:right w:val="nil"/>
            </w:tcBorders>
            <w:shd w:val="clear" w:color="000000" w:fill="FFFFFF"/>
            <w:noWrap/>
            <w:vAlign w:val="bottom"/>
            <w:hideMark/>
          </w:tcPr>
          <w:p w14:paraId="6977457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single" w:sz="4" w:space="0" w:color="auto"/>
              <w:right w:val="nil"/>
            </w:tcBorders>
            <w:shd w:val="clear" w:color="000000" w:fill="FFFFFF"/>
            <w:noWrap/>
            <w:vAlign w:val="bottom"/>
            <w:hideMark/>
          </w:tcPr>
          <w:p w14:paraId="1FB1C35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2017</w:t>
            </w:r>
          </w:p>
        </w:tc>
      </w:tr>
      <w:tr w:rsidR="00AC5D3E" w:rsidRPr="00AC5D3E" w14:paraId="6E08C9C5"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4C85D2B3"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Revenue</w:t>
            </w:r>
          </w:p>
        </w:tc>
        <w:tc>
          <w:tcPr>
            <w:tcW w:w="1411" w:type="dxa"/>
            <w:gridSpan w:val="2"/>
            <w:tcBorders>
              <w:top w:val="nil"/>
              <w:left w:val="nil"/>
              <w:bottom w:val="nil"/>
              <w:right w:val="nil"/>
            </w:tcBorders>
            <w:shd w:val="clear" w:color="000000" w:fill="FFFFFF"/>
            <w:noWrap/>
            <w:vAlign w:val="bottom"/>
            <w:hideMark/>
          </w:tcPr>
          <w:p w14:paraId="44F1098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271" w:type="dxa"/>
            <w:tcBorders>
              <w:top w:val="nil"/>
              <w:left w:val="nil"/>
              <w:bottom w:val="nil"/>
              <w:right w:val="nil"/>
            </w:tcBorders>
            <w:shd w:val="clear" w:color="000000" w:fill="FFFFFF"/>
            <w:noWrap/>
            <w:vAlign w:val="bottom"/>
            <w:hideMark/>
          </w:tcPr>
          <w:p w14:paraId="6E073F94"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271F122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w:t>
            </w:r>
          </w:p>
        </w:tc>
      </w:tr>
      <w:tr w:rsidR="00AC5D3E" w:rsidRPr="00AC5D3E" w14:paraId="2CC81640"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623175B6"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Productivity and Business Processes</w:t>
            </w:r>
          </w:p>
        </w:tc>
        <w:tc>
          <w:tcPr>
            <w:tcW w:w="1411" w:type="dxa"/>
            <w:gridSpan w:val="2"/>
            <w:tcBorders>
              <w:top w:val="nil"/>
              <w:left w:val="nil"/>
              <w:bottom w:val="nil"/>
              <w:right w:val="nil"/>
            </w:tcBorders>
            <w:shd w:val="clear" w:color="000000" w:fill="FFFFFF"/>
            <w:noWrap/>
            <w:vAlign w:val="bottom"/>
            <w:hideMark/>
          </w:tcPr>
          <w:p w14:paraId="1E7DBDBB"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$9,771 </w:t>
            </w:r>
          </w:p>
        </w:tc>
        <w:tc>
          <w:tcPr>
            <w:tcW w:w="271" w:type="dxa"/>
            <w:tcBorders>
              <w:top w:val="nil"/>
              <w:left w:val="nil"/>
              <w:bottom w:val="nil"/>
              <w:right w:val="nil"/>
            </w:tcBorders>
            <w:shd w:val="clear" w:color="000000" w:fill="FFFFFF"/>
            <w:noWrap/>
            <w:vAlign w:val="bottom"/>
            <w:hideMark/>
          </w:tcPr>
          <w:p w14:paraId="58E4770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4FB6A44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$8,238 </w:t>
            </w:r>
          </w:p>
        </w:tc>
      </w:tr>
      <w:tr w:rsidR="00AC5D3E" w:rsidRPr="00AC5D3E" w14:paraId="466168DF"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130A576A"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Intelligent Cloud</w:t>
            </w:r>
          </w:p>
        </w:tc>
        <w:tc>
          <w:tcPr>
            <w:tcW w:w="1411" w:type="dxa"/>
            <w:gridSpan w:val="2"/>
            <w:tcBorders>
              <w:top w:val="nil"/>
              <w:left w:val="nil"/>
              <w:bottom w:val="nil"/>
              <w:right w:val="nil"/>
            </w:tcBorders>
            <w:shd w:val="clear" w:color="000000" w:fill="FFFFFF"/>
            <w:noWrap/>
            <w:vAlign w:val="bottom"/>
            <w:hideMark/>
          </w:tcPr>
          <w:p w14:paraId="0EC83FE6"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8,567 </w:t>
            </w:r>
          </w:p>
        </w:tc>
        <w:tc>
          <w:tcPr>
            <w:tcW w:w="271" w:type="dxa"/>
            <w:tcBorders>
              <w:top w:val="nil"/>
              <w:left w:val="nil"/>
              <w:bottom w:val="nil"/>
              <w:right w:val="nil"/>
            </w:tcBorders>
            <w:shd w:val="clear" w:color="000000" w:fill="FFFFFF"/>
            <w:noWrap/>
            <w:vAlign w:val="bottom"/>
            <w:hideMark/>
          </w:tcPr>
          <w:p w14:paraId="33480B7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6DED5EF9"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6,922 </w:t>
            </w:r>
          </w:p>
        </w:tc>
      </w:tr>
      <w:tr w:rsidR="00AC5D3E" w:rsidRPr="00AC5D3E" w14:paraId="25B9AC0C" w14:textId="77777777" w:rsidTr="0066673E">
        <w:trPr>
          <w:gridAfter w:val="1"/>
          <w:wAfter w:w="151" w:type="dxa"/>
          <w:trHeight w:val="308"/>
        </w:trPr>
        <w:tc>
          <w:tcPr>
            <w:tcW w:w="5404" w:type="dxa"/>
            <w:tcBorders>
              <w:top w:val="nil"/>
              <w:left w:val="nil"/>
              <w:bottom w:val="single" w:sz="4" w:space="0" w:color="auto"/>
              <w:right w:val="nil"/>
            </w:tcBorders>
            <w:shd w:val="clear" w:color="000000" w:fill="FFFFFF"/>
            <w:noWrap/>
            <w:vAlign w:val="bottom"/>
            <w:hideMark/>
          </w:tcPr>
          <w:p w14:paraId="22011AF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More Personal Computing</w:t>
            </w:r>
          </w:p>
        </w:tc>
        <w:tc>
          <w:tcPr>
            <w:tcW w:w="1411" w:type="dxa"/>
            <w:gridSpan w:val="2"/>
            <w:tcBorders>
              <w:top w:val="nil"/>
              <w:left w:val="nil"/>
              <w:bottom w:val="single" w:sz="4" w:space="0" w:color="auto"/>
              <w:right w:val="nil"/>
            </w:tcBorders>
            <w:shd w:val="clear" w:color="000000" w:fill="FFFFFF"/>
            <w:noWrap/>
            <w:vAlign w:val="bottom"/>
            <w:hideMark/>
          </w:tcPr>
          <w:p w14:paraId="1F73408E"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10,746 </w:t>
            </w:r>
          </w:p>
        </w:tc>
        <w:tc>
          <w:tcPr>
            <w:tcW w:w="271" w:type="dxa"/>
            <w:tcBorders>
              <w:top w:val="nil"/>
              <w:left w:val="nil"/>
              <w:bottom w:val="nil"/>
              <w:right w:val="nil"/>
            </w:tcBorders>
            <w:shd w:val="clear" w:color="000000" w:fill="FFFFFF"/>
            <w:noWrap/>
            <w:vAlign w:val="bottom"/>
            <w:hideMark/>
          </w:tcPr>
          <w:p w14:paraId="2380597C"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0DF5B1F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9,378 </w:t>
            </w:r>
          </w:p>
        </w:tc>
      </w:tr>
      <w:tr w:rsidR="00AC5D3E" w:rsidRPr="00AC5D3E" w14:paraId="788B3492" w14:textId="77777777" w:rsidTr="0066673E">
        <w:trPr>
          <w:gridAfter w:val="1"/>
          <w:wAfter w:w="151" w:type="dxa"/>
          <w:trHeight w:val="315"/>
        </w:trPr>
        <w:tc>
          <w:tcPr>
            <w:tcW w:w="5404" w:type="dxa"/>
            <w:tcBorders>
              <w:top w:val="nil"/>
              <w:left w:val="nil"/>
              <w:bottom w:val="nil"/>
              <w:right w:val="nil"/>
            </w:tcBorders>
            <w:shd w:val="clear" w:color="000000" w:fill="FFFFFF"/>
            <w:noWrap/>
            <w:vAlign w:val="bottom"/>
            <w:hideMark/>
          </w:tcPr>
          <w:p w14:paraId="5F0A153C"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w:t>
            </w:r>
          </w:p>
        </w:tc>
        <w:tc>
          <w:tcPr>
            <w:tcW w:w="1411" w:type="dxa"/>
            <w:gridSpan w:val="2"/>
            <w:tcBorders>
              <w:top w:val="nil"/>
              <w:left w:val="nil"/>
              <w:bottom w:val="single" w:sz="8" w:space="0" w:color="auto"/>
              <w:right w:val="nil"/>
            </w:tcBorders>
            <w:shd w:val="clear" w:color="auto" w:fill="auto"/>
            <w:noWrap/>
            <w:vAlign w:val="bottom"/>
            <w:hideMark/>
          </w:tcPr>
          <w:p w14:paraId="20DD8693"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$29,084 </w:t>
            </w:r>
          </w:p>
        </w:tc>
        <w:tc>
          <w:tcPr>
            <w:tcW w:w="271" w:type="dxa"/>
            <w:tcBorders>
              <w:top w:val="nil"/>
              <w:left w:val="nil"/>
              <w:bottom w:val="nil"/>
              <w:right w:val="nil"/>
            </w:tcBorders>
            <w:shd w:val="clear" w:color="000000" w:fill="FFFFFF"/>
            <w:noWrap/>
            <w:vAlign w:val="bottom"/>
            <w:hideMark/>
          </w:tcPr>
          <w:p w14:paraId="6D807ED4"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single" w:sz="4" w:space="0" w:color="auto"/>
              <w:left w:val="nil"/>
              <w:bottom w:val="single" w:sz="8" w:space="0" w:color="auto"/>
              <w:right w:val="nil"/>
            </w:tcBorders>
            <w:shd w:val="clear" w:color="000000" w:fill="FFFFFF"/>
            <w:noWrap/>
            <w:vAlign w:val="bottom"/>
            <w:hideMark/>
          </w:tcPr>
          <w:p w14:paraId="758E8B84"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$24,538 </w:t>
            </w:r>
          </w:p>
        </w:tc>
      </w:tr>
      <w:tr w:rsidR="00AC5D3E" w:rsidRPr="00AC5D3E" w14:paraId="2A9A8BD0"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0F6CBB5B"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Operating Income</w:t>
            </w:r>
          </w:p>
        </w:tc>
        <w:tc>
          <w:tcPr>
            <w:tcW w:w="1411" w:type="dxa"/>
            <w:gridSpan w:val="2"/>
            <w:tcBorders>
              <w:top w:val="nil"/>
              <w:left w:val="nil"/>
              <w:bottom w:val="nil"/>
              <w:right w:val="nil"/>
            </w:tcBorders>
            <w:shd w:val="clear" w:color="000000" w:fill="FFFFFF"/>
            <w:noWrap/>
            <w:vAlign w:val="bottom"/>
            <w:hideMark/>
          </w:tcPr>
          <w:p w14:paraId="595C3E57"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271" w:type="dxa"/>
            <w:tcBorders>
              <w:top w:val="nil"/>
              <w:left w:val="nil"/>
              <w:bottom w:val="nil"/>
              <w:right w:val="nil"/>
            </w:tcBorders>
            <w:shd w:val="clear" w:color="000000" w:fill="FFFFFF"/>
            <w:noWrap/>
            <w:vAlign w:val="bottom"/>
            <w:hideMark/>
          </w:tcPr>
          <w:p w14:paraId="42D076DB"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526C94F0"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w:t>
            </w:r>
          </w:p>
        </w:tc>
      </w:tr>
      <w:tr w:rsidR="00AC5D3E" w:rsidRPr="00AC5D3E" w14:paraId="1C88EAFF"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05F26F20"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Productivity and Business Processes</w:t>
            </w:r>
          </w:p>
        </w:tc>
        <w:tc>
          <w:tcPr>
            <w:tcW w:w="1411" w:type="dxa"/>
            <w:gridSpan w:val="2"/>
            <w:tcBorders>
              <w:top w:val="nil"/>
              <w:left w:val="nil"/>
              <w:bottom w:val="nil"/>
              <w:right w:val="nil"/>
            </w:tcBorders>
            <w:shd w:val="clear" w:color="000000" w:fill="FFFFFF"/>
            <w:noWrap/>
            <w:vAlign w:val="bottom"/>
            <w:hideMark/>
          </w:tcPr>
          <w:p w14:paraId="409DD9D2"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$3,881 </w:t>
            </w:r>
          </w:p>
        </w:tc>
        <w:tc>
          <w:tcPr>
            <w:tcW w:w="271" w:type="dxa"/>
            <w:tcBorders>
              <w:top w:val="nil"/>
              <w:left w:val="nil"/>
              <w:bottom w:val="nil"/>
              <w:right w:val="nil"/>
            </w:tcBorders>
            <w:shd w:val="clear" w:color="000000" w:fill="FFFFFF"/>
            <w:noWrap/>
            <w:vAlign w:val="bottom"/>
            <w:hideMark/>
          </w:tcPr>
          <w:p w14:paraId="02BA13C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37965007"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$3,006 </w:t>
            </w:r>
          </w:p>
        </w:tc>
      </w:tr>
      <w:tr w:rsidR="00AC5D3E" w:rsidRPr="00AC5D3E" w14:paraId="2BDE923C" w14:textId="77777777" w:rsidTr="0066673E">
        <w:trPr>
          <w:gridAfter w:val="1"/>
          <w:wAfter w:w="151" w:type="dxa"/>
          <w:trHeight w:val="308"/>
        </w:trPr>
        <w:tc>
          <w:tcPr>
            <w:tcW w:w="5404" w:type="dxa"/>
            <w:tcBorders>
              <w:top w:val="nil"/>
              <w:left w:val="nil"/>
              <w:bottom w:val="nil"/>
              <w:right w:val="nil"/>
            </w:tcBorders>
            <w:shd w:val="clear" w:color="000000" w:fill="FFFFFF"/>
            <w:noWrap/>
            <w:vAlign w:val="bottom"/>
            <w:hideMark/>
          </w:tcPr>
          <w:p w14:paraId="4BAC09EF"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Intelligent Cloud</w:t>
            </w:r>
          </w:p>
        </w:tc>
        <w:tc>
          <w:tcPr>
            <w:tcW w:w="1411" w:type="dxa"/>
            <w:gridSpan w:val="2"/>
            <w:tcBorders>
              <w:top w:val="nil"/>
              <w:left w:val="nil"/>
              <w:bottom w:val="nil"/>
              <w:right w:val="nil"/>
            </w:tcBorders>
            <w:shd w:val="clear" w:color="000000" w:fill="FFFFFF"/>
            <w:noWrap/>
            <w:vAlign w:val="bottom"/>
            <w:hideMark/>
          </w:tcPr>
          <w:p w14:paraId="2205F2B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2,931 </w:t>
            </w:r>
          </w:p>
        </w:tc>
        <w:tc>
          <w:tcPr>
            <w:tcW w:w="271" w:type="dxa"/>
            <w:tcBorders>
              <w:top w:val="nil"/>
              <w:left w:val="nil"/>
              <w:bottom w:val="nil"/>
              <w:right w:val="nil"/>
            </w:tcBorders>
            <w:shd w:val="clear" w:color="000000" w:fill="FFFFFF"/>
            <w:noWrap/>
            <w:vAlign w:val="bottom"/>
            <w:hideMark/>
          </w:tcPr>
          <w:p w14:paraId="593DF920"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398B30DE"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2,137 </w:t>
            </w:r>
          </w:p>
        </w:tc>
      </w:tr>
      <w:tr w:rsidR="00AC5D3E" w:rsidRPr="00AC5D3E" w14:paraId="24F8BC0E" w14:textId="77777777" w:rsidTr="0066673E">
        <w:trPr>
          <w:gridAfter w:val="1"/>
          <w:wAfter w:w="151" w:type="dxa"/>
          <w:trHeight w:val="308"/>
        </w:trPr>
        <w:tc>
          <w:tcPr>
            <w:tcW w:w="5404" w:type="dxa"/>
            <w:tcBorders>
              <w:top w:val="nil"/>
              <w:left w:val="nil"/>
              <w:bottom w:val="single" w:sz="4" w:space="0" w:color="auto"/>
              <w:right w:val="nil"/>
            </w:tcBorders>
            <w:shd w:val="clear" w:color="000000" w:fill="FFFFFF"/>
            <w:noWrap/>
            <w:vAlign w:val="bottom"/>
            <w:hideMark/>
          </w:tcPr>
          <w:p w14:paraId="149CDC9E"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More Personal Computing</w:t>
            </w:r>
          </w:p>
        </w:tc>
        <w:tc>
          <w:tcPr>
            <w:tcW w:w="1411" w:type="dxa"/>
            <w:gridSpan w:val="2"/>
            <w:tcBorders>
              <w:top w:val="nil"/>
              <w:left w:val="nil"/>
              <w:bottom w:val="single" w:sz="4" w:space="0" w:color="auto"/>
              <w:right w:val="nil"/>
            </w:tcBorders>
            <w:shd w:val="clear" w:color="000000" w:fill="FFFFFF"/>
            <w:noWrap/>
            <w:vAlign w:val="bottom"/>
            <w:hideMark/>
          </w:tcPr>
          <w:p w14:paraId="60C8648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3,143 </w:t>
            </w:r>
          </w:p>
        </w:tc>
        <w:tc>
          <w:tcPr>
            <w:tcW w:w="271" w:type="dxa"/>
            <w:tcBorders>
              <w:top w:val="nil"/>
              <w:left w:val="nil"/>
              <w:bottom w:val="nil"/>
              <w:right w:val="nil"/>
            </w:tcBorders>
            <w:shd w:val="clear" w:color="000000" w:fill="FFFFFF"/>
            <w:noWrap/>
            <w:vAlign w:val="bottom"/>
            <w:hideMark/>
          </w:tcPr>
          <w:p w14:paraId="02C6562F"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nil"/>
              <w:left w:val="nil"/>
              <w:bottom w:val="nil"/>
              <w:right w:val="nil"/>
            </w:tcBorders>
            <w:shd w:val="clear" w:color="000000" w:fill="FFFFFF"/>
            <w:noWrap/>
            <w:vAlign w:val="bottom"/>
            <w:hideMark/>
          </w:tcPr>
          <w:p w14:paraId="0DE4FE34"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2,565 </w:t>
            </w:r>
          </w:p>
        </w:tc>
      </w:tr>
      <w:tr w:rsidR="00AC5D3E" w:rsidRPr="00AC5D3E" w14:paraId="1A947597" w14:textId="77777777" w:rsidTr="0066673E">
        <w:trPr>
          <w:gridAfter w:val="1"/>
          <w:wAfter w:w="151" w:type="dxa"/>
          <w:trHeight w:val="315"/>
        </w:trPr>
        <w:tc>
          <w:tcPr>
            <w:tcW w:w="5404" w:type="dxa"/>
            <w:tcBorders>
              <w:top w:val="nil"/>
              <w:left w:val="nil"/>
              <w:bottom w:val="nil"/>
              <w:right w:val="nil"/>
            </w:tcBorders>
            <w:shd w:val="clear" w:color="000000" w:fill="FFFFFF"/>
            <w:noWrap/>
            <w:vAlign w:val="bottom"/>
            <w:hideMark/>
          </w:tcPr>
          <w:p w14:paraId="7553212D" w14:textId="77777777" w:rsidR="00AC5D3E" w:rsidRPr="00AC5D3E" w:rsidRDefault="00AC5D3E" w:rsidP="00AC5D3E">
            <w:pPr>
              <w:spacing w:after="0" w:line="240" w:lineRule="auto"/>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Total</w:t>
            </w:r>
          </w:p>
        </w:tc>
        <w:tc>
          <w:tcPr>
            <w:tcW w:w="1411" w:type="dxa"/>
            <w:gridSpan w:val="2"/>
            <w:tcBorders>
              <w:top w:val="nil"/>
              <w:left w:val="nil"/>
              <w:bottom w:val="single" w:sz="8" w:space="0" w:color="auto"/>
              <w:right w:val="nil"/>
            </w:tcBorders>
            <w:shd w:val="clear" w:color="auto" w:fill="auto"/>
            <w:noWrap/>
            <w:vAlign w:val="bottom"/>
            <w:hideMark/>
          </w:tcPr>
          <w:p w14:paraId="112CAF1D" w14:textId="77777777" w:rsidR="00AC5D3E" w:rsidRPr="00AC5D3E" w:rsidRDefault="00AC5D3E" w:rsidP="00AC5D3E">
            <w:pPr>
              <w:spacing w:after="0" w:line="240" w:lineRule="auto"/>
              <w:jc w:val="right"/>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xml:space="preserve"> $9,955 </w:t>
            </w:r>
          </w:p>
        </w:tc>
        <w:tc>
          <w:tcPr>
            <w:tcW w:w="271" w:type="dxa"/>
            <w:tcBorders>
              <w:top w:val="nil"/>
              <w:left w:val="nil"/>
              <w:bottom w:val="nil"/>
              <w:right w:val="nil"/>
            </w:tcBorders>
            <w:shd w:val="clear" w:color="000000" w:fill="FFFFFF"/>
            <w:noWrap/>
            <w:vAlign w:val="bottom"/>
            <w:hideMark/>
          </w:tcPr>
          <w:p w14:paraId="7A46B76F" w14:textId="77777777" w:rsidR="00AC5D3E" w:rsidRPr="00AC5D3E" w:rsidRDefault="00AC5D3E" w:rsidP="00AC5D3E">
            <w:pPr>
              <w:spacing w:after="0" w:line="240" w:lineRule="auto"/>
              <w:rPr>
                <w:rFonts w:ascii="Segoe UI" w:eastAsia="Times New Roman" w:hAnsi="Segoe UI" w:cs="Segoe UI"/>
                <w:b/>
                <w:bCs/>
                <w:color w:val="666666"/>
                <w:sz w:val="20"/>
                <w:szCs w:val="20"/>
              </w:rPr>
            </w:pPr>
            <w:r w:rsidRPr="00AC5D3E">
              <w:rPr>
                <w:rFonts w:ascii="Segoe UI" w:eastAsia="Times New Roman" w:hAnsi="Segoe UI" w:cs="Segoe UI"/>
                <w:b/>
                <w:bCs/>
                <w:color w:val="666666"/>
                <w:sz w:val="20"/>
                <w:szCs w:val="20"/>
              </w:rPr>
              <w:t> </w:t>
            </w:r>
          </w:p>
        </w:tc>
        <w:tc>
          <w:tcPr>
            <w:tcW w:w="1319" w:type="dxa"/>
            <w:gridSpan w:val="3"/>
            <w:tcBorders>
              <w:top w:val="single" w:sz="4" w:space="0" w:color="auto"/>
              <w:left w:val="nil"/>
              <w:bottom w:val="single" w:sz="8" w:space="0" w:color="auto"/>
              <w:right w:val="nil"/>
            </w:tcBorders>
            <w:shd w:val="clear" w:color="000000" w:fill="FFFFFF"/>
            <w:noWrap/>
            <w:vAlign w:val="bottom"/>
            <w:hideMark/>
          </w:tcPr>
          <w:p w14:paraId="05F81D9B" w14:textId="77777777" w:rsidR="00AC5D3E" w:rsidRPr="00AC5D3E" w:rsidRDefault="00AC5D3E" w:rsidP="00AC5D3E">
            <w:pPr>
              <w:spacing w:after="0" w:line="240" w:lineRule="auto"/>
              <w:jc w:val="right"/>
              <w:rPr>
                <w:rFonts w:ascii="Segoe UI" w:eastAsia="Times New Roman" w:hAnsi="Segoe UI" w:cs="Segoe UI"/>
                <w:color w:val="666666"/>
                <w:sz w:val="20"/>
                <w:szCs w:val="20"/>
              </w:rPr>
            </w:pPr>
            <w:r w:rsidRPr="00AC5D3E">
              <w:rPr>
                <w:rFonts w:ascii="Segoe UI" w:eastAsia="Times New Roman" w:hAnsi="Segoe UI" w:cs="Segoe UI"/>
                <w:color w:val="666666"/>
                <w:sz w:val="20"/>
                <w:szCs w:val="20"/>
              </w:rPr>
              <w:t xml:space="preserve"> $7,708 </w:t>
            </w:r>
          </w:p>
        </w:tc>
      </w:tr>
    </w:tbl>
    <w:p w14:paraId="500716DB" w14:textId="0A6ABC96" w:rsidR="00AC5D3E" w:rsidRDefault="00AC5D3E" w:rsidP="00AC5D3E">
      <w:pPr>
        <w:spacing w:after="160" w:line="259" w:lineRule="auto"/>
        <w:rPr>
          <w:rFonts w:ascii="Segoe UI" w:eastAsia="Segoe UI" w:hAnsi="Segoe UI" w:cs="Segoe UI"/>
          <w:color w:val="666666"/>
          <w:sz w:val="20"/>
          <w:szCs w:val="20"/>
        </w:rPr>
      </w:pPr>
    </w:p>
    <w:sectPr w:rsidR="00AC5D3E" w:rsidSect="0066673E">
      <w:pgSz w:w="12240" w:h="15840" w:code="1"/>
      <w:pgMar w:top="245" w:right="1440" w:bottom="24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60A12" w14:textId="77777777" w:rsidR="00C1488E" w:rsidRDefault="00C1488E" w:rsidP="009B60A4">
      <w:pPr>
        <w:spacing w:after="0" w:line="240" w:lineRule="auto"/>
      </w:pPr>
      <w:r>
        <w:separator/>
      </w:r>
    </w:p>
  </w:endnote>
  <w:endnote w:type="continuationSeparator" w:id="0">
    <w:p w14:paraId="2FEDA1FC" w14:textId="77777777" w:rsidR="00C1488E" w:rsidRDefault="00C1488E" w:rsidP="009B60A4">
      <w:pPr>
        <w:spacing w:after="0" w:line="240" w:lineRule="auto"/>
      </w:pPr>
      <w:r>
        <w:continuationSeparator/>
      </w:r>
    </w:p>
  </w:endnote>
  <w:endnote w:type="continuationNotice" w:id="1">
    <w:p w14:paraId="2B7490BB" w14:textId="77777777" w:rsidR="00C1488E" w:rsidRDefault="00C148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Segoe UI,游明朝">
    <w:altName w:val="MS Gothic"/>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93417" w14:textId="77777777" w:rsidR="00C1488E" w:rsidRDefault="00C1488E" w:rsidP="009B60A4">
      <w:pPr>
        <w:spacing w:after="0" w:line="240" w:lineRule="auto"/>
      </w:pPr>
      <w:r>
        <w:separator/>
      </w:r>
    </w:p>
  </w:footnote>
  <w:footnote w:type="continuationSeparator" w:id="0">
    <w:p w14:paraId="05C5C417" w14:textId="77777777" w:rsidR="00C1488E" w:rsidRDefault="00C1488E" w:rsidP="009B60A4">
      <w:pPr>
        <w:spacing w:after="0" w:line="240" w:lineRule="auto"/>
      </w:pPr>
      <w:r>
        <w:continuationSeparator/>
      </w:r>
    </w:p>
  </w:footnote>
  <w:footnote w:type="continuationNotice" w:id="1">
    <w:p w14:paraId="1D93FA42" w14:textId="77777777" w:rsidR="00C1488E" w:rsidRDefault="00C148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6"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9"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4"/>
  </w:num>
  <w:num w:numId="5">
    <w:abstractNumId w:val="3"/>
  </w:num>
  <w:num w:numId="6">
    <w:abstractNumId w:val="4"/>
  </w:num>
  <w:num w:numId="7">
    <w:abstractNumId w:val="13"/>
  </w:num>
  <w:num w:numId="8">
    <w:abstractNumId w:val="7"/>
  </w:num>
  <w:num w:numId="9">
    <w:abstractNumId w:val="0"/>
  </w:num>
  <w:num w:numId="10">
    <w:abstractNumId w:val="9"/>
  </w:num>
  <w:num w:numId="11">
    <w:abstractNumId w:val="1"/>
  </w:num>
  <w:num w:numId="12">
    <w:abstractNumId w:val="15"/>
  </w:num>
  <w:num w:numId="13">
    <w:abstractNumId w:val="20"/>
  </w:num>
  <w:num w:numId="14">
    <w:abstractNumId w:val="17"/>
  </w:num>
  <w:num w:numId="15">
    <w:abstractNumId w:val="11"/>
  </w:num>
  <w:num w:numId="16">
    <w:abstractNumId w:val="21"/>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2"/>
  </w:num>
  <w:num w:numId="20">
    <w:abstractNumId w:val="2"/>
  </w:num>
  <w:num w:numId="21">
    <w:abstractNumId w:val="18"/>
  </w:num>
  <w:num w:numId="22">
    <w:abstractNumId w:val="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CE53EC"/>
    <w:rsid w:val="000009AE"/>
    <w:rsid w:val="00000AEC"/>
    <w:rsid w:val="00000C04"/>
    <w:rsid w:val="00002383"/>
    <w:rsid w:val="00002EDB"/>
    <w:rsid w:val="00003600"/>
    <w:rsid w:val="000038BB"/>
    <w:rsid w:val="00004065"/>
    <w:rsid w:val="0000441C"/>
    <w:rsid w:val="0000489E"/>
    <w:rsid w:val="00005066"/>
    <w:rsid w:val="00005E69"/>
    <w:rsid w:val="00006111"/>
    <w:rsid w:val="0000634D"/>
    <w:rsid w:val="0000638F"/>
    <w:rsid w:val="0000747A"/>
    <w:rsid w:val="00007EE5"/>
    <w:rsid w:val="00010FC0"/>
    <w:rsid w:val="000110D4"/>
    <w:rsid w:val="00011587"/>
    <w:rsid w:val="00011DDA"/>
    <w:rsid w:val="00011EA3"/>
    <w:rsid w:val="000120E8"/>
    <w:rsid w:val="000126C9"/>
    <w:rsid w:val="0001291A"/>
    <w:rsid w:val="0001314A"/>
    <w:rsid w:val="00013500"/>
    <w:rsid w:val="00013FCB"/>
    <w:rsid w:val="00014598"/>
    <w:rsid w:val="00015AD3"/>
    <w:rsid w:val="00015B18"/>
    <w:rsid w:val="0001709E"/>
    <w:rsid w:val="0001747A"/>
    <w:rsid w:val="00020931"/>
    <w:rsid w:val="00021721"/>
    <w:rsid w:val="00021A9F"/>
    <w:rsid w:val="00021C39"/>
    <w:rsid w:val="00023460"/>
    <w:rsid w:val="0002397E"/>
    <w:rsid w:val="000243DE"/>
    <w:rsid w:val="00024681"/>
    <w:rsid w:val="00024789"/>
    <w:rsid w:val="000249DA"/>
    <w:rsid w:val="00024BA2"/>
    <w:rsid w:val="00024D2F"/>
    <w:rsid w:val="0002508D"/>
    <w:rsid w:val="0002521F"/>
    <w:rsid w:val="000256EB"/>
    <w:rsid w:val="000266BE"/>
    <w:rsid w:val="000277C3"/>
    <w:rsid w:val="00030598"/>
    <w:rsid w:val="000309E8"/>
    <w:rsid w:val="000312F4"/>
    <w:rsid w:val="0003149A"/>
    <w:rsid w:val="0003166D"/>
    <w:rsid w:val="00031854"/>
    <w:rsid w:val="00031927"/>
    <w:rsid w:val="00032E56"/>
    <w:rsid w:val="000332D2"/>
    <w:rsid w:val="00034937"/>
    <w:rsid w:val="00034F44"/>
    <w:rsid w:val="00035285"/>
    <w:rsid w:val="000357B0"/>
    <w:rsid w:val="00035AF9"/>
    <w:rsid w:val="00035E72"/>
    <w:rsid w:val="00035E92"/>
    <w:rsid w:val="00036845"/>
    <w:rsid w:val="00036C55"/>
    <w:rsid w:val="00037D0D"/>
    <w:rsid w:val="000405D3"/>
    <w:rsid w:val="0004108A"/>
    <w:rsid w:val="00041E87"/>
    <w:rsid w:val="000423A9"/>
    <w:rsid w:val="00042706"/>
    <w:rsid w:val="00042C27"/>
    <w:rsid w:val="00042D25"/>
    <w:rsid w:val="00043236"/>
    <w:rsid w:val="0004363D"/>
    <w:rsid w:val="000439EB"/>
    <w:rsid w:val="00043C34"/>
    <w:rsid w:val="00044422"/>
    <w:rsid w:val="00044A49"/>
    <w:rsid w:val="00044C86"/>
    <w:rsid w:val="00045855"/>
    <w:rsid w:val="0004606B"/>
    <w:rsid w:val="000462EA"/>
    <w:rsid w:val="0004647A"/>
    <w:rsid w:val="00047944"/>
    <w:rsid w:val="00047BCF"/>
    <w:rsid w:val="00047F18"/>
    <w:rsid w:val="000500A1"/>
    <w:rsid w:val="00050BD7"/>
    <w:rsid w:val="0005136E"/>
    <w:rsid w:val="00051498"/>
    <w:rsid w:val="00051BF1"/>
    <w:rsid w:val="00051F28"/>
    <w:rsid w:val="00051F84"/>
    <w:rsid w:val="00053C9E"/>
    <w:rsid w:val="0005524B"/>
    <w:rsid w:val="0005538D"/>
    <w:rsid w:val="00055A14"/>
    <w:rsid w:val="00055A66"/>
    <w:rsid w:val="0005695A"/>
    <w:rsid w:val="000571C6"/>
    <w:rsid w:val="0006021A"/>
    <w:rsid w:val="000605C7"/>
    <w:rsid w:val="00060759"/>
    <w:rsid w:val="00060B5F"/>
    <w:rsid w:val="00062FEC"/>
    <w:rsid w:val="00064812"/>
    <w:rsid w:val="0006508E"/>
    <w:rsid w:val="00066AFF"/>
    <w:rsid w:val="0006712A"/>
    <w:rsid w:val="0007325E"/>
    <w:rsid w:val="000743B1"/>
    <w:rsid w:val="00074D3F"/>
    <w:rsid w:val="00075CD9"/>
    <w:rsid w:val="00075DD1"/>
    <w:rsid w:val="00076094"/>
    <w:rsid w:val="000764AC"/>
    <w:rsid w:val="00076686"/>
    <w:rsid w:val="0007673A"/>
    <w:rsid w:val="0007692C"/>
    <w:rsid w:val="000769A0"/>
    <w:rsid w:val="00076E8A"/>
    <w:rsid w:val="000771CC"/>
    <w:rsid w:val="00077B97"/>
    <w:rsid w:val="000802B8"/>
    <w:rsid w:val="00080F0C"/>
    <w:rsid w:val="00081047"/>
    <w:rsid w:val="00082086"/>
    <w:rsid w:val="0008237A"/>
    <w:rsid w:val="00084696"/>
    <w:rsid w:val="000856AD"/>
    <w:rsid w:val="00085D2D"/>
    <w:rsid w:val="00086222"/>
    <w:rsid w:val="000863C1"/>
    <w:rsid w:val="0008669C"/>
    <w:rsid w:val="00086CB0"/>
    <w:rsid w:val="00087217"/>
    <w:rsid w:val="00090FEF"/>
    <w:rsid w:val="00091BDB"/>
    <w:rsid w:val="00094674"/>
    <w:rsid w:val="00094D41"/>
    <w:rsid w:val="000958BD"/>
    <w:rsid w:val="00095DE9"/>
    <w:rsid w:val="000962DC"/>
    <w:rsid w:val="00096A0B"/>
    <w:rsid w:val="00096A39"/>
    <w:rsid w:val="00096AA8"/>
    <w:rsid w:val="00097D99"/>
    <w:rsid w:val="00097DFF"/>
    <w:rsid w:val="00097E26"/>
    <w:rsid w:val="000A15A1"/>
    <w:rsid w:val="000A15F8"/>
    <w:rsid w:val="000A1D9F"/>
    <w:rsid w:val="000A2331"/>
    <w:rsid w:val="000A263F"/>
    <w:rsid w:val="000A28BC"/>
    <w:rsid w:val="000A46CC"/>
    <w:rsid w:val="000A4ED9"/>
    <w:rsid w:val="000A5F6D"/>
    <w:rsid w:val="000A6E4B"/>
    <w:rsid w:val="000B02C2"/>
    <w:rsid w:val="000B1942"/>
    <w:rsid w:val="000B27C9"/>
    <w:rsid w:val="000B46E9"/>
    <w:rsid w:val="000B495C"/>
    <w:rsid w:val="000B4B82"/>
    <w:rsid w:val="000B5B90"/>
    <w:rsid w:val="000B6B34"/>
    <w:rsid w:val="000B7F64"/>
    <w:rsid w:val="000B7F76"/>
    <w:rsid w:val="000C142D"/>
    <w:rsid w:val="000C159C"/>
    <w:rsid w:val="000C1ECF"/>
    <w:rsid w:val="000C1F97"/>
    <w:rsid w:val="000C24BB"/>
    <w:rsid w:val="000C25B3"/>
    <w:rsid w:val="000C26DE"/>
    <w:rsid w:val="000C2798"/>
    <w:rsid w:val="000C31F2"/>
    <w:rsid w:val="000C4644"/>
    <w:rsid w:val="000C49C4"/>
    <w:rsid w:val="000C5117"/>
    <w:rsid w:val="000C5289"/>
    <w:rsid w:val="000C5F73"/>
    <w:rsid w:val="000C6251"/>
    <w:rsid w:val="000C6E4C"/>
    <w:rsid w:val="000C78D2"/>
    <w:rsid w:val="000C798B"/>
    <w:rsid w:val="000D0031"/>
    <w:rsid w:val="000D07F2"/>
    <w:rsid w:val="000D0D33"/>
    <w:rsid w:val="000D2567"/>
    <w:rsid w:val="000D2F4D"/>
    <w:rsid w:val="000D3A4A"/>
    <w:rsid w:val="000D3E42"/>
    <w:rsid w:val="000D41B6"/>
    <w:rsid w:val="000D5173"/>
    <w:rsid w:val="000D59A4"/>
    <w:rsid w:val="000D6D33"/>
    <w:rsid w:val="000E1040"/>
    <w:rsid w:val="000E12DF"/>
    <w:rsid w:val="000E191C"/>
    <w:rsid w:val="000E1B22"/>
    <w:rsid w:val="000E1CC0"/>
    <w:rsid w:val="000E2E66"/>
    <w:rsid w:val="000E3110"/>
    <w:rsid w:val="000E3323"/>
    <w:rsid w:val="000E372C"/>
    <w:rsid w:val="000E37E8"/>
    <w:rsid w:val="000E4009"/>
    <w:rsid w:val="000E4719"/>
    <w:rsid w:val="000E537E"/>
    <w:rsid w:val="000E5F91"/>
    <w:rsid w:val="000E60D9"/>
    <w:rsid w:val="000E6A0D"/>
    <w:rsid w:val="000E6BE3"/>
    <w:rsid w:val="000F0A3E"/>
    <w:rsid w:val="000F2037"/>
    <w:rsid w:val="000F237B"/>
    <w:rsid w:val="000F2ADA"/>
    <w:rsid w:val="000F3957"/>
    <w:rsid w:val="000F42E3"/>
    <w:rsid w:val="000F4CFD"/>
    <w:rsid w:val="000F5AC8"/>
    <w:rsid w:val="000F6454"/>
    <w:rsid w:val="000F7F98"/>
    <w:rsid w:val="0010017C"/>
    <w:rsid w:val="0010114D"/>
    <w:rsid w:val="0010131B"/>
    <w:rsid w:val="0010162B"/>
    <w:rsid w:val="00101C8A"/>
    <w:rsid w:val="001020A6"/>
    <w:rsid w:val="00102762"/>
    <w:rsid w:val="001045F4"/>
    <w:rsid w:val="00104987"/>
    <w:rsid w:val="00104AB1"/>
    <w:rsid w:val="001052C7"/>
    <w:rsid w:val="0010531D"/>
    <w:rsid w:val="001060CA"/>
    <w:rsid w:val="001067B6"/>
    <w:rsid w:val="001069FA"/>
    <w:rsid w:val="00106BB3"/>
    <w:rsid w:val="00106CB8"/>
    <w:rsid w:val="00110110"/>
    <w:rsid w:val="001108D3"/>
    <w:rsid w:val="00110FDE"/>
    <w:rsid w:val="0011214B"/>
    <w:rsid w:val="00112AE6"/>
    <w:rsid w:val="00112F2C"/>
    <w:rsid w:val="00114AE7"/>
    <w:rsid w:val="00114C9B"/>
    <w:rsid w:val="00115512"/>
    <w:rsid w:val="00116237"/>
    <w:rsid w:val="00116736"/>
    <w:rsid w:val="00117DC4"/>
    <w:rsid w:val="00117E34"/>
    <w:rsid w:val="00117E7D"/>
    <w:rsid w:val="00120848"/>
    <w:rsid w:val="001217FB"/>
    <w:rsid w:val="00121A22"/>
    <w:rsid w:val="001237F2"/>
    <w:rsid w:val="00123B96"/>
    <w:rsid w:val="00124C64"/>
    <w:rsid w:val="001252B4"/>
    <w:rsid w:val="00125CA0"/>
    <w:rsid w:val="00125D13"/>
    <w:rsid w:val="00126361"/>
    <w:rsid w:val="00126659"/>
    <w:rsid w:val="001279A0"/>
    <w:rsid w:val="00127CAE"/>
    <w:rsid w:val="00127F6A"/>
    <w:rsid w:val="001300B1"/>
    <w:rsid w:val="0013013C"/>
    <w:rsid w:val="00131302"/>
    <w:rsid w:val="00131EEC"/>
    <w:rsid w:val="001321DB"/>
    <w:rsid w:val="00132B83"/>
    <w:rsid w:val="00133363"/>
    <w:rsid w:val="00134454"/>
    <w:rsid w:val="0013460A"/>
    <w:rsid w:val="00134B3A"/>
    <w:rsid w:val="001356D9"/>
    <w:rsid w:val="001358AC"/>
    <w:rsid w:val="001363BC"/>
    <w:rsid w:val="0013686F"/>
    <w:rsid w:val="0013760C"/>
    <w:rsid w:val="00140681"/>
    <w:rsid w:val="00140E3C"/>
    <w:rsid w:val="00140FB4"/>
    <w:rsid w:val="00143379"/>
    <w:rsid w:val="00143A12"/>
    <w:rsid w:val="00143C57"/>
    <w:rsid w:val="00144C1A"/>
    <w:rsid w:val="00144CF2"/>
    <w:rsid w:val="0014589C"/>
    <w:rsid w:val="00145E06"/>
    <w:rsid w:val="00146609"/>
    <w:rsid w:val="00147052"/>
    <w:rsid w:val="00150AC1"/>
    <w:rsid w:val="00150C9E"/>
    <w:rsid w:val="0015199F"/>
    <w:rsid w:val="00151C51"/>
    <w:rsid w:val="001526E6"/>
    <w:rsid w:val="00152EF0"/>
    <w:rsid w:val="0015334C"/>
    <w:rsid w:val="00154668"/>
    <w:rsid w:val="00155087"/>
    <w:rsid w:val="00155CAC"/>
    <w:rsid w:val="00156118"/>
    <w:rsid w:val="001566A0"/>
    <w:rsid w:val="00157015"/>
    <w:rsid w:val="00157192"/>
    <w:rsid w:val="00157A11"/>
    <w:rsid w:val="00157EEA"/>
    <w:rsid w:val="00157F3E"/>
    <w:rsid w:val="00160B81"/>
    <w:rsid w:val="001626B2"/>
    <w:rsid w:val="0016327D"/>
    <w:rsid w:val="001638D6"/>
    <w:rsid w:val="00164237"/>
    <w:rsid w:val="00164A6A"/>
    <w:rsid w:val="00164C00"/>
    <w:rsid w:val="00164F0A"/>
    <w:rsid w:val="001650B3"/>
    <w:rsid w:val="001652CC"/>
    <w:rsid w:val="001658BC"/>
    <w:rsid w:val="001666B3"/>
    <w:rsid w:val="00166926"/>
    <w:rsid w:val="00166963"/>
    <w:rsid w:val="00167337"/>
    <w:rsid w:val="00167739"/>
    <w:rsid w:val="001712AA"/>
    <w:rsid w:val="00171E28"/>
    <w:rsid w:val="00175E5B"/>
    <w:rsid w:val="00175FBC"/>
    <w:rsid w:val="00176F75"/>
    <w:rsid w:val="001807B9"/>
    <w:rsid w:val="0018107D"/>
    <w:rsid w:val="00183BD4"/>
    <w:rsid w:val="00183E70"/>
    <w:rsid w:val="00184604"/>
    <w:rsid w:val="001846F5"/>
    <w:rsid w:val="00184767"/>
    <w:rsid w:val="00184F2C"/>
    <w:rsid w:val="00185FA6"/>
    <w:rsid w:val="00186476"/>
    <w:rsid w:val="00186B3D"/>
    <w:rsid w:val="001870E3"/>
    <w:rsid w:val="001875A1"/>
    <w:rsid w:val="00187958"/>
    <w:rsid w:val="00187DAB"/>
    <w:rsid w:val="00190071"/>
    <w:rsid w:val="001900AD"/>
    <w:rsid w:val="001903E6"/>
    <w:rsid w:val="00192481"/>
    <w:rsid w:val="00195B9E"/>
    <w:rsid w:val="001969BE"/>
    <w:rsid w:val="00196EDE"/>
    <w:rsid w:val="00197B22"/>
    <w:rsid w:val="001A019D"/>
    <w:rsid w:val="001A1292"/>
    <w:rsid w:val="001A1576"/>
    <w:rsid w:val="001A1D3F"/>
    <w:rsid w:val="001A21A8"/>
    <w:rsid w:val="001A2E1A"/>
    <w:rsid w:val="001A2E68"/>
    <w:rsid w:val="001A3F7A"/>
    <w:rsid w:val="001A4686"/>
    <w:rsid w:val="001A4779"/>
    <w:rsid w:val="001A4829"/>
    <w:rsid w:val="001A5139"/>
    <w:rsid w:val="001A64DC"/>
    <w:rsid w:val="001A6ACE"/>
    <w:rsid w:val="001A6DF7"/>
    <w:rsid w:val="001A770D"/>
    <w:rsid w:val="001B013C"/>
    <w:rsid w:val="001B04EB"/>
    <w:rsid w:val="001B1173"/>
    <w:rsid w:val="001B1235"/>
    <w:rsid w:val="001B12B6"/>
    <w:rsid w:val="001B136D"/>
    <w:rsid w:val="001B137F"/>
    <w:rsid w:val="001B1C9B"/>
    <w:rsid w:val="001B4BA0"/>
    <w:rsid w:val="001B50E8"/>
    <w:rsid w:val="001B566D"/>
    <w:rsid w:val="001B57C3"/>
    <w:rsid w:val="001B5E8E"/>
    <w:rsid w:val="001B7186"/>
    <w:rsid w:val="001B744B"/>
    <w:rsid w:val="001B782D"/>
    <w:rsid w:val="001C042A"/>
    <w:rsid w:val="001C078B"/>
    <w:rsid w:val="001C07A9"/>
    <w:rsid w:val="001C080F"/>
    <w:rsid w:val="001C0F9B"/>
    <w:rsid w:val="001C23B8"/>
    <w:rsid w:val="001C282B"/>
    <w:rsid w:val="001C3152"/>
    <w:rsid w:val="001C3338"/>
    <w:rsid w:val="001C3A5E"/>
    <w:rsid w:val="001C3EC2"/>
    <w:rsid w:val="001C465F"/>
    <w:rsid w:val="001C4DC8"/>
    <w:rsid w:val="001C503A"/>
    <w:rsid w:val="001C52FA"/>
    <w:rsid w:val="001C5FB6"/>
    <w:rsid w:val="001C6AF9"/>
    <w:rsid w:val="001C7128"/>
    <w:rsid w:val="001C7358"/>
    <w:rsid w:val="001C7E12"/>
    <w:rsid w:val="001D0D88"/>
    <w:rsid w:val="001D12C3"/>
    <w:rsid w:val="001D1833"/>
    <w:rsid w:val="001D1E38"/>
    <w:rsid w:val="001D2B0B"/>
    <w:rsid w:val="001D324A"/>
    <w:rsid w:val="001D4AA5"/>
    <w:rsid w:val="001D56B1"/>
    <w:rsid w:val="001D621D"/>
    <w:rsid w:val="001D7C5D"/>
    <w:rsid w:val="001E137A"/>
    <w:rsid w:val="001E1891"/>
    <w:rsid w:val="001E21FD"/>
    <w:rsid w:val="001E2911"/>
    <w:rsid w:val="001E2BAD"/>
    <w:rsid w:val="001E346A"/>
    <w:rsid w:val="001E365B"/>
    <w:rsid w:val="001E48CA"/>
    <w:rsid w:val="001E49A6"/>
    <w:rsid w:val="001E4A88"/>
    <w:rsid w:val="001E4F9A"/>
    <w:rsid w:val="001E6772"/>
    <w:rsid w:val="001E7FDD"/>
    <w:rsid w:val="001F1730"/>
    <w:rsid w:val="001F2C12"/>
    <w:rsid w:val="001F2F4E"/>
    <w:rsid w:val="001F3443"/>
    <w:rsid w:val="001F3D43"/>
    <w:rsid w:val="001F513E"/>
    <w:rsid w:val="001F5F82"/>
    <w:rsid w:val="001F7734"/>
    <w:rsid w:val="00200536"/>
    <w:rsid w:val="0020061B"/>
    <w:rsid w:val="00201584"/>
    <w:rsid w:val="00201B89"/>
    <w:rsid w:val="00201D40"/>
    <w:rsid w:val="002025B4"/>
    <w:rsid w:val="002033A6"/>
    <w:rsid w:val="0020384B"/>
    <w:rsid w:val="0020588F"/>
    <w:rsid w:val="00205ADB"/>
    <w:rsid w:val="00206B8C"/>
    <w:rsid w:val="00206BCB"/>
    <w:rsid w:val="00206CC5"/>
    <w:rsid w:val="00207638"/>
    <w:rsid w:val="00207B8E"/>
    <w:rsid w:val="002110B2"/>
    <w:rsid w:val="00211790"/>
    <w:rsid w:val="0021230B"/>
    <w:rsid w:val="00212AC3"/>
    <w:rsid w:val="00212F67"/>
    <w:rsid w:val="00213A99"/>
    <w:rsid w:val="00213E0D"/>
    <w:rsid w:val="002158D4"/>
    <w:rsid w:val="002162A4"/>
    <w:rsid w:val="00217037"/>
    <w:rsid w:val="002174C7"/>
    <w:rsid w:val="0021755D"/>
    <w:rsid w:val="00217C96"/>
    <w:rsid w:val="00220F09"/>
    <w:rsid w:val="00220FCA"/>
    <w:rsid w:val="002210D0"/>
    <w:rsid w:val="0022170C"/>
    <w:rsid w:val="00221DC0"/>
    <w:rsid w:val="0022200C"/>
    <w:rsid w:val="00222C01"/>
    <w:rsid w:val="00223457"/>
    <w:rsid w:val="00223758"/>
    <w:rsid w:val="002241ED"/>
    <w:rsid w:val="002242AA"/>
    <w:rsid w:val="00224443"/>
    <w:rsid w:val="0022574A"/>
    <w:rsid w:val="0022618A"/>
    <w:rsid w:val="00227467"/>
    <w:rsid w:val="002304FC"/>
    <w:rsid w:val="00232EA2"/>
    <w:rsid w:val="002331CF"/>
    <w:rsid w:val="00234058"/>
    <w:rsid w:val="0023521E"/>
    <w:rsid w:val="00236E33"/>
    <w:rsid w:val="00236E9E"/>
    <w:rsid w:val="00236F79"/>
    <w:rsid w:val="00237640"/>
    <w:rsid w:val="00237782"/>
    <w:rsid w:val="00237F55"/>
    <w:rsid w:val="00240959"/>
    <w:rsid w:val="00241792"/>
    <w:rsid w:val="00242F86"/>
    <w:rsid w:val="002433D1"/>
    <w:rsid w:val="00243400"/>
    <w:rsid w:val="00243412"/>
    <w:rsid w:val="00243962"/>
    <w:rsid w:val="00244276"/>
    <w:rsid w:val="00244572"/>
    <w:rsid w:val="00244C60"/>
    <w:rsid w:val="00244F71"/>
    <w:rsid w:val="00245887"/>
    <w:rsid w:val="002469C1"/>
    <w:rsid w:val="002472FE"/>
    <w:rsid w:val="002475A7"/>
    <w:rsid w:val="0025136B"/>
    <w:rsid w:val="00251AE7"/>
    <w:rsid w:val="00252491"/>
    <w:rsid w:val="002529E1"/>
    <w:rsid w:val="002530BF"/>
    <w:rsid w:val="00254152"/>
    <w:rsid w:val="002543C5"/>
    <w:rsid w:val="002553E3"/>
    <w:rsid w:val="00255A49"/>
    <w:rsid w:val="00255B72"/>
    <w:rsid w:val="002560B6"/>
    <w:rsid w:val="00256C91"/>
    <w:rsid w:val="00261A92"/>
    <w:rsid w:val="0026256C"/>
    <w:rsid w:val="00262F99"/>
    <w:rsid w:val="0026306D"/>
    <w:rsid w:val="00263368"/>
    <w:rsid w:val="002647C4"/>
    <w:rsid w:val="00265E0E"/>
    <w:rsid w:val="00266B41"/>
    <w:rsid w:val="00267235"/>
    <w:rsid w:val="00267237"/>
    <w:rsid w:val="00267DFE"/>
    <w:rsid w:val="0027077C"/>
    <w:rsid w:val="00270E77"/>
    <w:rsid w:val="002713ED"/>
    <w:rsid w:val="00271614"/>
    <w:rsid w:val="00271C89"/>
    <w:rsid w:val="002726A6"/>
    <w:rsid w:val="00274255"/>
    <w:rsid w:val="0027442D"/>
    <w:rsid w:val="002768B9"/>
    <w:rsid w:val="002774F6"/>
    <w:rsid w:val="002778DA"/>
    <w:rsid w:val="00277D91"/>
    <w:rsid w:val="00280939"/>
    <w:rsid w:val="00280E39"/>
    <w:rsid w:val="00281959"/>
    <w:rsid w:val="00281E0C"/>
    <w:rsid w:val="00282544"/>
    <w:rsid w:val="00283094"/>
    <w:rsid w:val="00284D52"/>
    <w:rsid w:val="002857D4"/>
    <w:rsid w:val="00285A13"/>
    <w:rsid w:val="0028660D"/>
    <w:rsid w:val="00286E36"/>
    <w:rsid w:val="00286E90"/>
    <w:rsid w:val="00287423"/>
    <w:rsid w:val="00290E15"/>
    <w:rsid w:val="002910E3"/>
    <w:rsid w:val="00291CE0"/>
    <w:rsid w:val="00291D25"/>
    <w:rsid w:val="002932ED"/>
    <w:rsid w:val="002934A3"/>
    <w:rsid w:val="002940C9"/>
    <w:rsid w:val="002940FA"/>
    <w:rsid w:val="00294864"/>
    <w:rsid w:val="00295BF7"/>
    <w:rsid w:val="002960CB"/>
    <w:rsid w:val="0029649B"/>
    <w:rsid w:val="0029699B"/>
    <w:rsid w:val="002974F6"/>
    <w:rsid w:val="002A063B"/>
    <w:rsid w:val="002A1299"/>
    <w:rsid w:val="002A2CA4"/>
    <w:rsid w:val="002A36EF"/>
    <w:rsid w:val="002A4D12"/>
    <w:rsid w:val="002A5FA7"/>
    <w:rsid w:val="002A7247"/>
    <w:rsid w:val="002B00C4"/>
    <w:rsid w:val="002B1C6D"/>
    <w:rsid w:val="002B24C0"/>
    <w:rsid w:val="002B2A55"/>
    <w:rsid w:val="002B311D"/>
    <w:rsid w:val="002B395F"/>
    <w:rsid w:val="002B400B"/>
    <w:rsid w:val="002B4BFC"/>
    <w:rsid w:val="002B4F9E"/>
    <w:rsid w:val="002B558E"/>
    <w:rsid w:val="002B6173"/>
    <w:rsid w:val="002B7A35"/>
    <w:rsid w:val="002C1294"/>
    <w:rsid w:val="002C1389"/>
    <w:rsid w:val="002C3504"/>
    <w:rsid w:val="002C3B23"/>
    <w:rsid w:val="002C4F23"/>
    <w:rsid w:val="002C5400"/>
    <w:rsid w:val="002C69B9"/>
    <w:rsid w:val="002C7FF0"/>
    <w:rsid w:val="002D09E0"/>
    <w:rsid w:val="002D0BDC"/>
    <w:rsid w:val="002D16D0"/>
    <w:rsid w:val="002D267F"/>
    <w:rsid w:val="002D2C83"/>
    <w:rsid w:val="002D384C"/>
    <w:rsid w:val="002D4501"/>
    <w:rsid w:val="002D46E2"/>
    <w:rsid w:val="002D4B6C"/>
    <w:rsid w:val="002D584B"/>
    <w:rsid w:val="002D5D1E"/>
    <w:rsid w:val="002D647D"/>
    <w:rsid w:val="002D738B"/>
    <w:rsid w:val="002D7663"/>
    <w:rsid w:val="002E002F"/>
    <w:rsid w:val="002E1921"/>
    <w:rsid w:val="002E227D"/>
    <w:rsid w:val="002E2474"/>
    <w:rsid w:val="002E3045"/>
    <w:rsid w:val="002E388A"/>
    <w:rsid w:val="002E5290"/>
    <w:rsid w:val="002E687C"/>
    <w:rsid w:val="002E6BF6"/>
    <w:rsid w:val="002E79B3"/>
    <w:rsid w:val="002E7D83"/>
    <w:rsid w:val="002E7D89"/>
    <w:rsid w:val="002F01C1"/>
    <w:rsid w:val="002F15E3"/>
    <w:rsid w:val="002F1768"/>
    <w:rsid w:val="002F2E42"/>
    <w:rsid w:val="002F2FAE"/>
    <w:rsid w:val="002F34B2"/>
    <w:rsid w:val="002F387C"/>
    <w:rsid w:val="002F3B41"/>
    <w:rsid w:val="002F56C2"/>
    <w:rsid w:val="002F59C2"/>
    <w:rsid w:val="002F6AD3"/>
    <w:rsid w:val="002F6F15"/>
    <w:rsid w:val="00300C49"/>
    <w:rsid w:val="00301015"/>
    <w:rsid w:val="00303C37"/>
    <w:rsid w:val="00303E8A"/>
    <w:rsid w:val="003045E0"/>
    <w:rsid w:val="0030481B"/>
    <w:rsid w:val="0030537D"/>
    <w:rsid w:val="003056C6"/>
    <w:rsid w:val="00305719"/>
    <w:rsid w:val="0030593B"/>
    <w:rsid w:val="0030739C"/>
    <w:rsid w:val="00307B2D"/>
    <w:rsid w:val="003104F8"/>
    <w:rsid w:val="00310AE9"/>
    <w:rsid w:val="003126E6"/>
    <w:rsid w:val="00312768"/>
    <w:rsid w:val="003129AF"/>
    <w:rsid w:val="00312E43"/>
    <w:rsid w:val="00313181"/>
    <w:rsid w:val="00313EDC"/>
    <w:rsid w:val="00316B58"/>
    <w:rsid w:val="003178FF"/>
    <w:rsid w:val="003203CC"/>
    <w:rsid w:val="003205C9"/>
    <w:rsid w:val="00320936"/>
    <w:rsid w:val="00321035"/>
    <w:rsid w:val="003218F5"/>
    <w:rsid w:val="00322290"/>
    <w:rsid w:val="00322D11"/>
    <w:rsid w:val="0032497D"/>
    <w:rsid w:val="00324C34"/>
    <w:rsid w:val="00324F28"/>
    <w:rsid w:val="00325183"/>
    <w:rsid w:val="00327EAC"/>
    <w:rsid w:val="0033149C"/>
    <w:rsid w:val="003318F7"/>
    <w:rsid w:val="003323A6"/>
    <w:rsid w:val="00333A75"/>
    <w:rsid w:val="00335050"/>
    <w:rsid w:val="003355B0"/>
    <w:rsid w:val="00335816"/>
    <w:rsid w:val="003359A2"/>
    <w:rsid w:val="003368E0"/>
    <w:rsid w:val="00336EA8"/>
    <w:rsid w:val="0033759C"/>
    <w:rsid w:val="00337960"/>
    <w:rsid w:val="00340B9D"/>
    <w:rsid w:val="003416F6"/>
    <w:rsid w:val="00342FC8"/>
    <w:rsid w:val="00343DB8"/>
    <w:rsid w:val="00343F59"/>
    <w:rsid w:val="00345C56"/>
    <w:rsid w:val="003468CF"/>
    <w:rsid w:val="00347C36"/>
    <w:rsid w:val="00351191"/>
    <w:rsid w:val="00353302"/>
    <w:rsid w:val="003534CF"/>
    <w:rsid w:val="003552FC"/>
    <w:rsid w:val="00355455"/>
    <w:rsid w:val="00355975"/>
    <w:rsid w:val="00356917"/>
    <w:rsid w:val="00356AED"/>
    <w:rsid w:val="00356DC3"/>
    <w:rsid w:val="00357A52"/>
    <w:rsid w:val="00357CE5"/>
    <w:rsid w:val="00357E06"/>
    <w:rsid w:val="003604D2"/>
    <w:rsid w:val="00360BE3"/>
    <w:rsid w:val="0036108E"/>
    <w:rsid w:val="00361103"/>
    <w:rsid w:val="00361A88"/>
    <w:rsid w:val="00361E4B"/>
    <w:rsid w:val="00361FAE"/>
    <w:rsid w:val="00363568"/>
    <w:rsid w:val="00363806"/>
    <w:rsid w:val="00363ABF"/>
    <w:rsid w:val="00363B1A"/>
    <w:rsid w:val="00365022"/>
    <w:rsid w:val="00365099"/>
    <w:rsid w:val="003660BB"/>
    <w:rsid w:val="003661EB"/>
    <w:rsid w:val="00366A12"/>
    <w:rsid w:val="00366C0A"/>
    <w:rsid w:val="00366D9C"/>
    <w:rsid w:val="00367199"/>
    <w:rsid w:val="00371488"/>
    <w:rsid w:val="0037183A"/>
    <w:rsid w:val="00371A51"/>
    <w:rsid w:val="00371B9B"/>
    <w:rsid w:val="00372F47"/>
    <w:rsid w:val="003733CA"/>
    <w:rsid w:val="0037373A"/>
    <w:rsid w:val="003738D5"/>
    <w:rsid w:val="003739EF"/>
    <w:rsid w:val="00373B10"/>
    <w:rsid w:val="00373DEB"/>
    <w:rsid w:val="00375305"/>
    <w:rsid w:val="003759CB"/>
    <w:rsid w:val="0037613B"/>
    <w:rsid w:val="00376711"/>
    <w:rsid w:val="0037680D"/>
    <w:rsid w:val="00376DB3"/>
    <w:rsid w:val="003807E7"/>
    <w:rsid w:val="003809FE"/>
    <w:rsid w:val="00380D42"/>
    <w:rsid w:val="00381608"/>
    <w:rsid w:val="003816A9"/>
    <w:rsid w:val="00381952"/>
    <w:rsid w:val="0038296B"/>
    <w:rsid w:val="00382FF6"/>
    <w:rsid w:val="003840F2"/>
    <w:rsid w:val="00384194"/>
    <w:rsid w:val="0038519B"/>
    <w:rsid w:val="00385630"/>
    <w:rsid w:val="0038580B"/>
    <w:rsid w:val="003863F7"/>
    <w:rsid w:val="00386784"/>
    <w:rsid w:val="003869A7"/>
    <w:rsid w:val="00386D27"/>
    <w:rsid w:val="00386DFF"/>
    <w:rsid w:val="00387045"/>
    <w:rsid w:val="00390047"/>
    <w:rsid w:val="0039010C"/>
    <w:rsid w:val="0039078F"/>
    <w:rsid w:val="00390C1B"/>
    <w:rsid w:val="00392802"/>
    <w:rsid w:val="003929B7"/>
    <w:rsid w:val="00392E4E"/>
    <w:rsid w:val="00392EB7"/>
    <w:rsid w:val="00393276"/>
    <w:rsid w:val="00393D90"/>
    <w:rsid w:val="003948A5"/>
    <w:rsid w:val="00395CE8"/>
    <w:rsid w:val="00396407"/>
    <w:rsid w:val="00396D6F"/>
    <w:rsid w:val="003A01C4"/>
    <w:rsid w:val="003A0490"/>
    <w:rsid w:val="003A06F1"/>
    <w:rsid w:val="003A0FCC"/>
    <w:rsid w:val="003A19AA"/>
    <w:rsid w:val="003A2755"/>
    <w:rsid w:val="003A2CB1"/>
    <w:rsid w:val="003A2F4D"/>
    <w:rsid w:val="003A36CC"/>
    <w:rsid w:val="003A4431"/>
    <w:rsid w:val="003A4C3A"/>
    <w:rsid w:val="003A5530"/>
    <w:rsid w:val="003A56C1"/>
    <w:rsid w:val="003A5D32"/>
    <w:rsid w:val="003A6204"/>
    <w:rsid w:val="003A70B3"/>
    <w:rsid w:val="003A7B18"/>
    <w:rsid w:val="003A7D90"/>
    <w:rsid w:val="003B1EBF"/>
    <w:rsid w:val="003B208B"/>
    <w:rsid w:val="003B2A0B"/>
    <w:rsid w:val="003B30F7"/>
    <w:rsid w:val="003B3B4C"/>
    <w:rsid w:val="003B3D4B"/>
    <w:rsid w:val="003B4927"/>
    <w:rsid w:val="003B4F4D"/>
    <w:rsid w:val="003B54D7"/>
    <w:rsid w:val="003B73A4"/>
    <w:rsid w:val="003B76C4"/>
    <w:rsid w:val="003B7AF4"/>
    <w:rsid w:val="003C02AC"/>
    <w:rsid w:val="003C03C7"/>
    <w:rsid w:val="003C08B3"/>
    <w:rsid w:val="003C17A1"/>
    <w:rsid w:val="003C1B87"/>
    <w:rsid w:val="003C1B8E"/>
    <w:rsid w:val="003C1DEA"/>
    <w:rsid w:val="003C26B1"/>
    <w:rsid w:val="003C2978"/>
    <w:rsid w:val="003C2A18"/>
    <w:rsid w:val="003C2C70"/>
    <w:rsid w:val="003C33F8"/>
    <w:rsid w:val="003C3616"/>
    <w:rsid w:val="003C3963"/>
    <w:rsid w:val="003C40C6"/>
    <w:rsid w:val="003C5A94"/>
    <w:rsid w:val="003C6009"/>
    <w:rsid w:val="003C7115"/>
    <w:rsid w:val="003D1340"/>
    <w:rsid w:val="003D1643"/>
    <w:rsid w:val="003D24AE"/>
    <w:rsid w:val="003D3304"/>
    <w:rsid w:val="003D33F0"/>
    <w:rsid w:val="003D37E4"/>
    <w:rsid w:val="003D4A38"/>
    <w:rsid w:val="003D571D"/>
    <w:rsid w:val="003D60BB"/>
    <w:rsid w:val="003D621B"/>
    <w:rsid w:val="003D682D"/>
    <w:rsid w:val="003D6A9B"/>
    <w:rsid w:val="003D6D96"/>
    <w:rsid w:val="003D71DD"/>
    <w:rsid w:val="003D7E62"/>
    <w:rsid w:val="003E0384"/>
    <w:rsid w:val="003E0A59"/>
    <w:rsid w:val="003E0AD1"/>
    <w:rsid w:val="003E134C"/>
    <w:rsid w:val="003E1E05"/>
    <w:rsid w:val="003E24E9"/>
    <w:rsid w:val="003E250A"/>
    <w:rsid w:val="003E2BB5"/>
    <w:rsid w:val="003E466C"/>
    <w:rsid w:val="003E660A"/>
    <w:rsid w:val="003E6B15"/>
    <w:rsid w:val="003E7137"/>
    <w:rsid w:val="003E77B3"/>
    <w:rsid w:val="003F10C4"/>
    <w:rsid w:val="003F1CEF"/>
    <w:rsid w:val="003F2194"/>
    <w:rsid w:val="003F256A"/>
    <w:rsid w:val="003F2AC3"/>
    <w:rsid w:val="003F33F2"/>
    <w:rsid w:val="003F3561"/>
    <w:rsid w:val="003F55E2"/>
    <w:rsid w:val="003F5E35"/>
    <w:rsid w:val="003F6243"/>
    <w:rsid w:val="003F6520"/>
    <w:rsid w:val="003F672C"/>
    <w:rsid w:val="003F6BDB"/>
    <w:rsid w:val="003F6F77"/>
    <w:rsid w:val="003F7345"/>
    <w:rsid w:val="003F7C82"/>
    <w:rsid w:val="00400720"/>
    <w:rsid w:val="0040082D"/>
    <w:rsid w:val="00401AAA"/>
    <w:rsid w:val="004023FD"/>
    <w:rsid w:val="00403EF9"/>
    <w:rsid w:val="00406A2F"/>
    <w:rsid w:val="004079D5"/>
    <w:rsid w:val="00407B19"/>
    <w:rsid w:val="00407CEA"/>
    <w:rsid w:val="00411162"/>
    <w:rsid w:val="0041129E"/>
    <w:rsid w:val="00411720"/>
    <w:rsid w:val="004119EB"/>
    <w:rsid w:val="00411D51"/>
    <w:rsid w:val="00411F50"/>
    <w:rsid w:val="00412880"/>
    <w:rsid w:val="00413289"/>
    <w:rsid w:val="0041502A"/>
    <w:rsid w:val="00415544"/>
    <w:rsid w:val="00415D6B"/>
    <w:rsid w:val="0041619C"/>
    <w:rsid w:val="00416776"/>
    <w:rsid w:val="00416EF1"/>
    <w:rsid w:val="0041725A"/>
    <w:rsid w:val="00417F30"/>
    <w:rsid w:val="004208AD"/>
    <w:rsid w:val="00421D01"/>
    <w:rsid w:val="004225B1"/>
    <w:rsid w:val="00422EF2"/>
    <w:rsid w:val="004241D0"/>
    <w:rsid w:val="004241DD"/>
    <w:rsid w:val="0042634E"/>
    <w:rsid w:val="004266D6"/>
    <w:rsid w:val="00427410"/>
    <w:rsid w:val="00427FA3"/>
    <w:rsid w:val="0043201D"/>
    <w:rsid w:val="004324D5"/>
    <w:rsid w:val="00432BB7"/>
    <w:rsid w:val="00433909"/>
    <w:rsid w:val="004340CD"/>
    <w:rsid w:val="00434AFB"/>
    <w:rsid w:val="00434DDB"/>
    <w:rsid w:val="004352F9"/>
    <w:rsid w:val="0043593E"/>
    <w:rsid w:val="0043653F"/>
    <w:rsid w:val="00436859"/>
    <w:rsid w:val="00436BA1"/>
    <w:rsid w:val="00437366"/>
    <w:rsid w:val="004379BC"/>
    <w:rsid w:val="00437A2E"/>
    <w:rsid w:val="00440C8D"/>
    <w:rsid w:val="00441B7E"/>
    <w:rsid w:val="004432F6"/>
    <w:rsid w:val="00444938"/>
    <w:rsid w:val="00444E3B"/>
    <w:rsid w:val="00445047"/>
    <w:rsid w:val="00446045"/>
    <w:rsid w:val="0045052F"/>
    <w:rsid w:val="0045300F"/>
    <w:rsid w:val="00453241"/>
    <w:rsid w:val="0045372A"/>
    <w:rsid w:val="00453F71"/>
    <w:rsid w:val="00454790"/>
    <w:rsid w:val="004557DE"/>
    <w:rsid w:val="0045624D"/>
    <w:rsid w:val="00456DBE"/>
    <w:rsid w:val="00457901"/>
    <w:rsid w:val="00460B23"/>
    <w:rsid w:val="00460D4B"/>
    <w:rsid w:val="00461424"/>
    <w:rsid w:val="00461704"/>
    <w:rsid w:val="00461EDC"/>
    <w:rsid w:val="0046271F"/>
    <w:rsid w:val="004628DC"/>
    <w:rsid w:val="00463ED2"/>
    <w:rsid w:val="00464BC9"/>
    <w:rsid w:val="00465024"/>
    <w:rsid w:val="00465309"/>
    <w:rsid w:val="00465A29"/>
    <w:rsid w:val="0046707C"/>
    <w:rsid w:val="004700B0"/>
    <w:rsid w:val="0047055E"/>
    <w:rsid w:val="0047106F"/>
    <w:rsid w:val="004721EF"/>
    <w:rsid w:val="00472F57"/>
    <w:rsid w:val="00472FC5"/>
    <w:rsid w:val="00473463"/>
    <w:rsid w:val="00473805"/>
    <w:rsid w:val="00474627"/>
    <w:rsid w:val="00474D7B"/>
    <w:rsid w:val="00475004"/>
    <w:rsid w:val="00475596"/>
    <w:rsid w:val="004757AD"/>
    <w:rsid w:val="00475C43"/>
    <w:rsid w:val="00475D0E"/>
    <w:rsid w:val="0047636F"/>
    <w:rsid w:val="0047646A"/>
    <w:rsid w:val="0047671A"/>
    <w:rsid w:val="00477061"/>
    <w:rsid w:val="004772B7"/>
    <w:rsid w:val="00482592"/>
    <w:rsid w:val="004827DE"/>
    <w:rsid w:val="00483382"/>
    <w:rsid w:val="00484164"/>
    <w:rsid w:val="004843FF"/>
    <w:rsid w:val="0048640C"/>
    <w:rsid w:val="00486E0C"/>
    <w:rsid w:val="00486E2F"/>
    <w:rsid w:val="004875F3"/>
    <w:rsid w:val="0049116E"/>
    <w:rsid w:val="004913AA"/>
    <w:rsid w:val="004913F8"/>
    <w:rsid w:val="00491D8C"/>
    <w:rsid w:val="00491E18"/>
    <w:rsid w:val="00492700"/>
    <w:rsid w:val="00493D62"/>
    <w:rsid w:val="0049464B"/>
    <w:rsid w:val="00495A36"/>
    <w:rsid w:val="00495BEF"/>
    <w:rsid w:val="0049652C"/>
    <w:rsid w:val="00496A29"/>
    <w:rsid w:val="00496F2D"/>
    <w:rsid w:val="004A04DF"/>
    <w:rsid w:val="004A1168"/>
    <w:rsid w:val="004A2618"/>
    <w:rsid w:val="004A28AA"/>
    <w:rsid w:val="004A3336"/>
    <w:rsid w:val="004A5CBC"/>
    <w:rsid w:val="004A5E48"/>
    <w:rsid w:val="004A670A"/>
    <w:rsid w:val="004A675A"/>
    <w:rsid w:val="004A693C"/>
    <w:rsid w:val="004A798C"/>
    <w:rsid w:val="004A7D32"/>
    <w:rsid w:val="004B0756"/>
    <w:rsid w:val="004B13BD"/>
    <w:rsid w:val="004B259A"/>
    <w:rsid w:val="004B4C46"/>
    <w:rsid w:val="004B55AA"/>
    <w:rsid w:val="004B598D"/>
    <w:rsid w:val="004B5CFD"/>
    <w:rsid w:val="004B63B3"/>
    <w:rsid w:val="004B6A05"/>
    <w:rsid w:val="004B6D05"/>
    <w:rsid w:val="004B6DEB"/>
    <w:rsid w:val="004C0502"/>
    <w:rsid w:val="004C0B22"/>
    <w:rsid w:val="004C0CE3"/>
    <w:rsid w:val="004C1AD7"/>
    <w:rsid w:val="004C1F56"/>
    <w:rsid w:val="004C2E4F"/>
    <w:rsid w:val="004C3C73"/>
    <w:rsid w:val="004C4306"/>
    <w:rsid w:val="004C466F"/>
    <w:rsid w:val="004C5402"/>
    <w:rsid w:val="004C5578"/>
    <w:rsid w:val="004C647E"/>
    <w:rsid w:val="004C7B78"/>
    <w:rsid w:val="004D0466"/>
    <w:rsid w:val="004D0AC0"/>
    <w:rsid w:val="004D1833"/>
    <w:rsid w:val="004D1B13"/>
    <w:rsid w:val="004D1D0B"/>
    <w:rsid w:val="004D2A09"/>
    <w:rsid w:val="004D2A4B"/>
    <w:rsid w:val="004D41F5"/>
    <w:rsid w:val="004D43E0"/>
    <w:rsid w:val="004D48A3"/>
    <w:rsid w:val="004D4C0F"/>
    <w:rsid w:val="004D7376"/>
    <w:rsid w:val="004D7CA1"/>
    <w:rsid w:val="004E0940"/>
    <w:rsid w:val="004E0B4A"/>
    <w:rsid w:val="004E19BE"/>
    <w:rsid w:val="004E261C"/>
    <w:rsid w:val="004E30DB"/>
    <w:rsid w:val="004E3491"/>
    <w:rsid w:val="004E383C"/>
    <w:rsid w:val="004E3F3D"/>
    <w:rsid w:val="004E495F"/>
    <w:rsid w:val="004E4ABC"/>
    <w:rsid w:val="004E4E28"/>
    <w:rsid w:val="004E576E"/>
    <w:rsid w:val="004E58D8"/>
    <w:rsid w:val="004E5DEB"/>
    <w:rsid w:val="004E5E21"/>
    <w:rsid w:val="004E6014"/>
    <w:rsid w:val="004E62CB"/>
    <w:rsid w:val="004E650D"/>
    <w:rsid w:val="004E70A8"/>
    <w:rsid w:val="004E7D67"/>
    <w:rsid w:val="004E7FBA"/>
    <w:rsid w:val="004F08ED"/>
    <w:rsid w:val="004F08F2"/>
    <w:rsid w:val="004F0E67"/>
    <w:rsid w:val="004F126C"/>
    <w:rsid w:val="004F1603"/>
    <w:rsid w:val="004F2B82"/>
    <w:rsid w:val="004F2C87"/>
    <w:rsid w:val="004F48F6"/>
    <w:rsid w:val="004F4D50"/>
    <w:rsid w:val="004F512A"/>
    <w:rsid w:val="004F6D5B"/>
    <w:rsid w:val="004F6E88"/>
    <w:rsid w:val="004F782C"/>
    <w:rsid w:val="004F78D4"/>
    <w:rsid w:val="004F7A28"/>
    <w:rsid w:val="00501141"/>
    <w:rsid w:val="0050173A"/>
    <w:rsid w:val="00501F1F"/>
    <w:rsid w:val="00501F40"/>
    <w:rsid w:val="0050213A"/>
    <w:rsid w:val="00502339"/>
    <w:rsid w:val="005024F4"/>
    <w:rsid w:val="00505450"/>
    <w:rsid w:val="00505853"/>
    <w:rsid w:val="005060A9"/>
    <w:rsid w:val="005069C4"/>
    <w:rsid w:val="00506BFE"/>
    <w:rsid w:val="00506CFE"/>
    <w:rsid w:val="00506E79"/>
    <w:rsid w:val="00507114"/>
    <w:rsid w:val="00510411"/>
    <w:rsid w:val="00510798"/>
    <w:rsid w:val="005111AA"/>
    <w:rsid w:val="00511D23"/>
    <w:rsid w:val="0051220D"/>
    <w:rsid w:val="005149A3"/>
    <w:rsid w:val="00514CFC"/>
    <w:rsid w:val="00514EDC"/>
    <w:rsid w:val="00515C0E"/>
    <w:rsid w:val="00515C15"/>
    <w:rsid w:val="00516593"/>
    <w:rsid w:val="005166EC"/>
    <w:rsid w:val="00517287"/>
    <w:rsid w:val="00517A64"/>
    <w:rsid w:val="005201AD"/>
    <w:rsid w:val="00520D95"/>
    <w:rsid w:val="005226E1"/>
    <w:rsid w:val="00522A06"/>
    <w:rsid w:val="00523D28"/>
    <w:rsid w:val="00524365"/>
    <w:rsid w:val="00524A03"/>
    <w:rsid w:val="00525B9D"/>
    <w:rsid w:val="00526A97"/>
    <w:rsid w:val="0052731A"/>
    <w:rsid w:val="0052788F"/>
    <w:rsid w:val="005278CF"/>
    <w:rsid w:val="00527BD3"/>
    <w:rsid w:val="005301BD"/>
    <w:rsid w:val="00530462"/>
    <w:rsid w:val="00530875"/>
    <w:rsid w:val="00530AB3"/>
    <w:rsid w:val="00530EFD"/>
    <w:rsid w:val="00531017"/>
    <w:rsid w:val="00531B28"/>
    <w:rsid w:val="00533245"/>
    <w:rsid w:val="0053393A"/>
    <w:rsid w:val="00533A0D"/>
    <w:rsid w:val="00533E7B"/>
    <w:rsid w:val="005341E7"/>
    <w:rsid w:val="005345E5"/>
    <w:rsid w:val="0053552B"/>
    <w:rsid w:val="00535679"/>
    <w:rsid w:val="00535AE2"/>
    <w:rsid w:val="00535C1C"/>
    <w:rsid w:val="00535CF8"/>
    <w:rsid w:val="0053639C"/>
    <w:rsid w:val="005364D3"/>
    <w:rsid w:val="00536CF4"/>
    <w:rsid w:val="005371CC"/>
    <w:rsid w:val="00537B20"/>
    <w:rsid w:val="00540784"/>
    <w:rsid w:val="0054199E"/>
    <w:rsid w:val="00541ABE"/>
    <w:rsid w:val="00542C9A"/>
    <w:rsid w:val="00542DE5"/>
    <w:rsid w:val="00543099"/>
    <w:rsid w:val="00544CFF"/>
    <w:rsid w:val="00544F71"/>
    <w:rsid w:val="0054537D"/>
    <w:rsid w:val="00545797"/>
    <w:rsid w:val="00546785"/>
    <w:rsid w:val="0054678C"/>
    <w:rsid w:val="00546FA9"/>
    <w:rsid w:val="005502AD"/>
    <w:rsid w:val="00550C51"/>
    <w:rsid w:val="00550D04"/>
    <w:rsid w:val="00551510"/>
    <w:rsid w:val="00551BDB"/>
    <w:rsid w:val="0055213B"/>
    <w:rsid w:val="005521EC"/>
    <w:rsid w:val="005522B6"/>
    <w:rsid w:val="005543D4"/>
    <w:rsid w:val="005549D9"/>
    <w:rsid w:val="005550FC"/>
    <w:rsid w:val="005558B7"/>
    <w:rsid w:val="00555907"/>
    <w:rsid w:val="00557B68"/>
    <w:rsid w:val="0056003F"/>
    <w:rsid w:val="00560DE5"/>
    <w:rsid w:val="005614AF"/>
    <w:rsid w:val="0056199A"/>
    <w:rsid w:val="005651FE"/>
    <w:rsid w:val="00565611"/>
    <w:rsid w:val="00565FFD"/>
    <w:rsid w:val="00566194"/>
    <w:rsid w:val="00567D00"/>
    <w:rsid w:val="00570C15"/>
    <w:rsid w:val="00572641"/>
    <w:rsid w:val="00572A2D"/>
    <w:rsid w:val="0057338C"/>
    <w:rsid w:val="00575307"/>
    <w:rsid w:val="00575378"/>
    <w:rsid w:val="00575901"/>
    <w:rsid w:val="0057635D"/>
    <w:rsid w:val="00577057"/>
    <w:rsid w:val="0057767D"/>
    <w:rsid w:val="00577D9B"/>
    <w:rsid w:val="005806A5"/>
    <w:rsid w:val="00580839"/>
    <w:rsid w:val="0058118C"/>
    <w:rsid w:val="00581829"/>
    <w:rsid w:val="00583177"/>
    <w:rsid w:val="005835F1"/>
    <w:rsid w:val="00583755"/>
    <w:rsid w:val="00584572"/>
    <w:rsid w:val="00584716"/>
    <w:rsid w:val="00584987"/>
    <w:rsid w:val="00586D2D"/>
    <w:rsid w:val="00587329"/>
    <w:rsid w:val="00587D39"/>
    <w:rsid w:val="005911AC"/>
    <w:rsid w:val="0059177C"/>
    <w:rsid w:val="0059200C"/>
    <w:rsid w:val="005921FA"/>
    <w:rsid w:val="00592975"/>
    <w:rsid w:val="00592C27"/>
    <w:rsid w:val="005933AC"/>
    <w:rsid w:val="00596126"/>
    <w:rsid w:val="00596A5A"/>
    <w:rsid w:val="00596C04"/>
    <w:rsid w:val="00596D2A"/>
    <w:rsid w:val="00597E01"/>
    <w:rsid w:val="00597E96"/>
    <w:rsid w:val="005A0F27"/>
    <w:rsid w:val="005A1E69"/>
    <w:rsid w:val="005A203B"/>
    <w:rsid w:val="005A4A62"/>
    <w:rsid w:val="005A6C36"/>
    <w:rsid w:val="005A6FBF"/>
    <w:rsid w:val="005A7B93"/>
    <w:rsid w:val="005B07D0"/>
    <w:rsid w:val="005B0D24"/>
    <w:rsid w:val="005B1213"/>
    <w:rsid w:val="005B2202"/>
    <w:rsid w:val="005B2496"/>
    <w:rsid w:val="005B5067"/>
    <w:rsid w:val="005B50EB"/>
    <w:rsid w:val="005B61C6"/>
    <w:rsid w:val="005B61DC"/>
    <w:rsid w:val="005B638E"/>
    <w:rsid w:val="005B6636"/>
    <w:rsid w:val="005C0013"/>
    <w:rsid w:val="005C111F"/>
    <w:rsid w:val="005C1D23"/>
    <w:rsid w:val="005C23D9"/>
    <w:rsid w:val="005C39E5"/>
    <w:rsid w:val="005C4333"/>
    <w:rsid w:val="005C4D81"/>
    <w:rsid w:val="005C4FF9"/>
    <w:rsid w:val="005C6489"/>
    <w:rsid w:val="005C70CB"/>
    <w:rsid w:val="005C79F2"/>
    <w:rsid w:val="005D0319"/>
    <w:rsid w:val="005D05EE"/>
    <w:rsid w:val="005D1836"/>
    <w:rsid w:val="005D2A23"/>
    <w:rsid w:val="005D4717"/>
    <w:rsid w:val="005D4ED5"/>
    <w:rsid w:val="005D5250"/>
    <w:rsid w:val="005D600C"/>
    <w:rsid w:val="005D6BB6"/>
    <w:rsid w:val="005D7B62"/>
    <w:rsid w:val="005E04ED"/>
    <w:rsid w:val="005E085E"/>
    <w:rsid w:val="005E17BE"/>
    <w:rsid w:val="005E3AD9"/>
    <w:rsid w:val="005E4410"/>
    <w:rsid w:val="005E5152"/>
    <w:rsid w:val="005E5F58"/>
    <w:rsid w:val="005E7A7C"/>
    <w:rsid w:val="005F0C99"/>
    <w:rsid w:val="005F0D8D"/>
    <w:rsid w:val="005F21FB"/>
    <w:rsid w:val="005F411D"/>
    <w:rsid w:val="005F4336"/>
    <w:rsid w:val="005F4399"/>
    <w:rsid w:val="005F48A9"/>
    <w:rsid w:val="005F4ADF"/>
    <w:rsid w:val="005F4C2E"/>
    <w:rsid w:val="005F50E0"/>
    <w:rsid w:val="005F5735"/>
    <w:rsid w:val="005F6364"/>
    <w:rsid w:val="005F637E"/>
    <w:rsid w:val="005F6870"/>
    <w:rsid w:val="005F6B64"/>
    <w:rsid w:val="005F71D9"/>
    <w:rsid w:val="005F77A8"/>
    <w:rsid w:val="006008D1"/>
    <w:rsid w:val="00600A4F"/>
    <w:rsid w:val="00600DD8"/>
    <w:rsid w:val="006012BB"/>
    <w:rsid w:val="006012FF"/>
    <w:rsid w:val="00601DCD"/>
    <w:rsid w:val="00602373"/>
    <w:rsid w:val="00602777"/>
    <w:rsid w:val="00602E64"/>
    <w:rsid w:val="00602F00"/>
    <w:rsid w:val="0060314B"/>
    <w:rsid w:val="00603973"/>
    <w:rsid w:val="00603BE2"/>
    <w:rsid w:val="00603EBA"/>
    <w:rsid w:val="006046E1"/>
    <w:rsid w:val="0060609C"/>
    <w:rsid w:val="006068FF"/>
    <w:rsid w:val="00607B3D"/>
    <w:rsid w:val="00607D56"/>
    <w:rsid w:val="00607F66"/>
    <w:rsid w:val="00610726"/>
    <w:rsid w:val="00610D1B"/>
    <w:rsid w:val="00611053"/>
    <w:rsid w:val="00611B65"/>
    <w:rsid w:val="00611C56"/>
    <w:rsid w:val="0061319A"/>
    <w:rsid w:val="0061421F"/>
    <w:rsid w:val="0061435C"/>
    <w:rsid w:val="006153B5"/>
    <w:rsid w:val="0061560F"/>
    <w:rsid w:val="00616D2D"/>
    <w:rsid w:val="00616F2D"/>
    <w:rsid w:val="0061710B"/>
    <w:rsid w:val="00620074"/>
    <w:rsid w:val="006203B5"/>
    <w:rsid w:val="006210BA"/>
    <w:rsid w:val="00621C28"/>
    <w:rsid w:val="006223AC"/>
    <w:rsid w:val="006226A0"/>
    <w:rsid w:val="0062285C"/>
    <w:rsid w:val="00622C6A"/>
    <w:rsid w:val="00623F49"/>
    <w:rsid w:val="006241E1"/>
    <w:rsid w:val="00624294"/>
    <w:rsid w:val="006244F0"/>
    <w:rsid w:val="00626CAC"/>
    <w:rsid w:val="00627C85"/>
    <w:rsid w:val="00627EC7"/>
    <w:rsid w:val="00630B5C"/>
    <w:rsid w:val="00630C96"/>
    <w:rsid w:val="00631B33"/>
    <w:rsid w:val="00631DFC"/>
    <w:rsid w:val="00632DD9"/>
    <w:rsid w:val="0063344C"/>
    <w:rsid w:val="00633772"/>
    <w:rsid w:val="00633ADF"/>
    <w:rsid w:val="00635CAA"/>
    <w:rsid w:val="006367A1"/>
    <w:rsid w:val="006367A5"/>
    <w:rsid w:val="00636C7D"/>
    <w:rsid w:val="0063768C"/>
    <w:rsid w:val="006377AD"/>
    <w:rsid w:val="00637E96"/>
    <w:rsid w:val="006403E1"/>
    <w:rsid w:val="00641483"/>
    <w:rsid w:val="006416EA"/>
    <w:rsid w:val="00642096"/>
    <w:rsid w:val="006427B9"/>
    <w:rsid w:val="006429C0"/>
    <w:rsid w:val="00643353"/>
    <w:rsid w:val="0064357B"/>
    <w:rsid w:val="00643D93"/>
    <w:rsid w:val="0064430A"/>
    <w:rsid w:val="006451F2"/>
    <w:rsid w:val="00646C58"/>
    <w:rsid w:val="00650FFE"/>
    <w:rsid w:val="006510FE"/>
    <w:rsid w:val="0065312A"/>
    <w:rsid w:val="00653F3B"/>
    <w:rsid w:val="00654107"/>
    <w:rsid w:val="00654165"/>
    <w:rsid w:val="0065795E"/>
    <w:rsid w:val="00657F18"/>
    <w:rsid w:val="006630B6"/>
    <w:rsid w:val="006634C0"/>
    <w:rsid w:val="00663A10"/>
    <w:rsid w:val="00663DD9"/>
    <w:rsid w:val="0066501F"/>
    <w:rsid w:val="00665391"/>
    <w:rsid w:val="00666612"/>
    <w:rsid w:val="0066673E"/>
    <w:rsid w:val="00666C3D"/>
    <w:rsid w:val="0066728A"/>
    <w:rsid w:val="006707F5"/>
    <w:rsid w:val="00670EB4"/>
    <w:rsid w:val="00671A84"/>
    <w:rsid w:val="00671B7E"/>
    <w:rsid w:val="00671EF4"/>
    <w:rsid w:val="00671FDF"/>
    <w:rsid w:val="00673395"/>
    <w:rsid w:val="006734F4"/>
    <w:rsid w:val="006757AF"/>
    <w:rsid w:val="006766AA"/>
    <w:rsid w:val="00676D2B"/>
    <w:rsid w:val="00676F65"/>
    <w:rsid w:val="006772BC"/>
    <w:rsid w:val="00677B8E"/>
    <w:rsid w:val="00680941"/>
    <w:rsid w:val="0068103C"/>
    <w:rsid w:val="00681BF6"/>
    <w:rsid w:val="006826C6"/>
    <w:rsid w:val="006827B3"/>
    <w:rsid w:val="00683104"/>
    <w:rsid w:val="00683214"/>
    <w:rsid w:val="006844D7"/>
    <w:rsid w:val="006849EA"/>
    <w:rsid w:val="0068710C"/>
    <w:rsid w:val="00687393"/>
    <w:rsid w:val="006876D0"/>
    <w:rsid w:val="0068787C"/>
    <w:rsid w:val="00687C8C"/>
    <w:rsid w:val="0069067B"/>
    <w:rsid w:val="00692219"/>
    <w:rsid w:val="006925B8"/>
    <w:rsid w:val="00692651"/>
    <w:rsid w:val="00692C53"/>
    <w:rsid w:val="00694701"/>
    <w:rsid w:val="00694B4E"/>
    <w:rsid w:val="0069673C"/>
    <w:rsid w:val="006967C0"/>
    <w:rsid w:val="00696900"/>
    <w:rsid w:val="00697778"/>
    <w:rsid w:val="006A0476"/>
    <w:rsid w:val="006A235C"/>
    <w:rsid w:val="006A297B"/>
    <w:rsid w:val="006A3781"/>
    <w:rsid w:val="006A3C23"/>
    <w:rsid w:val="006A3E2C"/>
    <w:rsid w:val="006A42EB"/>
    <w:rsid w:val="006A50A8"/>
    <w:rsid w:val="006A56A9"/>
    <w:rsid w:val="006A7532"/>
    <w:rsid w:val="006B0148"/>
    <w:rsid w:val="006B0231"/>
    <w:rsid w:val="006B10DF"/>
    <w:rsid w:val="006B19FA"/>
    <w:rsid w:val="006B2363"/>
    <w:rsid w:val="006B2C75"/>
    <w:rsid w:val="006B356C"/>
    <w:rsid w:val="006B39DA"/>
    <w:rsid w:val="006B3AC8"/>
    <w:rsid w:val="006B50FC"/>
    <w:rsid w:val="006B591F"/>
    <w:rsid w:val="006B61CA"/>
    <w:rsid w:val="006B6D80"/>
    <w:rsid w:val="006B7A17"/>
    <w:rsid w:val="006B7F51"/>
    <w:rsid w:val="006C01F8"/>
    <w:rsid w:val="006C03C5"/>
    <w:rsid w:val="006C0AB2"/>
    <w:rsid w:val="006C206C"/>
    <w:rsid w:val="006C327F"/>
    <w:rsid w:val="006C3451"/>
    <w:rsid w:val="006C5221"/>
    <w:rsid w:val="006C5226"/>
    <w:rsid w:val="006C5516"/>
    <w:rsid w:val="006C5579"/>
    <w:rsid w:val="006C5768"/>
    <w:rsid w:val="006C5ADA"/>
    <w:rsid w:val="006C5BED"/>
    <w:rsid w:val="006C62FB"/>
    <w:rsid w:val="006C63A2"/>
    <w:rsid w:val="006C6631"/>
    <w:rsid w:val="006D0768"/>
    <w:rsid w:val="006D28B4"/>
    <w:rsid w:val="006D303A"/>
    <w:rsid w:val="006D3E0A"/>
    <w:rsid w:val="006D521D"/>
    <w:rsid w:val="006D5227"/>
    <w:rsid w:val="006D56FF"/>
    <w:rsid w:val="006D5784"/>
    <w:rsid w:val="006D5AB9"/>
    <w:rsid w:val="006D6883"/>
    <w:rsid w:val="006E22E5"/>
    <w:rsid w:val="006E2881"/>
    <w:rsid w:val="006E2DEC"/>
    <w:rsid w:val="006E36AF"/>
    <w:rsid w:val="006E36E1"/>
    <w:rsid w:val="006E3A29"/>
    <w:rsid w:val="006E44ED"/>
    <w:rsid w:val="006E5E1C"/>
    <w:rsid w:val="006E6B5D"/>
    <w:rsid w:val="006E6C16"/>
    <w:rsid w:val="006E6E24"/>
    <w:rsid w:val="006E7506"/>
    <w:rsid w:val="006E7AF8"/>
    <w:rsid w:val="006F0371"/>
    <w:rsid w:val="006F094D"/>
    <w:rsid w:val="006F0BDA"/>
    <w:rsid w:val="006F1B4A"/>
    <w:rsid w:val="006F204F"/>
    <w:rsid w:val="006F3827"/>
    <w:rsid w:val="006F3B40"/>
    <w:rsid w:val="006F51A6"/>
    <w:rsid w:val="006F533E"/>
    <w:rsid w:val="006F537D"/>
    <w:rsid w:val="006F5E68"/>
    <w:rsid w:val="007001B7"/>
    <w:rsid w:val="00700C47"/>
    <w:rsid w:val="007018E5"/>
    <w:rsid w:val="00701E17"/>
    <w:rsid w:val="00702389"/>
    <w:rsid w:val="00702BBE"/>
    <w:rsid w:val="00702BEE"/>
    <w:rsid w:val="00702E5D"/>
    <w:rsid w:val="00703D04"/>
    <w:rsid w:val="00705234"/>
    <w:rsid w:val="00705316"/>
    <w:rsid w:val="00711368"/>
    <w:rsid w:val="00712113"/>
    <w:rsid w:val="007125E8"/>
    <w:rsid w:val="00713630"/>
    <w:rsid w:val="007142D6"/>
    <w:rsid w:val="007146CE"/>
    <w:rsid w:val="007159FF"/>
    <w:rsid w:val="00716B1A"/>
    <w:rsid w:val="007203E0"/>
    <w:rsid w:val="007211C9"/>
    <w:rsid w:val="00722494"/>
    <w:rsid w:val="00722891"/>
    <w:rsid w:val="007237FE"/>
    <w:rsid w:val="00723916"/>
    <w:rsid w:val="00725849"/>
    <w:rsid w:val="00726318"/>
    <w:rsid w:val="00726FA4"/>
    <w:rsid w:val="007275DF"/>
    <w:rsid w:val="00727B38"/>
    <w:rsid w:val="00730473"/>
    <w:rsid w:val="00730552"/>
    <w:rsid w:val="00731173"/>
    <w:rsid w:val="0073145F"/>
    <w:rsid w:val="00731B1E"/>
    <w:rsid w:val="00731DBC"/>
    <w:rsid w:val="00732ECE"/>
    <w:rsid w:val="00733BA4"/>
    <w:rsid w:val="00733F5F"/>
    <w:rsid w:val="007340B3"/>
    <w:rsid w:val="00734CE1"/>
    <w:rsid w:val="00735541"/>
    <w:rsid w:val="00736249"/>
    <w:rsid w:val="00737BC9"/>
    <w:rsid w:val="0074037B"/>
    <w:rsid w:val="00741413"/>
    <w:rsid w:val="00741785"/>
    <w:rsid w:val="00742543"/>
    <w:rsid w:val="007429A9"/>
    <w:rsid w:val="00742EFA"/>
    <w:rsid w:val="00743358"/>
    <w:rsid w:val="00743432"/>
    <w:rsid w:val="007435C7"/>
    <w:rsid w:val="007448DF"/>
    <w:rsid w:val="00745B46"/>
    <w:rsid w:val="007469BE"/>
    <w:rsid w:val="007470FB"/>
    <w:rsid w:val="0074776C"/>
    <w:rsid w:val="00747FDC"/>
    <w:rsid w:val="00750815"/>
    <w:rsid w:val="0075083E"/>
    <w:rsid w:val="007510E8"/>
    <w:rsid w:val="007512CE"/>
    <w:rsid w:val="00751E2E"/>
    <w:rsid w:val="00751EB8"/>
    <w:rsid w:val="00752088"/>
    <w:rsid w:val="007534DA"/>
    <w:rsid w:val="007568E8"/>
    <w:rsid w:val="00757579"/>
    <w:rsid w:val="00757B24"/>
    <w:rsid w:val="00757C71"/>
    <w:rsid w:val="00757F8D"/>
    <w:rsid w:val="00757F96"/>
    <w:rsid w:val="0076052B"/>
    <w:rsid w:val="007609C9"/>
    <w:rsid w:val="00760D9E"/>
    <w:rsid w:val="00761029"/>
    <w:rsid w:val="007610B6"/>
    <w:rsid w:val="007611B0"/>
    <w:rsid w:val="00762DE8"/>
    <w:rsid w:val="00763267"/>
    <w:rsid w:val="0076466A"/>
    <w:rsid w:val="0076490F"/>
    <w:rsid w:val="0076653A"/>
    <w:rsid w:val="00767905"/>
    <w:rsid w:val="00767EA7"/>
    <w:rsid w:val="00767F68"/>
    <w:rsid w:val="0077001C"/>
    <w:rsid w:val="007709A8"/>
    <w:rsid w:val="00770EEE"/>
    <w:rsid w:val="0077202F"/>
    <w:rsid w:val="0077229E"/>
    <w:rsid w:val="00772F6F"/>
    <w:rsid w:val="00772FB2"/>
    <w:rsid w:val="00773002"/>
    <w:rsid w:val="00773C46"/>
    <w:rsid w:val="00773F67"/>
    <w:rsid w:val="007742CC"/>
    <w:rsid w:val="007748B6"/>
    <w:rsid w:val="00774B4B"/>
    <w:rsid w:val="00775698"/>
    <w:rsid w:val="00775E53"/>
    <w:rsid w:val="00776434"/>
    <w:rsid w:val="00776774"/>
    <w:rsid w:val="007771DC"/>
    <w:rsid w:val="00777AC3"/>
    <w:rsid w:val="0078043A"/>
    <w:rsid w:val="0078092B"/>
    <w:rsid w:val="00780D78"/>
    <w:rsid w:val="0078201E"/>
    <w:rsid w:val="007837C1"/>
    <w:rsid w:val="00783945"/>
    <w:rsid w:val="0078398E"/>
    <w:rsid w:val="00784468"/>
    <w:rsid w:val="00784489"/>
    <w:rsid w:val="00784C5B"/>
    <w:rsid w:val="00784EA2"/>
    <w:rsid w:val="00785080"/>
    <w:rsid w:val="00785D14"/>
    <w:rsid w:val="00786153"/>
    <w:rsid w:val="00786E86"/>
    <w:rsid w:val="00786EB6"/>
    <w:rsid w:val="00787A24"/>
    <w:rsid w:val="00787A4D"/>
    <w:rsid w:val="007904B4"/>
    <w:rsid w:val="00790540"/>
    <w:rsid w:val="007907C1"/>
    <w:rsid w:val="0079124E"/>
    <w:rsid w:val="007916BF"/>
    <w:rsid w:val="0079243F"/>
    <w:rsid w:val="00793BB4"/>
    <w:rsid w:val="00794650"/>
    <w:rsid w:val="0079497A"/>
    <w:rsid w:val="0079507F"/>
    <w:rsid w:val="007961CB"/>
    <w:rsid w:val="007A070B"/>
    <w:rsid w:val="007A0EF7"/>
    <w:rsid w:val="007A103B"/>
    <w:rsid w:val="007A1246"/>
    <w:rsid w:val="007A1867"/>
    <w:rsid w:val="007A214C"/>
    <w:rsid w:val="007A339F"/>
    <w:rsid w:val="007A521D"/>
    <w:rsid w:val="007A54D8"/>
    <w:rsid w:val="007A5B7D"/>
    <w:rsid w:val="007A6D45"/>
    <w:rsid w:val="007A6FF3"/>
    <w:rsid w:val="007A7A89"/>
    <w:rsid w:val="007B06F6"/>
    <w:rsid w:val="007B11AD"/>
    <w:rsid w:val="007B12C3"/>
    <w:rsid w:val="007B187D"/>
    <w:rsid w:val="007B25C1"/>
    <w:rsid w:val="007B2919"/>
    <w:rsid w:val="007B2D3E"/>
    <w:rsid w:val="007B35FA"/>
    <w:rsid w:val="007B531F"/>
    <w:rsid w:val="007B5349"/>
    <w:rsid w:val="007B62AC"/>
    <w:rsid w:val="007B6A96"/>
    <w:rsid w:val="007C1A17"/>
    <w:rsid w:val="007C2057"/>
    <w:rsid w:val="007C37B3"/>
    <w:rsid w:val="007C3D0A"/>
    <w:rsid w:val="007C41CB"/>
    <w:rsid w:val="007C4D24"/>
    <w:rsid w:val="007C5B51"/>
    <w:rsid w:val="007C62A1"/>
    <w:rsid w:val="007C77CE"/>
    <w:rsid w:val="007C79C7"/>
    <w:rsid w:val="007D072E"/>
    <w:rsid w:val="007D20F0"/>
    <w:rsid w:val="007D28D6"/>
    <w:rsid w:val="007D3261"/>
    <w:rsid w:val="007D3733"/>
    <w:rsid w:val="007D3E42"/>
    <w:rsid w:val="007D4189"/>
    <w:rsid w:val="007D43E6"/>
    <w:rsid w:val="007D4A82"/>
    <w:rsid w:val="007D4AAA"/>
    <w:rsid w:val="007D686C"/>
    <w:rsid w:val="007D6B5B"/>
    <w:rsid w:val="007D6CE1"/>
    <w:rsid w:val="007D731F"/>
    <w:rsid w:val="007E0521"/>
    <w:rsid w:val="007E0DA5"/>
    <w:rsid w:val="007E303F"/>
    <w:rsid w:val="007E472C"/>
    <w:rsid w:val="007E4B57"/>
    <w:rsid w:val="007E4D4C"/>
    <w:rsid w:val="007E5AA1"/>
    <w:rsid w:val="007E5ECA"/>
    <w:rsid w:val="007E64CF"/>
    <w:rsid w:val="007E7157"/>
    <w:rsid w:val="007F000E"/>
    <w:rsid w:val="007F0ADA"/>
    <w:rsid w:val="007F16E5"/>
    <w:rsid w:val="007F1F8A"/>
    <w:rsid w:val="007F26D8"/>
    <w:rsid w:val="007F2AD6"/>
    <w:rsid w:val="007F3364"/>
    <w:rsid w:val="007F35E7"/>
    <w:rsid w:val="007F36F4"/>
    <w:rsid w:val="007F381B"/>
    <w:rsid w:val="007F5638"/>
    <w:rsid w:val="007F60F1"/>
    <w:rsid w:val="007F664A"/>
    <w:rsid w:val="007F66D4"/>
    <w:rsid w:val="007F6D5B"/>
    <w:rsid w:val="007F79E5"/>
    <w:rsid w:val="007F7D9E"/>
    <w:rsid w:val="008028D1"/>
    <w:rsid w:val="00803961"/>
    <w:rsid w:val="00803E40"/>
    <w:rsid w:val="008042AB"/>
    <w:rsid w:val="00804467"/>
    <w:rsid w:val="008051BA"/>
    <w:rsid w:val="00805784"/>
    <w:rsid w:val="00807C95"/>
    <w:rsid w:val="00807D5E"/>
    <w:rsid w:val="00807D6E"/>
    <w:rsid w:val="008104E7"/>
    <w:rsid w:val="00810D47"/>
    <w:rsid w:val="0081162F"/>
    <w:rsid w:val="0081207D"/>
    <w:rsid w:val="00812B04"/>
    <w:rsid w:val="0081319F"/>
    <w:rsid w:val="00814597"/>
    <w:rsid w:val="00814A5C"/>
    <w:rsid w:val="00814B0E"/>
    <w:rsid w:val="0081571D"/>
    <w:rsid w:val="00816397"/>
    <w:rsid w:val="00817EEC"/>
    <w:rsid w:val="0082003E"/>
    <w:rsid w:val="00821C09"/>
    <w:rsid w:val="00821F6D"/>
    <w:rsid w:val="00822581"/>
    <w:rsid w:val="00823998"/>
    <w:rsid w:val="00823D84"/>
    <w:rsid w:val="0082493D"/>
    <w:rsid w:val="00824CC9"/>
    <w:rsid w:val="008266B4"/>
    <w:rsid w:val="0082767B"/>
    <w:rsid w:val="00827CA4"/>
    <w:rsid w:val="00827DCE"/>
    <w:rsid w:val="008313B7"/>
    <w:rsid w:val="00833755"/>
    <w:rsid w:val="00833A92"/>
    <w:rsid w:val="00835428"/>
    <w:rsid w:val="0083579D"/>
    <w:rsid w:val="00835CE8"/>
    <w:rsid w:val="0083638F"/>
    <w:rsid w:val="00836E0B"/>
    <w:rsid w:val="008379EF"/>
    <w:rsid w:val="00840A6C"/>
    <w:rsid w:val="00840F1B"/>
    <w:rsid w:val="0084317C"/>
    <w:rsid w:val="008438B1"/>
    <w:rsid w:val="008453C7"/>
    <w:rsid w:val="0084545D"/>
    <w:rsid w:val="00845985"/>
    <w:rsid w:val="00846679"/>
    <w:rsid w:val="008502AD"/>
    <w:rsid w:val="008508BF"/>
    <w:rsid w:val="00850ADC"/>
    <w:rsid w:val="00850D50"/>
    <w:rsid w:val="00852B87"/>
    <w:rsid w:val="008542E2"/>
    <w:rsid w:val="00855233"/>
    <w:rsid w:val="008554C2"/>
    <w:rsid w:val="008560C2"/>
    <w:rsid w:val="008561B5"/>
    <w:rsid w:val="0085648B"/>
    <w:rsid w:val="008569A7"/>
    <w:rsid w:val="0085746B"/>
    <w:rsid w:val="00857579"/>
    <w:rsid w:val="00857D3E"/>
    <w:rsid w:val="008606A4"/>
    <w:rsid w:val="008615B8"/>
    <w:rsid w:val="008630BD"/>
    <w:rsid w:val="008631C2"/>
    <w:rsid w:val="00863531"/>
    <w:rsid w:val="008635B1"/>
    <w:rsid w:val="00863E03"/>
    <w:rsid w:val="0086457B"/>
    <w:rsid w:val="008656AA"/>
    <w:rsid w:val="0086575E"/>
    <w:rsid w:val="008662C3"/>
    <w:rsid w:val="00866BB9"/>
    <w:rsid w:val="00866C8E"/>
    <w:rsid w:val="00867C87"/>
    <w:rsid w:val="00867D03"/>
    <w:rsid w:val="00870FB9"/>
    <w:rsid w:val="0087162E"/>
    <w:rsid w:val="00871803"/>
    <w:rsid w:val="00871ABD"/>
    <w:rsid w:val="00871DFA"/>
    <w:rsid w:val="008731D3"/>
    <w:rsid w:val="00873E31"/>
    <w:rsid w:val="008742BE"/>
    <w:rsid w:val="008746D7"/>
    <w:rsid w:val="008748B7"/>
    <w:rsid w:val="008761AF"/>
    <w:rsid w:val="008767AB"/>
    <w:rsid w:val="00876EE0"/>
    <w:rsid w:val="0087713D"/>
    <w:rsid w:val="00877658"/>
    <w:rsid w:val="008779F6"/>
    <w:rsid w:val="00877BB5"/>
    <w:rsid w:val="008801C9"/>
    <w:rsid w:val="008803CE"/>
    <w:rsid w:val="0088075E"/>
    <w:rsid w:val="00880BD0"/>
    <w:rsid w:val="00880C0E"/>
    <w:rsid w:val="00881212"/>
    <w:rsid w:val="008815CC"/>
    <w:rsid w:val="008819C6"/>
    <w:rsid w:val="00881B8F"/>
    <w:rsid w:val="00881E61"/>
    <w:rsid w:val="00882017"/>
    <w:rsid w:val="00882711"/>
    <w:rsid w:val="00882728"/>
    <w:rsid w:val="00882AE6"/>
    <w:rsid w:val="008849D1"/>
    <w:rsid w:val="00885001"/>
    <w:rsid w:val="00885DB3"/>
    <w:rsid w:val="008861F4"/>
    <w:rsid w:val="008869CE"/>
    <w:rsid w:val="00886BDD"/>
    <w:rsid w:val="00886C92"/>
    <w:rsid w:val="00887150"/>
    <w:rsid w:val="008902FB"/>
    <w:rsid w:val="00890380"/>
    <w:rsid w:val="0089043B"/>
    <w:rsid w:val="00890568"/>
    <w:rsid w:val="00890591"/>
    <w:rsid w:val="0089096E"/>
    <w:rsid w:val="00894824"/>
    <w:rsid w:val="00897B68"/>
    <w:rsid w:val="008A001B"/>
    <w:rsid w:val="008A035A"/>
    <w:rsid w:val="008A1F8B"/>
    <w:rsid w:val="008A233C"/>
    <w:rsid w:val="008A2674"/>
    <w:rsid w:val="008A27BD"/>
    <w:rsid w:val="008A323F"/>
    <w:rsid w:val="008A3527"/>
    <w:rsid w:val="008A3AC2"/>
    <w:rsid w:val="008A420C"/>
    <w:rsid w:val="008A4395"/>
    <w:rsid w:val="008A5EB0"/>
    <w:rsid w:val="008A6D6F"/>
    <w:rsid w:val="008B0EE6"/>
    <w:rsid w:val="008B1233"/>
    <w:rsid w:val="008B1250"/>
    <w:rsid w:val="008B14ED"/>
    <w:rsid w:val="008B1A3B"/>
    <w:rsid w:val="008B2680"/>
    <w:rsid w:val="008B3E82"/>
    <w:rsid w:val="008B41FC"/>
    <w:rsid w:val="008B4A95"/>
    <w:rsid w:val="008B590D"/>
    <w:rsid w:val="008B5E53"/>
    <w:rsid w:val="008B6314"/>
    <w:rsid w:val="008B631D"/>
    <w:rsid w:val="008B7D51"/>
    <w:rsid w:val="008C0D76"/>
    <w:rsid w:val="008C1B86"/>
    <w:rsid w:val="008C2CD2"/>
    <w:rsid w:val="008C3D4A"/>
    <w:rsid w:val="008C4914"/>
    <w:rsid w:val="008C4D2E"/>
    <w:rsid w:val="008C61A8"/>
    <w:rsid w:val="008C65A6"/>
    <w:rsid w:val="008C6F4E"/>
    <w:rsid w:val="008D078A"/>
    <w:rsid w:val="008D0856"/>
    <w:rsid w:val="008D09ED"/>
    <w:rsid w:val="008D0FD4"/>
    <w:rsid w:val="008D1CF2"/>
    <w:rsid w:val="008D1DB8"/>
    <w:rsid w:val="008D24A8"/>
    <w:rsid w:val="008D25E4"/>
    <w:rsid w:val="008D2942"/>
    <w:rsid w:val="008D353C"/>
    <w:rsid w:val="008D3995"/>
    <w:rsid w:val="008D3E5E"/>
    <w:rsid w:val="008D4D15"/>
    <w:rsid w:val="008D559D"/>
    <w:rsid w:val="008D55AA"/>
    <w:rsid w:val="008D57EC"/>
    <w:rsid w:val="008D77E3"/>
    <w:rsid w:val="008D7EA2"/>
    <w:rsid w:val="008E000C"/>
    <w:rsid w:val="008E0134"/>
    <w:rsid w:val="008E11CE"/>
    <w:rsid w:val="008E1C9E"/>
    <w:rsid w:val="008E2916"/>
    <w:rsid w:val="008E2BE4"/>
    <w:rsid w:val="008E2DA3"/>
    <w:rsid w:val="008E4A1E"/>
    <w:rsid w:val="008E54BA"/>
    <w:rsid w:val="008E6308"/>
    <w:rsid w:val="008E7AA5"/>
    <w:rsid w:val="008E7B2C"/>
    <w:rsid w:val="008F08A2"/>
    <w:rsid w:val="008F0BBA"/>
    <w:rsid w:val="008F1073"/>
    <w:rsid w:val="008F2329"/>
    <w:rsid w:val="008F3448"/>
    <w:rsid w:val="008F42F1"/>
    <w:rsid w:val="008F59D7"/>
    <w:rsid w:val="008F5B05"/>
    <w:rsid w:val="008F5B94"/>
    <w:rsid w:val="008F6584"/>
    <w:rsid w:val="008F768C"/>
    <w:rsid w:val="008F7B0F"/>
    <w:rsid w:val="0090032A"/>
    <w:rsid w:val="009007C4"/>
    <w:rsid w:val="0090123E"/>
    <w:rsid w:val="009027F9"/>
    <w:rsid w:val="009043EC"/>
    <w:rsid w:val="0090447E"/>
    <w:rsid w:val="00904584"/>
    <w:rsid w:val="00904C0C"/>
    <w:rsid w:val="009052B0"/>
    <w:rsid w:val="0090649B"/>
    <w:rsid w:val="009064CD"/>
    <w:rsid w:val="00907817"/>
    <w:rsid w:val="0091011A"/>
    <w:rsid w:val="009102CB"/>
    <w:rsid w:val="00910623"/>
    <w:rsid w:val="00910806"/>
    <w:rsid w:val="00911774"/>
    <w:rsid w:val="00911960"/>
    <w:rsid w:val="00912440"/>
    <w:rsid w:val="00912561"/>
    <w:rsid w:val="009130F3"/>
    <w:rsid w:val="00914277"/>
    <w:rsid w:val="00914A80"/>
    <w:rsid w:val="00914BB1"/>
    <w:rsid w:val="00915E09"/>
    <w:rsid w:val="00916624"/>
    <w:rsid w:val="00916DCC"/>
    <w:rsid w:val="00920C37"/>
    <w:rsid w:val="00921359"/>
    <w:rsid w:val="009215B2"/>
    <w:rsid w:val="009217C2"/>
    <w:rsid w:val="00921CC2"/>
    <w:rsid w:val="00921E8B"/>
    <w:rsid w:val="00921E9E"/>
    <w:rsid w:val="00922A04"/>
    <w:rsid w:val="00922E46"/>
    <w:rsid w:val="00923AF5"/>
    <w:rsid w:val="00923F35"/>
    <w:rsid w:val="009240F6"/>
    <w:rsid w:val="0092428A"/>
    <w:rsid w:val="009244A4"/>
    <w:rsid w:val="00924706"/>
    <w:rsid w:val="00926124"/>
    <w:rsid w:val="0092695B"/>
    <w:rsid w:val="00926ABB"/>
    <w:rsid w:val="00927250"/>
    <w:rsid w:val="0092737C"/>
    <w:rsid w:val="00927B6D"/>
    <w:rsid w:val="0093007F"/>
    <w:rsid w:val="009301BB"/>
    <w:rsid w:val="00930822"/>
    <w:rsid w:val="009318AC"/>
    <w:rsid w:val="00932319"/>
    <w:rsid w:val="00932AF6"/>
    <w:rsid w:val="00932F3F"/>
    <w:rsid w:val="00932F63"/>
    <w:rsid w:val="00934AAA"/>
    <w:rsid w:val="00935CF7"/>
    <w:rsid w:val="00935DB6"/>
    <w:rsid w:val="00937236"/>
    <w:rsid w:val="0093794B"/>
    <w:rsid w:val="00937B0A"/>
    <w:rsid w:val="00937B23"/>
    <w:rsid w:val="00937EAC"/>
    <w:rsid w:val="00940AAC"/>
    <w:rsid w:val="00942236"/>
    <w:rsid w:val="009429C7"/>
    <w:rsid w:val="0094304D"/>
    <w:rsid w:val="00943A06"/>
    <w:rsid w:val="00943EEA"/>
    <w:rsid w:val="00945230"/>
    <w:rsid w:val="0094542F"/>
    <w:rsid w:val="00947ABB"/>
    <w:rsid w:val="009507A0"/>
    <w:rsid w:val="00951537"/>
    <w:rsid w:val="00951AB0"/>
    <w:rsid w:val="009533AB"/>
    <w:rsid w:val="00954933"/>
    <w:rsid w:val="009557E3"/>
    <w:rsid w:val="0096158D"/>
    <w:rsid w:val="00961D9F"/>
    <w:rsid w:val="0096255D"/>
    <w:rsid w:val="00963AF3"/>
    <w:rsid w:val="00963C26"/>
    <w:rsid w:val="00963F33"/>
    <w:rsid w:val="00964098"/>
    <w:rsid w:val="0096435D"/>
    <w:rsid w:val="0096509D"/>
    <w:rsid w:val="00965B50"/>
    <w:rsid w:val="00966206"/>
    <w:rsid w:val="00966883"/>
    <w:rsid w:val="00966DC8"/>
    <w:rsid w:val="009670CD"/>
    <w:rsid w:val="00967D01"/>
    <w:rsid w:val="00970835"/>
    <w:rsid w:val="00971186"/>
    <w:rsid w:val="009712F3"/>
    <w:rsid w:val="009719B5"/>
    <w:rsid w:val="009719D4"/>
    <w:rsid w:val="00971F48"/>
    <w:rsid w:val="009725B4"/>
    <w:rsid w:val="009732F7"/>
    <w:rsid w:val="009739D0"/>
    <w:rsid w:val="00975C89"/>
    <w:rsid w:val="00976023"/>
    <w:rsid w:val="00976223"/>
    <w:rsid w:val="00976796"/>
    <w:rsid w:val="00980F29"/>
    <w:rsid w:val="0098149D"/>
    <w:rsid w:val="00981C84"/>
    <w:rsid w:val="00982099"/>
    <w:rsid w:val="00982714"/>
    <w:rsid w:val="00982AE7"/>
    <w:rsid w:val="00982F76"/>
    <w:rsid w:val="0098378E"/>
    <w:rsid w:val="00984D95"/>
    <w:rsid w:val="009861A9"/>
    <w:rsid w:val="00986EDD"/>
    <w:rsid w:val="00987A5B"/>
    <w:rsid w:val="00990FB0"/>
    <w:rsid w:val="009915CE"/>
    <w:rsid w:val="0099187E"/>
    <w:rsid w:val="0099611B"/>
    <w:rsid w:val="00996D25"/>
    <w:rsid w:val="00996D35"/>
    <w:rsid w:val="00997101"/>
    <w:rsid w:val="00997B5B"/>
    <w:rsid w:val="00997CFC"/>
    <w:rsid w:val="009A1AE4"/>
    <w:rsid w:val="009A211F"/>
    <w:rsid w:val="009A2766"/>
    <w:rsid w:val="009A3A96"/>
    <w:rsid w:val="009A3D96"/>
    <w:rsid w:val="009A4156"/>
    <w:rsid w:val="009A4A2E"/>
    <w:rsid w:val="009A4A64"/>
    <w:rsid w:val="009A601F"/>
    <w:rsid w:val="009A62F9"/>
    <w:rsid w:val="009A67DE"/>
    <w:rsid w:val="009A725A"/>
    <w:rsid w:val="009A77D9"/>
    <w:rsid w:val="009A781D"/>
    <w:rsid w:val="009A782F"/>
    <w:rsid w:val="009B02B4"/>
    <w:rsid w:val="009B0848"/>
    <w:rsid w:val="009B0FFF"/>
    <w:rsid w:val="009B249E"/>
    <w:rsid w:val="009B28BB"/>
    <w:rsid w:val="009B4629"/>
    <w:rsid w:val="009B5B58"/>
    <w:rsid w:val="009B60A4"/>
    <w:rsid w:val="009B74B5"/>
    <w:rsid w:val="009B7676"/>
    <w:rsid w:val="009B773D"/>
    <w:rsid w:val="009B7F8A"/>
    <w:rsid w:val="009C0017"/>
    <w:rsid w:val="009C1A6A"/>
    <w:rsid w:val="009C2444"/>
    <w:rsid w:val="009C2635"/>
    <w:rsid w:val="009C2D4B"/>
    <w:rsid w:val="009C3690"/>
    <w:rsid w:val="009C4665"/>
    <w:rsid w:val="009C4DAD"/>
    <w:rsid w:val="009C52AC"/>
    <w:rsid w:val="009C6CB9"/>
    <w:rsid w:val="009C7F00"/>
    <w:rsid w:val="009D04FF"/>
    <w:rsid w:val="009D0B39"/>
    <w:rsid w:val="009D0B86"/>
    <w:rsid w:val="009D103D"/>
    <w:rsid w:val="009D1BE0"/>
    <w:rsid w:val="009D3FBD"/>
    <w:rsid w:val="009D4CD3"/>
    <w:rsid w:val="009D5F02"/>
    <w:rsid w:val="009D696C"/>
    <w:rsid w:val="009D6AEB"/>
    <w:rsid w:val="009D74C3"/>
    <w:rsid w:val="009E221E"/>
    <w:rsid w:val="009E239D"/>
    <w:rsid w:val="009E2A89"/>
    <w:rsid w:val="009E3305"/>
    <w:rsid w:val="009E3681"/>
    <w:rsid w:val="009E3943"/>
    <w:rsid w:val="009E41D2"/>
    <w:rsid w:val="009E5184"/>
    <w:rsid w:val="009E58EB"/>
    <w:rsid w:val="009E5D4B"/>
    <w:rsid w:val="009E616B"/>
    <w:rsid w:val="009E75B1"/>
    <w:rsid w:val="009E7697"/>
    <w:rsid w:val="009E7699"/>
    <w:rsid w:val="009E7E7C"/>
    <w:rsid w:val="009E7E89"/>
    <w:rsid w:val="009F06D6"/>
    <w:rsid w:val="009F23BD"/>
    <w:rsid w:val="009F2449"/>
    <w:rsid w:val="009F24D4"/>
    <w:rsid w:val="009F256B"/>
    <w:rsid w:val="009F2E19"/>
    <w:rsid w:val="009F3E22"/>
    <w:rsid w:val="009F3F3E"/>
    <w:rsid w:val="009F43C8"/>
    <w:rsid w:val="009F44C9"/>
    <w:rsid w:val="009F5545"/>
    <w:rsid w:val="009F5E01"/>
    <w:rsid w:val="009F5EF0"/>
    <w:rsid w:val="009F6E4F"/>
    <w:rsid w:val="00A00791"/>
    <w:rsid w:val="00A00A10"/>
    <w:rsid w:val="00A00E6F"/>
    <w:rsid w:val="00A00EEA"/>
    <w:rsid w:val="00A011BD"/>
    <w:rsid w:val="00A01417"/>
    <w:rsid w:val="00A01426"/>
    <w:rsid w:val="00A018E5"/>
    <w:rsid w:val="00A0259A"/>
    <w:rsid w:val="00A02B9B"/>
    <w:rsid w:val="00A0308E"/>
    <w:rsid w:val="00A04EB5"/>
    <w:rsid w:val="00A05389"/>
    <w:rsid w:val="00A05450"/>
    <w:rsid w:val="00A055DB"/>
    <w:rsid w:val="00A05CE0"/>
    <w:rsid w:val="00A05D99"/>
    <w:rsid w:val="00A063AB"/>
    <w:rsid w:val="00A06B48"/>
    <w:rsid w:val="00A076C4"/>
    <w:rsid w:val="00A0788B"/>
    <w:rsid w:val="00A07E22"/>
    <w:rsid w:val="00A1014A"/>
    <w:rsid w:val="00A10A0D"/>
    <w:rsid w:val="00A11326"/>
    <w:rsid w:val="00A13092"/>
    <w:rsid w:val="00A138B1"/>
    <w:rsid w:val="00A13C23"/>
    <w:rsid w:val="00A13C26"/>
    <w:rsid w:val="00A13D1F"/>
    <w:rsid w:val="00A16858"/>
    <w:rsid w:val="00A16B37"/>
    <w:rsid w:val="00A16B3B"/>
    <w:rsid w:val="00A20CFB"/>
    <w:rsid w:val="00A20D62"/>
    <w:rsid w:val="00A2105E"/>
    <w:rsid w:val="00A22219"/>
    <w:rsid w:val="00A22ACE"/>
    <w:rsid w:val="00A22B34"/>
    <w:rsid w:val="00A22BE9"/>
    <w:rsid w:val="00A230B9"/>
    <w:rsid w:val="00A233BA"/>
    <w:rsid w:val="00A23405"/>
    <w:rsid w:val="00A2380E"/>
    <w:rsid w:val="00A2383F"/>
    <w:rsid w:val="00A23EEB"/>
    <w:rsid w:val="00A25C5C"/>
    <w:rsid w:val="00A267AD"/>
    <w:rsid w:val="00A26F6E"/>
    <w:rsid w:val="00A27ED3"/>
    <w:rsid w:val="00A30678"/>
    <w:rsid w:val="00A314F8"/>
    <w:rsid w:val="00A327FF"/>
    <w:rsid w:val="00A32D16"/>
    <w:rsid w:val="00A32E1F"/>
    <w:rsid w:val="00A33004"/>
    <w:rsid w:val="00A33A84"/>
    <w:rsid w:val="00A34365"/>
    <w:rsid w:val="00A35311"/>
    <w:rsid w:val="00A35A03"/>
    <w:rsid w:val="00A36A1B"/>
    <w:rsid w:val="00A36D9A"/>
    <w:rsid w:val="00A377E2"/>
    <w:rsid w:val="00A37976"/>
    <w:rsid w:val="00A37BE2"/>
    <w:rsid w:val="00A37F36"/>
    <w:rsid w:val="00A40875"/>
    <w:rsid w:val="00A409AD"/>
    <w:rsid w:val="00A40EAB"/>
    <w:rsid w:val="00A40F73"/>
    <w:rsid w:val="00A41861"/>
    <w:rsid w:val="00A41E6A"/>
    <w:rsid w:val="00A4344F"/>
    <w:rsid w:val="00A4345C"/>
    <w:rsid w:val="00A43B23"/>
    <w:rsid w:val="00A4538B"/>
    <w:rsid w:val="00A464EE"/>
    <w:rsid w:val="00A46865"/>
    <w:rsid w:val="00A468D0"/>
    <w:rsid w:val="00A46EF0"/>
    <w:rsid w:val="00A5069E"/>
    <w:rsid w:val="00A51610"/>
    <w:rsid w:val="00A521EE"/>
    <w:rsid w:val="00A52346"/>
    <w:rsid w:val="00A52712"/>
    <w:rsid w:val="00A52949"/>
    <w:rsid w:val="00A529A9"/>
    <w:rsid w:val="00A531CF"/>
    <w:rsid w:val="00A534B7"/>
    <w:rsid w:val="00A542C6"/>
    <w:rsid w:val="00A545EA"/>
    <w:rsid w:val="00A5577C"/>
    <w:rsid w:val="00A55790"/>
    <w:rsid w:val="00A55922"/>
    <w:rsid w:val="00A56301"/>
    <w:rsid w:val="00A60064"/>
    <w:rsid w:val="00A6029C"/>
    <w:rsid w:val="00A605A6"/>
    <w:rsid w:val="00A608D8"/>
    <w:rsid w:val="00A60919"/>
    <w:rsid w:val="00A60B32"/>
    <w:rsid w:val="00A61051"/>
    <w:rsid w:val="00A62829"/>
    <w:rsid w:val="00A62AB1"/>
    <w:rsid w:val="00A641D5"/>
    <w:rsid w:val="00A643D1"/>
    <w:rsid w:val="00A647B7"/>
    <w:rsid w:val="00A65389"/>
    <w:rsid w:val="00A672E2"/>
    <w:rsid w:val="00A675E9"/>
    <w:rsid w:val="00A67752"/>
    <w:rsid w:val="00A700ED"/>
    <w:rsid w:val="00A70DC7"/>
    <w:rsid w:val="00A71A1A"/>
    <w:rsid w:val="00A71A9D"/>
    <w:rsid w:val="00A71AE0"/>
    <w:rsid w:val="00A721CE"/>
    <w:rsid w:val="00A7275B"/>
    <w:rsid w:val="00A72858"/>
    <w:rsid w:val="00A73454"/>
    <w:rsid w:val="00A73B52"/>
    <w:rsid w:val="00A74BF0"/>
    <w:rsid w:val="00A751A6"/>
    <w:rsid w:val="00A756B2"/>
    <w:rsid w:val="00A7590A"/>
    <w:rsid w:val="00A7653E"/>
    <w:rsid w:val="00A7723C"/>
    <w:rsid w:val="00A77589"/>
    <w:rsid w:val="00A77F5D"/>
    <w:rsid w:val="00A809F1"/>
    <w:rsid w:val="00A80D1A"/>
    <w:rsid w:val="00A81194"/>
    <w:rsid w:val="00A815DB"/>
    <w:rsid w:val="00A82373"/>
    <w:rsid w:val="00A830DD"/>
    <w:rsid w:val="00A83448"/>
    <w:rsid w:val="00A83524"/>
    <w:rsid w:val="00A84FB6"/>
    <w:rsid w:val="00A85CC4"/>
    <w:rsid w:val="00A85D9C"/>
    <w:rsid w:val="00A86769"/>
    <w:rsid w:val="00A86AB8"/>
    <w:rsid w:val="00A874A9"/>
    <w:rsid w:val="00A87BD1"/>
    <w:rsid w:val="00A914BE"/>
    <w:rsid w:val="00A92224"/>
    <w:rsid w:val="00A92704"/>
    <w:rsid w:val="00A92794"/>
    <w:rsid w:val="00A92FD4"/>
    <w:rsid w:val="00A94551"/>
    <w:rsid w:val="00A9492E"/>
    <w:rsid w:val="00A94B01"/>
    <w:rsid w:val="00A94B62"/>
    <w:rsid w:val="00A95C74"/>
    <w:rsid w:val="00A974DE"/>
    <w:rsid w:val="00AA04BA"/>
    <w:rsid w:val="00AA08FA"/>
    <w:rsid w:val="00AA0DA7"/>
    <w:rsid w:val="00AA4881"/>
    <w:rsid w:val="00AA4A27"/>
    <w:rsid w:val="00AA59B6"/>
    <w:rsid w:val="00AA63FB"/>
    <w:rsid w:val="00AA64DC"/>
    <w:rsid w:val="00AA6671"/>
    <w:rsid w:val="00AA68C1"/>
    <w:rsid w:val="00AA75EA"/>
    <w:rsid w:val="00AA7A01"/>
    <w:rsid w:val="00AA7D96"/>
    <w:rsid w:val="00AB0543"/>
    <w:rsid w:val="00AB090B"/>
    <w:rsid w:val="00AB0A53"/>
    <w:rsid w:val="00AB0C26"/>
    <w:rsid w:val="00AB12B6"/>
    <w:rsid w:val="00AB1525"/>
    <w:rsid w:val="00AB1B0C"/>
    <w:rsid w:val="00AB23E4"/>
    <w:rsid w:val="00AB254B"/>
    <w:rsid w:val="00AB2C79"/>
    <w:rsid w:val="00AB32AB"/>
    <w:rsid w:val="00AB3423"/>
    <w:rsid w:val="00AB35B8"/>
    <w:rsid w:val="00AB39A4"/>
    <w:rsid w:val="00AB3B67"/>
    <w:rsid w:val="00AB4C95"/>
    <w:rsid w:val="00AB4E0B"/>
    <w:rsid w:val="00AB6DC3"/>
    <w:rsid w:val="00AB79D6"/>
    <w:rsid w:val="00AB7E9D"/>
    <w:rsid w:val="00AC0A37"/>
    <w:rsid w:val="00AC1CBB"/>
    <w:rsid w:val="00AC1D2D"/>
    <w:rsid w:val="00AC2BAD"/>
    <w:rsid w:val="00AC2BDE"/>
    <w:rsid w:val="00AC2D18"/>
    <w:rsid w:val="00AC3A5B"/>
    <w:rsid w:val="00AC4395"/>
    <w:rsid w:val="00AC4886"/>
    <w:rsid w:val="00AC5204"/>
    <w:rsid w:val="00AC5D3E"/>
    <w:rsid w:val="00AC5E11"/>
    <w:rsid w:val="00AC6707"/>
    <w:rsid w:val="00AC721D"/>
    <w:rsid w:val="00AC722F"/>
    <w:rsid w:val="00AC7406"/>
    <w:rsid w:val="00AC7A6E"/>
    <w:rsid w:val="00AC7CED"/>
    <w:rsid w:val="00AC7EB5"/>
    <w:rsid w:val="00AD06BB"/>
    <w:rsid w:val="00AD0893"/>
    <w:rsid w:val="00AD21EE"/>
    <w:rsid w:val="00AD22BC"/>
    <w:rsid w:val="00AD255B"/>
    <w:rsid w:val="00AD2997"/>
    <w:rsid w:val="00AD3551"/>
    <w:rsid w:val="00AD5258"/>
    <w:rsid w:val="00AD5A54"/>
    <w:rsid w:val="00AD5AA9"/>
    <w:rsid w:val="00AE097C"/>
    <w:rsid w:val="00AE0E1A"/>
    <w:rsid w:val="00AE18D6"/>
    <w:rsid w:val="00AE2745"/>
    <w:rsid w:val="00AE2E62"/>
    <w:rsid w:val="00AE4516"/>
    <w:rsid w:val="00AE46B1"/>
    <w:rsid w:val="00AE48BB"/>
    <w:rsid w:val="00AE4C31"/>
    <w:rsid w:val="00AE4CFE"/>
    <w:rsid w:val="00AE4DD6"/>
    <w:rsid w:val="00AE54B7"/>
    <w:rsid w:val="00AE65CB"/>
    <w:rsid w:val="00AE67F2"/>
    <w:rsid w:val="00AE696A"/>
    <w:rsid w:val="00AE6BD6"/>
    <w:rsid w:val="00AE6FA9"/>
    <w:rsid w:val="00AE7531"/>
    <w:rsid w:val="00AE780C"/>
    <w:rsid w:val="00AF00A5"/>
    <w:rsid w:val="00AF020C"/>
    <w:rsid w:val="00AF2AA0"/>
    <w:rsid w:val="00AF323A"/>
    <w:rsid w:val="00AF4189"/>
    <w:rsid w:val="00AF5A71"/>
    <w:rsid w:val="00AF6C46"/>
    <w:rsid w:val="00B00990"/>
    <w:rsid w:val="00B00E6B"/>
    <w:rsid w:val="00B0116F"/>
    <w:rsid w:val="00B01B51"/>
    <w:rsid w:val="00B02694"/>
    <w:rsid w:val="00B02852"/>
    <w:rsid w:val="00B028D7"/>
    <w:rsid w:val="00B02AD2"/>
    <w:rsid w:val="00B030FB"/>
    <w:rsid w:val="00B03B4E"/>
    <w:rsid w:val="00B0587F"/>
    <w:rsid w:val="00B0633F"/>
    <w:rsid w:val="00B0661D"/>
    <w:rsid w:val="00B0674D"/>
    <w:rsid w:val="00B06850"/>
    <w:rsid w:val="00B06C5C"/>
    <w:rsid w:val="00B07020"/>
    <w:rsid w:val="00B0733C"/>
    <w:rsid w:val="00B07549"/>
    <w:rsid w:val="00B075B2"/>
    <w:rsid w:val="00B10C14"/>
    <w:rsid w:val="00B1183E"/>
    <w:rsid w:val="00B119A6"/>
    <w:rsid w:val="00B129E7"/>
    <w:rsid w:val="00B12DED"/>
    <w:rsid w:val="00B12FAE"/>
    <w:rsid w:val="00B1328F"/>
    <w:rsid w:val="00B1398F"/>
    <w:rsid w:val="00B13A86"/>
    <w:rsid w:val="00B13FC5"/>
    <w:rsid w:val="00B143BC"/>
    <w:rsid w:val="00B14593"/>
    <w:rsid w:val="00B1463E"/>
    <w:rsid w:val="00B1587A"/>
    <w:rsid w:val="00B158E7"/>
    <w:rsid w:val="00B15973"/>
    <w:rsid w:val="00B17EF8"/>
    <w:rsid w:val="00B2042B"/>
    <w:rsid w:val="00B2066D"/>
    <w:rsid w:val="00B210AC"/>
    <w:rsid w:val="00B21708"/>
    <w:rsid w:val="00B21ED8"/>
    <w:rsid w:val="00B225AF"/>
    <w:rsid w:val="00B2322C"/>
    <w:rsid w:val="00B23F9F"/>
    <w:rsid w:val="00B24124"/>
    <w:rsid w:val="00B255F5"/>
    <w:rsid w:val="00B258F3"/>
    <w:rsid w:val="00B26C91"/>
    <w:rsid w:val="00B26F9D"/>
    <w:rsid w:val="00B2708C"/>
    <w:rsid w:val="00B300F1"/>
    <w:rsid w:val="00B3091F"/>
    <w:rsid w:val="00B30FB7"/>
    <w:rsid w:val="00B31D17"/>
    <w:rsid w:val="00B31DB1"/>
    <w:rsid w:val="00B31E63"/>
    <w:rsid w:val="00B3218C"/>
    <w:rsid w:val="00B3257B"/>
    <w:rsid w:val="00B333DE"/>
    <w:rsid w:val="00B34520"/>
    <w:rsid w:val="00B349AB"/>
    <w:rsid w:val="00B34A11"/>
    <w:rsid w:val="00B36083"/>
    <w:rsid w:val="00B36157"/>
    <w:rsid w:val="00B4074E"/>
    <w:rsid w:val="00B41628"/>
    <w:rsid w:val="00B41640"/>
    <w:rsid w:val="00B41CC6"/>
    <w:rsid w:val="00B42827"/>
    <w:rsid w:val="00B42C19"/>
    <w:rsid w:val="00B43171"/>
    <w:rsid w:val="00B43EC8"/>
    <w:rsid w:val="00B44948"/>
    <w:rsid w:val="00B4513A"/>
    <w:rsid w:val="00B46ECB"/>
    <w:rsid w:val="00B47708"/>
    <w:rsid w:val="00B5022B"/>
    <w:rsid w:val="00B50653"/>
    <w:rsid w:val="00B5088E"/>
    <w:rsid w:val="00B5187D"/>
    <w:rsid w:val="00B5201F"/>
    <w:rsid w:val="00B526BC"/>
    <w:rsid w:val="00B52E5C"/>
    <w:rsid w:val="00B53A4F"/>
    <w:rsid w:val="00B54A7A"/>
    <w:rsid w:val="00B55106"/>
    <w:rsid w:val="00B5626E"/>
    <w:rsid w:val="00B56B76"/>
    <w:rsid w:val="00B56C24"/>
    <w:rsid w:val="00B56D3E"/>
    <w:rsid w:val="00B5716D"/>
    <w:rsid w:val="00B573E3"/>
    <w:rsid w:val="00B57420"/>
    <w:rsid w:val="00B57CDA"/>
    <w:rsid w:val="00B57DB3"/>
    <w:rsid w:val="00B60875"/>
    <w:rsid w:val="00B60AE1"/>
    <w:rsid w:val="00B621D1"/>
    <w:rsid w:val="00B63096"/>
    <w:rsid w:val="00B63418"/>
    <w:rsid w:val="00B63DC4"/>
    <w:rsid w:val="00B63F86"/>
    <w:rsid w:val="00B642A4"/>
    <w:rsid w:val="00B64804"/>
    <w:rsid w:val="00B66224"/>
    <w:rsid w:val="00B6687B"/>
    <w:rsid w:val="00B66F9D"/>
    <w:rsid w:val="00B671F7"/>
    <w:rsid w:val="00B67606"/>
    <w:rsid w:val="00B70918"/>
    <w:rsid w:val="00B70C89"/>
    <w:rsid w:val="00B70D56"/>
    <w:rsid w:val="00B7185D"/>
    <w:rsid w:val="00B71ED0"/>
    <w:rsid w:val="00B72631"/>
    <w:rsid w:val="00B72BFD"/>
    <w:rsid w:val="00B72DCC"/>
    <w:rsid w:val="00B72DD1"/>
    <w:rsid w:val="00B73889"/>
    <w:rsid w:val="00B73FF9"/>
    <w:rsid w:val="00B745E8"/>
    <w:rsid w:val="00B74BA0"/>
    <w:rsid w:val="00B74E24"/>
    <w:rsid w:val="00B76493"/>
    <w:rsid w:val="00B769F5"/>
    <w:rsid w:val="00B76CED"/>
    <w:rsid w:val="00B76DB0"/>
    <w:rsid w:val="00B771F3"/>
    <w:rsid w:val="00B774C6"/>
    <w:rsid w:val="00B77A51"/>
    <w:rsid w:val="00B80FAB"/>
    <w:rsid w:val="00B8152C"/>
    <w:rsid w:val="00B823EC"/>
    <w:rsid w:val="00B8294B"/>
    <w:rsid w:val="00B82B04"/>
    <w:rsid w:val="00B831CE"/>
    <w:rsid w:val="00B83EB1"/>
    <w:rsid w:val="00B83FE0"/>
    <w:rsid w:val="00B8499A"/>
    <w:rsid w:val="00B8539A"/>
    <w:rsid w:val="00B8541D"/>
    <w:rsid w:val="00B85777"/>
    <w:rsid w:val="00B868CD"/>
    <w:rsid w:val="00B87BCB"/>
    <w:rsid w:val="00B87CD0"/>
    <w:rsid w:val="00B90B31"/>
    <w:rsid w:val="00B90C59"/>
    <w:rsid w:val="00B90FB9"/>
    <w:rsid w:val="00B90FF0"/>
    <w:rsid w:val="00B9339B"/>
    <w:rsid w:val="00B934B7"/>
    <w:rsid w:val="00B95159"/>
    <w:rsid w:val="00B96072"/>
    <w:rsid w:val="00B9647C"/>
    <w:rsid w:val="00B96A4F"/>
    <w:rsid w:val="00B97890"/>
    <w:rsid w:val="00BA0676"/>
    <w:rsid w:val="00BA0737"/>
    <w:rsid w:val="00BA07C6"/>
    <w:rsid w:val="00BA09D1"/>
    <w:rsid w:val="00BA13C0"/>
    <w:rsid w:val="00BA24CE"/>
    <w:rsid w:val="00BA26A9"/>
    <w:rsid w:val="00BA2E1D"/>
    <w:rsid w:val="00BA38C6"/>
    <w:rsid w:val="00BA3F50"/>
    <w:rsid w:val="00BA4564"/>
    <w:rsid w:val="00BA49F9"/>
    <w:rsid w:val="00BA4CE4"/>
    <w:rsid w:val="00BA5138"/>
    <w:rsid w:val="00BA6042"/>
    <w:rsid w:val="00BA700E"/>
    <w:rsid w:val="00BA70C1"/>
    <w:rsid w:val="00BB02F9"/>
    <w:rsid w:val="00BB0944"/>
    <w:rsid w:val="00BB18BB"/>
    <w:rsid w:val="00BB198D"/>
    <w:rsid w:val="00BB23AB"/>
    <w:rsid w:val="00BB3038"/>
    <w:rsid w:val="00BB33E0"/>
    <w:rsid w:val="00BB3EFE"/>
    <w:rsid w:val="00BB4720"/>
    <w:rsid w:val="00BB4B27"/>
    <w:rsid w:val="00BB4DF6"/>
    <w:rsid w:val="00BB4EA2"/>
    <w:rsid w:val="00BB5196"/>
    <w:rsid w:val="00BB54B3"/>
    <w:rsid w:val="00BB59AA"/>
    <w:rsid w:val="00BB5BEE"/>
    <w:rsid w:val="00BB61AA"/>
    <w:rsid w:val="00BB6C36"/>
    <w:rsid w:val="00BB6E9E"/>
    <w:rsid w:val="00BB6F49"/>
    <w:rsid w:val="00BB7140"/>
    <w:rsid w:val="00BB7575"/>
    <w:rsid w:val="00BB7F6F"/>
    <w:rsid w:val="00BC018A"/>
    <w:rsid w:val="00BC08FF"/>
    <w:rsid w:val="00BC11D3"/>
    <w:rsid w:val="00BC12D2"/>
    <w:rsid w:val="00BC26CE"/>
    <w:rsid w:val="00BC3AC8"/>
    <w:rsid w:val="00BC3C05"/>
    <w:rsid w:val="00BC4848"/>
    <w:rsid w:val="00BC51A8"/>
    <w:rsid w:val="00BC6101"/>
    <w:rsid w:val="00BC63AB"/>
    <w:rsid w:val="00BC70FF"/>
    <w:rsid w:val="00BD062C"/>
    <w:rsid w:val="00BD09CE"/>
    <w:rsid w:val="00BD1642"/>
    <w:rsid w:val="00BD16CF"/>
    <w:rsid w:val="00BD1AED"/>
    <w:rsid w:val="00BD1E86"/>
    <w:rsid w:val="00BD2514"/>
    <w:rsid w:val="00BD2BEA"/>
    <w:rsid w:val="00BD3576"/>
    <w:rsid w:val="00BD54DF"/>
    <w:rsid w:val="00BD572C"/>
    <w:rsid w:val="00BD677D"/>
    <w:rsid w:val="00BD7EBB"/>
    <w:rsid w:val="00BE0205"/>
    <w:rsid w:val="00BE0F82"/>
    <w:rsid w:val="00BE27F6"/>
    <w:rsid w:val="00BE297E"/>
    <w:rsid w:val="00BE2AE7"/>
    <w:rsid w:val="00BE2D8F"/>
    <w:rsid w:val="00BE3B34"/>
    <w:rsid w:val="00BE4634"/>
    <w:rsid w:val="00BE488E"/>
    <w:rsid w:val="00BE48FD"/>
    <w:rsid w:val="00BE4964"/>
    <w:rsid w:val="00BE5349"/>
    <w:rsid w:val="00BE61AB"/>
    <w:rsid w:val="00BE6BB0"/>
    <w:rsid w:val="00BE72EB"/>
    <w:rsid w:val="00BE7B28"/>
    <w:rsid w:val="00BE7BBB"/>
    <w:rsid w:val="00BF11A7"/>
    <w:rsid w:val="00BF1307"/>
    <w:rsid w:val="00BF1CA7"/>
    <w:rsid w:val="00BF1FD9"/>
    <w:rsid w:val="00BF222F"/>
    <w:rsid w:val="00BF2B9D"/>
    <w:rsid w:val="00BF2F1B"/>
    <w:rsid w:val="00BF3DD5"/>
    <w:rsid w:val="00BF407D"/>
    <w:rsid w:val="00BF4A24"/>
    <w:rsid w:val="00BF4ADF"/>
    <w:rsid w:val="00BF5071"/>
    <w:rsid w:val="00BF58E2"/>
    <w:rsid w:val="00BF6832"/>
    <w:rsid w:val="00BF6BE6"/>
    <w:rsid w:val="00BF707D"/>
    <w:rsid w:val="00BF75FE"/>
    <w:rsid w:val="00BF7BC0"/>
    <w:rsid w:val="00BF7E8F"/>
    <w:rsid w:val="00C00274"/>
    <w:rsid w:val="00C005BD"/>
    <w:rsid w:val="00C01AA1"/>
    <w:rsid w:val="00C035E3"/>
    <w:rsid w:val="00C03BDE"/>
    <w:rsid w:val="00C04FDC"/>
    <w:rsid w:val="00C05176"/>
    <w:rsid w:val="00C06E19"/>
    <w:rsid w:val="00C0773D"/>
    <w:rsid w:val="00C0798D"/>
    <w:rsid w:val="00C10720"/>
    <w:rsid w:val="00C11832"/>
    <w:rsid w:val="00C129F4"/>
    <w:rsid w:val="00C1308A"/>
    <w:rsid w:val="00C13933"/>
    <w:rsid w:val="00C13AFD"/>
    <w:rsid w:val="00C13F02"/>
    <w:rsid w:val="00C13F17"/>
    <w:rsid w:val="00C14822"/>
    <w:rsid w:val="00C1488E"/>
    <w:rsid w:val="00C14F8C"/>
    <w:rsid w:val="00C15D10"/>
    <w:rsid w:val="00C15F7D"/>
    <w:rsid w:val="00C16DF3"/>
    <w:rsid w:val="00C2082F"/>
    <w:rsid w:val="00C20BC8"/>
    <w:rsid w:val="00C210FC"/>
    <w:rsid w:val="00C21DF6"/>
    <w:rsid w:val="00C21E76"/>
    <w:rsid w:val="00C21F52"/>
    <w:rsid w:val="00C2262C"/>
    <w:rsid w:val="00C226F0"/>
    <w:rsid w:val="00C2292B"/>
    <w:rsid w:val="00C22EFE"/>
    <w:rsid w:val="00C234C3"/>
    <w:rsid w:val="00C2355C"/>
    <w:rsid w:val="00C23AE8"/>
    <w:rsid w:val="00C242FF"/>
    <w:rsid w:val="00C24EA9"/>
    <w:rsid w:val="00C252AB"/>
    <w:rsid w:val="00C25370"/>
    <w:rsid w:val="00C256F7"/>
    <w:rsid w:val="00C25AF6"/>
    <w:rsid w:val="00C27029"/>
    <w:rsid w:val="00C301D8"/>
    <w:rsid w:val="00C30CC6"/>
    <w:rsid w:val="00C32448"/>
    <w:rsid w:val="00C32D8C"/>
    <w:rsid w:val="00C33BBA"/>
    <w:rsid w:val="00C33D49"/>
    <w:rsid w:val="00C34F7B"/>
    <w:rsid w:val="00C35A79"/>
    <w:rsid w:val="00C361C3"/>
    <w:rsid w:val="00C37446"/>
    <w:rsid w:val="00C37E42"/>
    <w:rsid w:val="00C41179"/>
    <w:rsid w:val="00C411F2"/>
    <w:rsid w:val="00C41252"/>
    <w:rsid w:val="00C42235"/>
    <w:rsid w:val="00C42AA4"/>
    <w:rsid w:val="00C4358B"/>
    <w:rsid w:val="00C437D0"/>
    <w:rsid w:val="00C43DE7"/>
    <w:rsid w:val="00C44583"/>
    <w:rsid w:val="00C44DBA"/>
    <w:rsid w:val="00C4517E"/>
    <w:rsid w:val="00C46DA5"/>
    <w:rsid w:val="00C47747"/>
    <w:rsid w:val="00C47E06"/>
    <w:rsid w:val="00C508C4"/>
    <w:rsid w:val="00C50CCD"/>
    <w:rsid w:val="00C50D55"/>
    <w:rsid w:val="00C51120"/>
    <w:rsid w:val="00C5146A"/>
    <w:rsid w:val="00C514CF"/>
    <w:rsid w:val="00C51D18"/>
    <w:rsid w:val="00C51E29"/>
    <w:rsid w:val="00C51EED"/>
    <w:rsid w:val="00C5275B"/>
    <w:rsid w:val="00C53FDE"/>
    <w:rsid w:val="00C54327"/>
    <w:rsid w:val="00C547E0"/>
    <w:rsid w:val="00C54B68"/>
    <w:rsid w:val="00C54CB2"/>
    <w:rsid w:val="00C5548E"/>
    <w:rsid w:val="00C557F8"/>
    <w:rsid w:val="00C55E0C"/>
    <w:rsid w:val="00C560E2"/>
    <w:rsid w:val="00C563DA"/>
    <w:rsid w:val="00C56D1D"/>
    <w:rsid w:val="00C571BE"/>
    <w:rsid w:val="00C5748C"/>
    <w:rsid w:val="00C609A8"/>
    <w:rsid w:val="00C609EE"/>
    <w:rsid w:val="00C60AB1"/>
    <w:rsid w:val="00C61C50"/>
    <w:rsid w:val="00C61EAD"/>
    <w:rsid w:val="00C62767"/>
    <w:rsid w:val="00C62A0B"/>
    <w:rsid w:val="00C62C74"/>
    <w:rsid w:val="00C636D6"/>
    <w:rsid w:val="00C6441C"/>
    <w:rsid w:val="00C65004"/>
    <w:rsid w:val="00C66941"/>
    <w:rsid w:val="00C66F2B"/>
    <w:rsid w:val="00C67346"/>
    <w:rsid w:val="00C67F3B"/>
    <w:rsid w:val="00C67F4F"/>
    <w:rsid w:val="00C716F8"/>
    <w:rsid w:val="00C717C8"/>
    <w:rsid w:val="00C71BDB"/>
    <w:rsid w:val="00C72822"/>
    <w:rsid w:val="00C72DED"/>
    <w:rsid w:val="00C7374E"/>
    <w:rsid w:val="00C73FD1"/>
    <w:rsid w:val="00C74D72"/>
    <w:rsid w:val="00C74D93"/>
    <w:rsid w:val="00C75AFE"/>
    <w:rsid w:val="00C76224"/>
    <w:rsid w:val="00C7663E"/>
    <w:rsid w:val="00C76D07"/>
    <w:rsid w:val="00C77029"/>
    <w:rsid w:val="00C77F72"/>
    <w:rsid w:val="00C80CCF"/>
    <w:rsid w:val="00C8112A"/>
    <w:rsid w:val="00C81B8B"/>
    <w:rsid w:val="00C81BA7"/>
    <w:rsid w:val="00C81D98"/>
    <w:rsid w:val="00C836C6"/>
    <w:rsid w:val="00C838DF"/>
    <w:rsid w:val="00C83E02"/>
    <w:rsid w:val="00C83F69"/>
    <w:rsid w:val="00C842E8"/>
    <w:rsid w:val="00C844AD"/>
    <w:rsid w:val="00C8504B"/>
    <w:rsid w:val="00C85DE5"/>
    <w:rsid w:val="00C91621"/>
    <w:rsid w:val="00C91B39"/>
    <w:rsid w:val="00C91D89"/>
    <w:rsid w:val="00C92309"/>
    <w:rsid w:val="00C93BBA"/>
    <w:rsid w:val="00C94581"/>
    <w:rsid w:val="00C949E2"/>
    <w:rsid w:val="00C95826"/>
    <w:rsid w:val="00C959F2"/>
    <w:rsid w:val="00CA1436"/>
    <w:rsid w:val="00CA17A3"/>
    <w:rsid w:val="00CA2014"/>
    <w:rsid w:val="00CA2C07"/>
    <w:rsid w:val="00CA32D3"/>
    <w:rsid w:val="00CA3D7E"/>
    <w:rsid w:val="00CA4027"/>
    <w:rsid w:val="00CA5FFB"/>
    <w:rsid w:val="00CA61E5"/>
    <w:rsid w:val="00CA63DF"/>
    <w:rsid w:val="00CA6800"/>
    <w:rsid w:val="00CA69DA"/>
    <w:rsid w:val="00CA6AD8"/>
    <w:rsid w:val="00CA72C9"/>
    <w:rsid w:val="00CA74D8"/>
    <w:rsid w:val="00CA7586"/>
    <w:rsid w:val="00CB0309"/>
    <w:rsid w:val="00CB15FD"/>
    <w:rsid w:val="00CB1CE1"/>
    <w:rsid w:val="00CB2D2B"/>
    <w:rsid w:val="00CB49B4"/>
    <w:rsid w:val="00CB5DAE"/>
    <w:rsid w:val="00CB5FD1"/>
    <w:rsid w:val="00CB619E"/>
    <w:rsid w:val="00CB62E0"/>
    <w:rsid w:val="00CB7477"/>
    <w:rsid w:val="00CC0164"/>
    <w:rsid w:val="00CC0D89"/>
    <w:rsid w:val="00CC1A65"/>
    <w:rsid w:val="00CC1B13"/>
    <w:rsid w:val="00CC4ADB"/>
    <w:rsid w:val="00CC4C24"/>
    <w:rsid w:val="00CC4E23"/>
    <w:rsid w:val="00CC55E2"/>
    <w:rsid w:val="00CC56A6"/>
    <w:rsid w:val="00CC5CA7"/>
    <w:rsid w:val="00CC5D57"/>
    <w:rsid w:val="00CC643F"/>
    <w:rsid w:val="00CC69CA"/>
    <w:rsid w:val="00CC6A47"/>
    <w:rsid w:val="00CC7674"/>
    <w:rsid w:val="00CD1917"/>
    <w:rsid w:val="00CD1DAD"/>
    <w:rsid w:val="00CD1DFA"/>
    <w:rsid w:val="00CD216A"/>
    <w:rsid w:val="00CD3044"/>
    <w:rsid w:val="00CD3565"/>
    <w:rsid w:val="00CD46A2"/>
    <w:rsid w:val="00CD4953"/>
    <w:rsid w:val="00CD5016"/>
    <w:rsid w:val="00CD50ED"/>
    <w:rsid w:val="00CD5303"/>
    <w:rsid w:val="00CD5CA7"/>
    <w:rsid w:val="00CD68B4"/>
    <w:rsid w:val="00CD74DF"/>
    <w:rsid w:val="00CE12A7"/>
    <w:rsid w:val="00CE2D8D"/>
    <w:rsid w:val="00CE480F"/>
    <w:rsid w:val="00CE4959"/>
    <w:rsid w:val="00CE4D62"/>
    <w:rsid w:val="00CE53EC"/>
    <w:rsid w:val="00CE59A3"/>
    <w:rsid w:val="00CE5AC6"/>
    <w:rsid w:val="00CE6002"/>
    <w:rsid w:val="00CE656A"/>
    <w:rsid w:val="00CE6571"/>
    <w:rsid w:val="00CE6F6C"/>
    <w:rsid w:val="00CE7A29"/>
    <w:rsid w:val="00CF0B43"/>
    <w:rsid w:val="00CF1B8E"/>
    <w:rsid w:val="00CF28C3"/>
    <w:rsid w:val="00CF30F2"/>
    <w:rsid w:val="00CF378E"/>
    <w:rsid w:val="00CF43B5"/>
    <w:rsid w:val="00CF48C9"/>
    <w:rsid w:val="00CF4D1C"/>
    <w:rsid w:val="00CF54BA"/>
    <w:rsid w:val="00CF5673"/>
    <w:rsid w:val="00CF6323"/>
    <w:rsid w:val="00CF6E7D"/>
    <w:rsid w:val="00D00977"/>
    <w:rsid w:val="00D010E9"/>
    <w:rsid w:val="00D01D65"/>
    <w:rsid w:val="00D03174"/>
    <w:rsid w:val="00D04083"/>
    <w:rsid w:val="00D040BF"/>
    <w:rsid w:val="00D04145"/>
    <w:rsid w:val="00D04B96"/>
    <w:rsid w:val="00D04D57"/>
    <w:rsid w:val="00D07C5A"/>
    <w:rsid w:val="00D07EC7"/>
    <w:rsid w:val="00D103B6"/>
    <w:rsid w:val="00D10665"/>
    <w:rsid w:val="00D10D88"/>
    <w:rsid w:val="00D111B8"/>
    <w:rsid w:val="00D11EC7"/>
    <w:rsid w:val="00D11F3E"/>
    <w:rsid w:val="00D124E8"/>
    <w:rsid w:val="00D12AB0"/>
    <w:rsid w:val="00D132E9"/>
    <w:rsid w:val="00D133E6"/>
    <w:rsid w:val="00D14392"/>
    <w:rsid w:val="00D1449D"/>
    <w:rsid w:val="00D16A8D"/>
    <w:rsid w:val="00D17C52"/>
    <w:rsid w:val="00D17CB0"/>
    <w:rsid w:val="00D205CC"/>
    <w:rsid w:val="00D20755"/>
    <w:rsid w:val="00D21F74"/>
    <w:rsid w:val="00D225A0"/>
    <w:rsid w:val="00D22C47"/>
    <w:rsid w:val="00D23796"/>
    <w:rsid w:val="00D24081"/>
    <w:rsid w:val="00D249C6"/>
    <w:rsid w:val="00D2639D"/>
    <w:rsid w:val="00D264D5"/>
    <w:rsid w:val="00D26B30"/>
    <w:rsid w:val="00D26EBB"/>
    <w:rsid w:val="00D26F41"/>
    <w:rsid w:val="00D272EA"/>
    <w:rsid w:val="00D27AA5"/>
    <w:rsid w:val="00D27DFD"/>
    <w:rsid w:val="00D306A1"/>
    <w:rsid w:val="00D30A92"/>
    <w:rsid w:val="00D30E15"/>
    <w:rsid w:val="00D32F68"/>
    <w:rsid w:val="00D3323D"/>
    <w:rsid w:val="00D33D79"/>
    <w:rsid w:val="00D33EE0"/>
    <w:rsid w:val="00D33FA1"/>
    <w:rsid w:val="00D34A96"/>
    <w:rsid w:val="00D34EFF"/>
    <w:rsid w:val="00D35466"/>
    <w:rsid w:val="00D366B6"/>
    <w:rsid w:val="00D36CF4"/>
    <w:rsid w:val="00D372C2"/>
    <w:rsid w:val="00D37DDA"/>
    <w:rsid w:val="00D40666"/>
    <w:rsid w:val="00D40982"/>
    <w:rsid w:val="00D412B3"/>
    <w:rsid w:val="00D4196B"/>
    <w:rsid w:val="00D41F54"/>
    <w:rsid w:val="00D438AE"/>
    <w:rsid w:val="00D44E33"/>
    <w:rsid w:val="00D45301"/>
    <w:rsid w:val="00D45B6D"/>
    <w:rsid w:val="00D45D68"/>
    <w:rsid w:val="00D45EFF"/>
    <w:rsid w:val="00D46273"/>
    <w:rsid w:val="00D46EE3"/>
    <w:rsid w:val="00D474EF"/>
    <w:rsid w:val="00D47CB9"/>
    <w:rsid w:val="00D47F31"/>
    <w:rsid w:val="00D517E8"/>
    <w:rsid w:val="00D518C2"/>
    <w:rsid w:val="00D5192B"/>
    <w:rsid w:val="00D53093"/>
    <w:rsid w:val="00D53670"/>
    <w:rsid w:val="00D53708"/>
    <w:rsid w:val="00D53741"/>
    <w:rsid w:val="00D54900"/>
    <w:rsid w:val="00D553F2"/>
    <w:rsid w:val="00D55758"/>
    <w:rsid w:val="00D558AF"/>
    <w:rsid w:val="00D56AA6"/>
    <w:rsid w:val="00D60058"/>
    <w:rsid w:val="00D6016D"/>
    <w:rsid w:val="00D60F1C"/>
    <w:rsid w:val="00D62706"/>
    <w:rsid w:val="00D62DDC"/>
    <w:rsid w:val="00D633B2"/>
    <w:rsid w:val="00D63C34"/>
    <w:rsid w:val="00D63C7B"/>
    <w:rsid w:val="00D63CC4"/>
    <w:rsid w:val="00D63E8E"/>
    <w:rsid w:val="00D64933"/>
    <w:rsid w:val="00D64DA1"/>
    <w:rsid w:val="00D65228"/>
    <w:rsid w:val="00D65F90"/>
    <w:rsid w:val="00D66014"/>
    <w:rsid w:val="00D6631D"/>
    <w:rsid w:val="00D66998"/>
    <w:rsid w:val="00D72868"/>
    <w:rsid w:val="00D72CAB"/>
    <w:rsid w:val="00D72D2B"/>
    <w:rsid w:val="00D75CC4"/>
    <w:rsid w:val="00D75CD8"/>
    <w:rsid w:val="00D77A05"/>
    <w:rsid w:val="00D77B5F"/>
    <w:rsid w:val="00D8067B"/>
    <w:rsid w:val="00D808BD"/>
    <w:rsid w:val="00D81FD6"/>
    <w:rsid w:val="00D822BC"/>
    <w:rsid w:val="00D825D6"/>
    <w:rsid w:val="00D834E5"/>
    <w:rsid w:val="00D84B5B"/>
    <w:rsid w:val="00D85AC8"/>
    <w:rsid w:val="00D86619"/>
    <w:rsid w:val="00D86E68"/>
    <w:rsid w:val="00D86E6D"/>
    <w:rsid w:val="00D8763E"/>
    <w:rsid w:val="00D90220"/>
    <w:rsid w:val="00D90D46"/>
    <w:rsid w:val="00D90E0A"/>
    <w:rsid w:val="00D90EB6"/>
    <w:rsid w:val="00D91022"/>
    <w:rsid w:val="00D91B53"/>
    <w:rsid w:val="00D91CCA"/>
    <w:rsid w:val="00D92FA7"/>
    <w:rsid w:val="00D9322C"/>
    <w:rsid w:val="00D94DC9"/>
    <w:rsid w:val="00D953B3"/>
    <w:rsid w:val="00D966D5"/>
    <w:rsid w:val="00D96E78"/>
    <w:rsid w:val="00D97617"/>
    <w:rsid w:val="00D97836"/>
    <w:rsid w:val="00D97EF2"/>
    <w:rsid w:val="00DA01EE"/>
    <w:rsid w:val="00DA153A"/>
    <w:rsid w:val="00DA23D5"/>
    <w:rsid w:val="00DA26C2"/>
    <w:rsid w:val="00DA2C0C"/>
    <w:rsid w:val="00DA3248"/>
    <w:rsid w:val="00DA3D5E"/>
    <w:rsid w:val="00DA3D70"/>
    <w:rsid w:val="00DA3E01"/>
    <w:rsid w:val="00DA451D"/>
    <w:rsid w:val="00DA59E9"/>
    <w:rsid w:val="00DA5BF4"/>
    <w:rsid w:val="00DA5E3B"/>
    <w:rsid w:val="00DA5EAD"/>
    <w:rsid w:val="00DA6638"/>
    <w:rsid w:val="00DA6F35"/>
    <w:rsid w:val="00DA738E"/>
    <w:rsid w:val="00DA7796"/>
    <w:rsid w:val="00DB013E"/>
    <w:rsid w:val="00DB01F7"/>
    <w:rsid w:val="00DB1786"/>
    <w:rsid w:val="00DB2170"/>
    <w:rsid w:val="00DB2CD9"/>
    <w:rsid w:val="00DB3300"/>
    <w:rsid w:val="00DB3A0E"/>
    <w:rsid w:val="00DB3AE8"/>
    <w:rsid w:val="00DB4B89"/>
    <w:rsid w:val="00DB5EB5"/>
    <w:rsid w:val="00DB62AA"/>
    <w:rsid w:val="00DB67B5"/>
    <w:rsid w:val="00DB74E6"/>
    <w:rsid w:val="00DB77FD"/>
    <w:rsid w:val="00DB7C27"/>
    <w:rsid w:val="00DC1C00"/>
    <w:rsid w:val="00DC205A"/>
    <w:rsid w:val="00DC20B8"/>
    <w:rsid w:val="00DC221D"/>
    <w:rsid w:val="00DC23CA"/>
    <w:rsid w:val="00DC2DD2"/>
    <w:rsid w:val="00DC3305"/>
    <w:rsid w:val="00DC54A2"/>
    <w:rsid w:val="00DC6599"/>
    <w:rsid w:val="00DC67A2"/>
    <w:rsid w:val="00DC6A41"/>
    <w:rsid w:val="00DC74D3"/>
    <w:rsid w:val="00DC7796"/>
    <w:rsid w:val="00DC7CC6"/>
    <w:rsid w:val="00DD00BF"/>
    <w:rsid w:val="00DD0AB4"/>
    <w:rsid w:val="00DD0CD4"/>
    <w:rsid w:val="00DD38D0"/>
    <w:rsid w:val="00DD4024"/>
    <w:rsid w:val="00DD46EA"/>
    <w:rsid w:val="00DD4872"/>
    <w:rsid w:val="00DD58E7"/>
    <w:rsid w:val="00DD60F4"/>
    <w:rsid w:val="00DD64D2"/>
    <w:rsid w:val="00DD652B"/>
    <w:rsid w:val="00DD6A0F"/>
    <w:rsid w:val="00DD6D6D"/>
    <w:rsid w:val="00DD7990"/>
    <w:rsid w:val="00DE1221"/>
    <w:rsid w:val="00DE13B0"/>
    <w:rsid w:val="00DE14B6"/>
    <w:rsid w:val="00DE1D24"/>
    <w:rsid w:val="00DE209A"/>
    <w:rsid w:val="00DE2275"/>
    <w:rsid w:val="00DE23A1"/>
    <w:rsid w:val="00DE248F"/>
    <w:rsid w:val="00DE2AB7"/>
    <w:rsid w:val="00DE41B9"/>
    <w:rsid w:val="00DE5C89"/>
    <w:rsid w:val="00DE5D5A"/>
    <w:rsid w:val="00DE64BE"/>
    <w:rsid w:val="00DE69A8"/>
    <w:rsid w:val="00DE7840"/>
    <w:rsid w:val="00DF1998"/>
    <w:rsid w:val="00DF1F1A"/>
    <w:rsid w:val="00DF2489"/>
    <w:rsid w:val="00DF2E3F"/>
    <w:rsid w:val="00DF2E5B"/>
    <w:rsid w:val="00DF30A0"/>
    <w:rsid w:val="00DF3287"/>
    <w:rsid w:val="00DF38B8"/>
    <w:rsid w:val="00DF49C8"/>
    <w:rsid w:val="00DF4C09"/>
    <w:rsid w:val="00DF54E6"/>
    <w:rsid w:val="00DF6B59"/>
    <w:rsid w:val="00DF6C8B"/>
    <w:rsid w:val="00DF6E54"/>
    <w:rsid w:val="00DF7618"/>
    <w:rsid w:val="00E004FF"/>
    <w:rsid w:val="00E01816"/>
    <w:rsid w:val="00E01E9F"/>
    <w:rsid w:val="00E01F54"/>
    <w:rsid w:val="00E02949"/>
    <w:rsid w:val="00E0305C"/>
    <w:rsid w:val="00E03592"/>
    <w:rsid w:val="00E04222"/>
    <w:rsid w:val="00E051D4"/>
    <w:rsid w:val="00E054EF"/>
    <w:rsid w:val="00E05D01"/>
    <w:rsid w:val="00E06293"/>
    <w:rsid w:val="00E0661C"/>
    <w:rsid w:val="00E107A6"/>
    <w:rsid w:val="00E10BB7"/>
    <w:rsid w:val="00E10C95"/>
    <w:rsid w:val="00E1136D"/>
    <w:rsid w:val="00E11634"/>
    <w:rsid w:val="00E1167C"/>
    <w:rsid w:val="00E13724"/>
    <w:rsid w:val="00E13F81"/>
    <w:rsid w:val="00E14E95"/>
    <w:rsid w:val="00E1520C"/>
    <w:rsid w:val="00E155B4"/>
    <w:rsid w:val="00E1564D"/>
    <w:rsid w:val="00E15784"/>
    <w:rsid w:val="00E1595B"/>
    <w:rsid w:val="00E1605B"/>
    <w:rsid w:val="00E16B9B"/>
    <w:rsid w:val="00E178B2"/>
    <w:rsid w:val="00E17D95"/>
    <w:rsid w:val="00E231CB"/>
    <w:rsid w:val="00E23622"/>
    <w:rsid w:val="00E238C4"/>
    <w:rsid w:val="00E23BB0"/>
    <w:rsid w:val="00E244A8"/>
    <w:rsid w:val="00E24D27"/>
    <w:rsid w:val="00E2645C"/>
    <w:rsid w:val="00E26A54"/>
    <w:rsid w:val="00E26D35"/>
    <w:rsid w:val="00E30E2E"/>
    <w:rsid w:val="00E31659"/>
    <w:rsid w:val="00E324F8"/>
    <w:rsid w:val="00E32765"/>
    <w:rsid w:val="00E32AB3"/>
    <w:rsid w:val="00E330FD"/>
    <w:rsid w:val="00E33B20"/>
    <w:rsid w:val="00E33C70"/>
    <w:rsid w:val="00E3412A"/>
    <w:rsid w:val="00E34404"/>
    <w:rsid w:val="00E344D5"/>
    <w:rsid w:val="00E344D8"/>
    <w:rsid w:val="00E3468A"/>
    <w:rsid w:val="00E35938"/>
    <w:rsid w:val="00E35FB2"/>
    <w:rsid w:val="00E36D85"/>
    <w:rsid w:val="00E372D4"/>
    <w:rsid w:val="00E37792"/>
    <w:rsid w:val="00E37B3D"/>
    <w:rsid w:val="00E40237"/>
    <w:rsid w:val="00E4103E"/>
    <w:rsid w:val="00E41DCA"/>
    <w:rsid w:val="00E4224D"/>
    <w:rsid w:val="00E4274F"/>
    <w:rsid w:val="00E42B9A"/>
    <w:rsid w:val="00E43140"/>
    <w:rsid w:val="00E43DB1"/>
    <w:rsid w:val="00E44053"/>
    <w:rsid w:val="00E4434A"/>
    <w:rsid w:val="00E44B09"/>
    <w:rsid w:val="00E44ED6"/>
    <w:rsid w:val="00E46A3B"/>
    <w:rsid w:val="00E50162"/>
    <w:rsid w:val="00E50FBF"/>
    <w:rsid w:val="00E512A3"/>
    <w:rsid w:val="00E51DC1"/>
    <w:rsid w:val="00E51EE2"/>
    <w:rsid w:val="00E51F25"/>
    <w:rsid w:val="00E52315"/>
    <w:rsid w:val="00E5260D"/>
    <w:rsid w:val="00E544DC"/>
    <w:rsid w:val="00E5454F"/>
    <w:rsid w:val="00E54F32"/>
    <w:rsid w:val="00E55048"/>
    <w:rsid w:val="00E55201"/>
    <w:rsid w:val="00E552C7"/>
    <w:rsid w:val="00E55A7C"/>
    <w:rsid w:val="00E55F3A"/>
    <w:rsid w:val="00E56E3C"/>
    <w:rsid w:val="00E57DE0"/>
    <w:rsid w:val="00E57E38"/>
    <w:rsid w:val="00E60259"/>
    <w:rsid w:val="00E60BE0"/>
    <w:rsid w:val="00E626BF"/>
    <w:rsid w:val="00E62809"/>
    <w:rsid w:val="00E62A6C"/>
    <w:rsid w:val="00E62E12"/>
    <w:rsid w:val="00E63CC9"/>
    <w:rsid w:val="00E65245"/>
    <w:rsid w:val="00E6557D"/>
    <w:rsid w:val="00E65A59"/>
    <w:rsid w:val="00E65F7B"/>
    <w:rsid w:val="00E66B49"/>
    <w:rsid w:val="00E679DD"/>
    <w:rsid w:val="00E702E9"/>
    <w:rsid w:val="00E702FC"/>
    <w:rsid w:val="00E71C2D"/>
    <w:rsid w:val="00E7380F"/>
    <w:rsid w:val="00E74D34"/>
    <w:rsid w:val="00E7588E"/>
    <w:rsid w:val="00E760C1"/>
    <w:rsid w:val="00E7627E"/>
    <w:rsid w:val="00E76408"/>
    <w:rsid w:val="00E76884"/>
    <w:rsid w:val="00E76E27"/>
    <w:rsid w:val="00E76EBC"/>
    <w:rsid w:val="00E7755B"/>
    <w:rsid w:val="00E77833"/>
    <w:rsid w:val="00E7796C"/>
    <w:rsid w:val="00E809A9"/>
    <w:rsid w:val="00E80C2F"/>
    <w:rsid w:val="00E80C4E"/>
    <w:rsid w:val="00E81B0D"/>
    <w:rsid w:val="00E8203D"/>
    <w:rsid w:val="00E822FC"/>
    <w:rsid w:val="00E84CAA"/>
    <w:rsid w:val="00E856B5"/>
    <w:rsid w:val="00E85ACA"/>
    <w:rsid w:val="00E8608F"/>
    <w:rsid w:val="00E86260"/>
    <w:rsid w:val="00E873D1"/>
    <w:rsid w:val="00E87B8F"/>
    <w:rsid w:val="00E90572"/>
    <w:rsid w:val="00E90952"/>
    <w:rsid w:val="00E909DB"/>
    <w:rsid w:val="00E90E88"/>
    <w:rsid w:val="00E91152"/>
    <w:rsid w:val="00E924A9"/>
    <w:rsid w:val="00E93132"/>
    <w:rsid w:val="00E931EE"/>
    <w:rsid w:val="00E93283"/>
    <w:rsid w:val="00E9354F"/>
    <w:rsid w:val="00E94737"/>
    <w:rsid w:val="00E94D70"/>
    <w:rsid w:val="00E9512E"/>
    <w:rsid w:val="00E95F2C"/>
    <w:rsid w:val="00E963A2"/>
    <w:rsid w:val="00E9670A"/>
    <w:rsid w:val="00E97670"/>
    <w:rsid w:val="00EA0D71"/>
    <w:rsid w:val="00EA1634"/>
    <w:rsid w:val="00EA16A5"/>
    <w:rsid w:val="00EA251A"/>
    <w:rsid w:val="00EA3C23"/>
    <w:rsid w:val="00EA5385"/>
    <w:rsid w:val="00EA7626"/>
    <w:rsid w:val="00EA7A62"/>
    <w:rsid w:val="00EA7AC8"/>
    <w:rsid w:val="00EA7E1C"/>
    <w:rsid w:val="00EB2F06"/>
    <w:rsid w:val="00EB3631"/>
    <w:rsid w:val="00EB3C61"/>
    <w:rsid w:val="00EB40F4"/>
    <w:rsid w:val="00EB5885"/>
    <w:rsid w:val="00EB5E5F"/>
    <w:rsid w:val="00EB5F69"/>
    <w:rsid w:val="00EB688F"/>
    <w:rsid w:val="00EB728B"/>
    <w:rsid w:val="00EB762C"/>
    <w:rsid w:val="00EC0AD4"/>
    <w:rsid w:val="00EC1B0B"/>
    <w:rsid w:val="00EC1E89"/>
    <w:rsid w:val="00EC25C6"/>
    <w:rsid w:val="00EC3CFC"/>
    <w:rsid w:val="00EC47EA"/>
    <w:rsid w:val="00EC49C4"/>
    <w:rsid w:val="00EC5541"/>
    <w:rsid w:val="00EC5AD7"/>
    <w:rsid w:val="00EC6CDC"/>
    <w:rsid w:val="00EC7645"/>
    <w:rsid w:val="00ED0351"/>
    <w:rsid w:val="00ED131D"/>
    <w:rsid w:val="00ED165A"/>
    <w:rsid w:val="00ED1D3A"/>
    <w:rsid w:val="00ED23FD"/>
    <w:rsid w:val="00ED3028"/>
    <w:rsid w:val="00ED36FA"/>
    <w:rsid w:val="00ED37F3"/>
    <w:rsid w:val="00ED3C0A"/>
    <w:rsid w:val="00ED40F9"/>
    <w:rsid w:val="00ED4513"/>
    <w:rsid w:val="00ED4BE8"/>
    <w:rsid w:val="00ED5AC4"/>
    <w:rsid w:val="00ED644B"/>
    <w:rsid w:val="00ED75AE"/>
    <w:rsid w:val="00ED7E66"/>
    <w:rsid w:val="00EE0220"/>
    <w:rsid w:val="00EE0FAD"/>
    <w:rsid w:val="00EE1103"/>
    <w:rsid w:val="00EE307D"/>
    <w:rsid w:val="00EE33FE"/>
    <w:rsid w:val="00EE3493"/>
    <w:rsid w:val="00EE398E"/>
    <w:rsid w:val="00EE3A31"/>
    <w:rsid w:val="00EE418F"/>
    <w:rsid w:val="00EE42AD"/>
    <w:rsid w:val="00EE4506"/>
    <w:rsid w:val="00EE462F"/>
    <w:rsid w:val="00EE51BF"/>
    <w:rsid w:val="00EE58F1"/>
    <w:rsid w:val="00EE6B6E"/>
    <w:rsid w:val="00EE7165"/>
    <w:rsid w:val="00EE775F"/>
    <w:rsid w:val="00EE7923"/>
    <w:rsid w:val="00EF04AC"/>
    <w:rsid w:val="00EF08DA"/>
    <w:rsid w:val="00EF0EB9"/>
    <w:rsid w:val="00EF16E4"/>
    <w:rsid w:val="00EF1900"/>
    <w:rsid w:val="00EF2380"/>
    <w:rsid w:val="00EF242C"/>
    <w:rsid w:val="00EF2765"/>
    <w:rsid w:val="00EF308F"/>
    <w:rsid w:val="00EF3CF4"/>
    <w:rsid w:val="00EF4091"/>
    <w:rsid w:val="00EF5787"/>
    <w:rsid w:val="00EF63E7"/>
    <w:rsid w:val="00EF664A"/>
    <w:rsid w:val="00EF7965"/>
    <w:rsid w:val="00EF7A7D"/>
    <w:rsid w:val="00F00020"/>
    <w:rsid w:val="00F0008C"/>
    <w:rsid w:val="00F0144F"/>
    <w:rsid w:val="00F01F7A"/>
    <w:rsid w:val="00F020D5"/>
    <w:rsid w:val="00F0262F"/>
    <w:rsid w:val="00F02C0D"/>
    <w:rsid w:val="00F02E2D"/>
    <w:rsid w:val="00F0365F"/>
    <w:rsid w:val="00F04714"/>
    <w:rsid w:val="00F04880"/>
    <w:rsid w:val="00F0524E"/>
    <w:rsid w:val="00F05498"/>
    <w:rsid w:val="00F0799F"/>
    <w:rsid w:val="00F07DFA"/>
    <w:rsid w:val="00F10966"/>
    <w:rsid w:val="00F11DE5"/>
    <w:rsid w:val="00F14237"/>
    <w:rsid w:val="00F14D14"/>
    <w:rsid w:val="00F15099"/>
    <w:rsid w:val="00F15639"/>
    <w:rsid w:val="00F16142"/>
    <w:rsid w:val="00F1682B"/>
    <w:rsid w:val="00F1789E"/>
    <w:rsid w:val="00F2058A"/>
    <w:rsid w:val="00F20E00"/>
    <w:rsid w:val="00F212A3"/>
    <w:rsid w:val="00F2153E"/>
    <w:rsid w:val="00F21B40"/>
    <w:rsid w:val="00F2264F"/>
    <w:rsid w:val="00F2302B"/>
    <w:rsid w:val="00F23302"/>
    <w:rsid w:val="00F234F0"/>
    <w:rsid w:val="00F23605"/>
    <w:rsid w:val="00F23716"/>
    <w:rsid w:val="00F248C2"/>
    <w:rsid w:val="00F254BA"/>
    <w:rsid w:val="00F26626"/>
    <w:rsid w:val="00F26A04"/>
    <w:rsid w:val="00F279C3"/>
    <w:rsid w:val="00F3052A"/>
    <w:rsid w:val="00F30801"/>
    <w:rsid w:val="00F32E24"/>
    <w:rsid w:val="00F32EF1"/>
    <w:rsid w:val="00F333E5"/>
    <w:rsid w:val="00F36CCF"/>
    <w:rsid w:val="00F36EFB"/>
    <w:rsid w:val="00F37351"/>
    <w:rsid w:val="00F42008"/>
    <w:rsid w:val="00F42457"/>
    <w:rsid w:val="00F42916"/>
    <w:rsid w:val="00F439CE"/>
    <w:rsid w:val="00F4576F"/>
    <w:rsid w:val="00F4578B"/>
    <w:rsid w:val="00F46073"/>
    <w:rsid w:val="00F471EF"/>
    <w:rsid w:val="00F50D28"/>
    <w:rsid w:val="00F50EF0"/>
    <w:rsid w:val="00F513F3"/>
    <w:rsid w:val="00F51555"/>
    <w:rsid w:val="00F52088"/>
    <w:rsid w:val="00F52491"/>
    <w:rsid w:val="00F52D7C"/>
    <w:rsid w:val="00F52E4D"/>
    <w:rsid w:val="00F531AB"/>
    <w:rsid w:val="00F54226"/>
    <w:rsid w:val="00F5436A"/>
    <w:rsid w:val="00F545B4"/>
    <w:rsid w:val="00F546D5"/>
    <w:rsid w:val="00F55421"/>
    <w:rsid w:val="00F55FAC"/>
    <w:rsid w:val="00F56A74"/>
    <w:rsid w:val="00F56DA5"/>
    <w:rsid w:val="00F57155"/>
    <w:rsid w:val="00F60146"/>
    <w:rsid w:val="00F60446"/>
    <w:rsid w:val="00F60E61"/>
    <w:rsid w:val="00F62718"/>
    <w:rsid w:val="00F62C28"/>
    <w:rsid w:val="00F64103"/>
    <w:rsid w:val="00F646D2"/>
    <w:rsid w:val="00F64822"/>
    <w:rsid w:val="00F64D89"/>
    <w:rsid w:val="00F64E3D"/>
    <w:rsid w:val="00F64F9D"/>
    <w:rsid w:val="00F65EC6"/>
    <w:rsid w:val="00F6763E"/>
    <w:rsid w:val="00F67A99"/>
    <w:rsid w:val="00F67F1B"/>
    <w:rsid w:val="00F70891"/>
    <w:rsid w:val="00F71E82"/>
    <w:rsid w:val="00F71FA9"/>
    <w:rsid w:val="00F72190"/>
    <w:rsid w:val="00F728FB"/>
    <w:rsid w:val="00F729A0"/>
    <w:rsid w:val="00F72D67"/>
    <w:rsid w:val="00F72D9E"/>
    <w:rsid w:val="00F73E5F"/>
    <w:rsid w:val="00F73F22"/>
    <w:rsid w:val="00F7407C"/>
    <w:rsid w:val="00F743DE"/>
    <w:rsid w:val="00F745A0"/>
    <w:rsid w:val="00F75A23"/>
    <w:rsid w:val="00F774C0"/>
    <w:rsid w:val="00F77587"/>
    <w:rsid w:val="00F800B7"/>
    <w:rsid w:val="00F8060A"/>
    <w:rsid w:val="00F818C8"/>
    <w:rsid w:val="00F81DA6"/>
    <w:rsid w:val="00F825B8"/>
    <w:rsid w:val="00F82A00"/>
    <w:rsid w:val="00F830A3"/>
    <w:rsid w:val="00F835A3"/>
    <w:rsid w:val="00F83CD3"/>
    <w:rsid w:val="00F841E2"/>
    <w:rsid w:val="00F84999"/>
    <w:rsid w:val="00F84C08"/>
    <w:rsid w:val="00F84CC5"/>
    <w:rsid w:val="00F84CE2"/>
    <w:rsid w:val="00F85580"/>
    <w:rsid w:val="00F86A85"/>
    <w:rsid w:val="00F87F4A"/>
    <w:rsid w:val="00F90B10"/>
    <w:rsid w:val="00F90EE9"/>
    <w:rsid w:val="00F90FDB"/>
    <w:rsid w:val="00F91A43"/>
    <w:rsid w:val="00F926BF"/>
    <w:rsid w:val="00F93E07"/>
    <w:rsid w:val="00F95DEC"/>
    <w:rsid w:val="00F9613C"/>
    <w:rsid w:val="00F978C6"/>
    <w:rsid w:val="00F97A8A"/>
    <w:rsid w:val="00F97C7C"/>
    <w:rsid w:val="00FA164C"/>
    <w:rsid w:val="00FA3188"/>
    <w:rsid w:val="00FA34C5"/>
    <w:rsid w:val="00FA3DE5"/>
    <w:rsid w:val="00FA46C2"/>
    <w:rsid w:val="00FA4731"/>
    <w:rsid w:val="00FA501D"/>
    <w:rsid w:val="00FA5428"/>
    <w:rsid w:val="00FA5436"/>
    <w:rsid w:val="00FA5B7A"/>
    <w:rsid w:val="00FB0261"/>
    <w:rsid w:val="00FB09BB"/>
    <w:rsid w:val="00FB16B3"/>
    <w:rsid w:val="00FB1C8E"/>
    <w:rsid w:val="00FB3343"/>
    <w:rsid w:val="00FB3C06"/>
    <w:rsid w:val="00FB505F"/>
    <w:rsid w:val="00FB5A62"/>
    <w:rsid w:val="00FB6407"/>
    <w:rsid w:val="00FB66AA"/>
    <w:rsid w:val="00FB766D"/>
    <w:rsid w:val="00FB7A91"/>
    <w:rsid w:val="00FC027E"/>
    <w:rsid w:val="00FC17A3"/>
    <w:rsid w:val="00FC221E"/>
    <w:rsid w:val="00FC24DA"/>
    <w:rsid w:val="00FC24EE"/>
    <w:rsid w:val="00FC3B94"/>
    <w:rsid w:val="00FC4727"/>
    <w:rsid w:val="00FC478B"/>
    <w:rsid w:val="00FC55F5"/>
    <w:rsid w:val="00FC579F"/>
    <w:rsid w:val="00FC6685"/>
    <w:rsid w:val="00FC69A1"/>
    <w:rsid w:val="00FC6BA4"/>
    <w:rsid w:val="00FC6DD0"/>
    <w:rsid w:val="00FC7F84"/>
    <w:rsid w:val="00FD02D9"/>
    <w:rsid w:val="00FD0FA2"/>
    <w:rsid w:val="00FD15CA"/>
    <w:rsid w:val="00FD1AC2"/>
    <w:rsid w:val="00FD224A"/>
    <w:rsid w:val="00FD2EAB"/>
    <w:rsid w:val="00FD3E0F"/>
    <w:rsid w:val="00FD45E7"/>
    <w:rsid w:val="00FD521D"/>
    <w:rsid w:val="00FE1930"/>
    <w:rsid w:val="00FE2D7C"/>
    <w:rsid w:val="00FE31AC"/>
    <w:rsid w:val="00FE434D"/>
    <w:rsid w:val="00FE475A"/>
    <w:rsid w:val="00FE4C46"/>
    <w:rsid w:val="00FE4DB1"/>
    <w:rsid w:val="00FE5C8B"/>
    <w:rsid w:val="00FE617D"/>
    <w:rsid w:val="00FE6CEC"/>
    <w:rsid w:val="00FE7B20"/>
    <w:rsid w:val="00FF1283"/>
    <w:rsid w:val="00FF1C22"/>
    <w:rsid w:val="00FF21DE"/>
    <w:rsid w:val="00FF2785"/>
    <w:rsid w:val="00FF2A03"/>
    <w:rsid w:val="00FF3342"/>
    <w:rsid w:val="00FF3A82"/>
    <w:rsid w:val="00FF3D39"/>
    <w:rsid w:val="00FF42AD"/>
    <w:rsid w:val="00FF48DB"/>
    <w:rsid w:val="00FF5028"/>
    <w:rsid w:val="00FF5E3C"/>
    <w:rsid w:val="00FF6BD3"/>
    <w:rsid w:val="00FF6F71"/>
    <w:rsid w:val="00FF70B1"/>
    <w:rsid w:val="00FF73E4"/>
    <w:rsid w:val="0714D612"/>
    <w:rsid w:val="12BEAF01"/>
    <w:rsid w:val="19B02E8B"/>
    <w:rsid w:val="1F88C6BB"/>
    <w:rsid w:val="23E9A77C"/>
    <w:rsid w:val="257A01AC"/>
    <w:rsid w:val="25FFCB8A"/>
    <w:rsid w:val="276A726D"/>
    <w:rsid w:val="31A6BAF1"/>
    <w:rsid w:val="3313FC11"/>
    <w:rsid w:val="3A42354A"/>
    <w:rsid w:val="3A8A6D42"/>
    <w:rsid w:val="3EC433CF"/>
    <w:rsid w:val="422F7C6F"/>
    <w:rsid w:val="45064EBB"/>
    <w:rsid w:val="49B8A36F"/>
    <w:rsid w:val="55BB0DAC"/>
    <w:rsid w:val="5988D9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1FECBE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A37F36"/>
    <w:pPr>
      <w:keepNext/>
      <w:spacing w:before="240" w:after="0" w:line="252" w:lineRule="auto"/>
      <w:outlineLvl w:val="0"/>
    </w:pPr>
    <w:rPr>
      <w:rFonts w:ascii="Calibri Light" w:eastAsiaTheme="minorHAnsi" w:hAnsi="Calibri Light" w:cs="Calibri Light"/>
      <w:color w:val="2F5496"/>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9"/>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 w:type="paragraph" w:styleId="Header">
    <w:name w:val="header"/>
    <w:basedOn w:val="Normal"/>
    <w:link w:val="HeaderChar"/>
    <w:uiPriority w:val="99"/>
    <w:unhideWhenUsed/>
    <w:rsid w:val="009B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A4"/>
    <w:rPr>
      <w:rFonts w:ascii="Calibri" w:eastAsia="Calibri" w:hAnsi="Calibri" w:cs="Times New Roman"/>
    </w:rPr>
  </w:style>
  <w:style w:type="paragraph" w:styleId="Footer">
    <w:name w:val="footer"/>
    <w:basedOn w:val="Normal"/>
    <w:link w:val="FooterChar"/>
    <w:uiPriority w:val="99"/>
    <w:unhideWhenUsed/>
    <w:rsid w:val="009B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A4"/>
    <w:rPr>
      <w:rFonts w:ascii="Calibri" w:eastAsia="Calibri" w:hAnsi="Calibri" w:cs="Times New Roman"/>
    </w:rPr>
  </w:style>
  <w:style w:type="character" w:styleId="PlaceholderText">
    <w:name w:val="Placeholder Text"/>
    <w:basedOn w:val="DefaultParagraphFont"/>
    <w:uiPriority w:val="99"/>
    <w:semiHidden/>
    <w:rsid w:val="00FF2785"/>
    <w:rPr>
      <w:color w:val="808080"/>
    </w:rPr>
  </w:style>
  <w:style w:type="paragraph" w:styleId="Revision">
    <w:name w:val="Revision"/>
    <w:hidden/>
    <w:uiPriority w:val="99"/>
    <w:semiHidden/>
    <w:rsid w:val="00EE307D"/>
    <w:pPr>
      <w:spacing w:after="0" w:line="240" w:lineRule="auto"/>
    </w:pPr>
    <w:rPr>
      <w:rFonts w:ascii="Calibri" w:eastAsia="Calibri" w:hAnsi="Calibri" w:cs="Times New Roman"/>
    </w:rPr>
  </w:style>
  <w:style w:type="paragraph" w:customStyle="1" w:styleId="rrdsinglerule">
    <w:name w:val="rrdsinglerule"/>
    <w:basedOn w:val="Normal"/>
    <w:next w:val="Normal"/>
    <w:rsid w:val="00CD5303"/>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CD5303"/>
    <w:pPr>
      <w:spacing w:before="100" w:beforeAutospacing="1" w:after="100" w:afterAutospacing="1" w:line="240" w:lineRule="auto"/>
      <w:jc w:val="both"/>
    </w:pPr>
    <w:rPr>
      <w:rFonts w:ascii="Arial" w:eastAsia="Times New Roman" w:hAnsi="Arial"/>
      <w:sz w:val="24"/>
      <w:szCs w:val="24"/>
    </w:rPr>
  </w:style>
  <w:style w:type="character" w:customStyle="1" w:styleId="UnresolvedMention1">
    <w:name w:val="Unresolved Mention1"/>
    <w:basedOn w:val="DefaultParagraphFont"/>
    <w:uiPriority w:val="99"/>
    <w:semiHidden/>
    <w:unhideWhenUsed/>
    <w:rsid w:val="00E822FC"/>
    <w:rPr>
      <w:color w:val="808080"/>
      <w:shd w:val="clear" w:color="auto" w:fill="E6E6E6"/>
    </w:rPr>
  </w:style>
  <w:style w:type="character" w:customStyle="1" w:styleId="Heading1Char">
    <w:name w:val="Heading 1 Char"/>
    <w:basedOn w:val="DefaultParagraphFont"/>
    <w:link w:val="Heading1"/>
    <w:uiPriority w:val="9"/>
    <w:rsid w:val="00A37F36"/>
    <w:rPr>
      <w:rFonts w:ascii="Calibri Light" w:hAnsi="Calibri Light" w:cs="Calibri Light"/>
      <w:color w:val="2F5496"/>
      <w:kern w:val="36"/>
      <w:sz w:val="32"/>
      <w:szCs w:val="32"/>
    </w:rPr>
  </w:style>
  <w:style w:type="paragraph" w:customStyle="1" w:styleId="paragraph">
    <w:name w:val="paragraph"/>
    <w:basedOn w:val="Normal"/>
    <w:rsid w:val="00A37F36"/>
    <w:pPr>
      <w:spacing w:before="100" w:beforeAutospacing="1" w:after="100" w:afterAutospacing="1" w:line="240" w:lineRule="auto"/>
    </w:pPr>
    <w:rPr>
      <w:rFonts w:eastAsiaTheme="minorHAnsi" w:cs="Calibri"/>
    </w:rPr>
  </w:style>
  <w:style w:type="character" w:customStyle="1" w:styleId="normaltextrun">
    <w:name w:val="normaltextrun"/>
    <w:basedOn w:val="DefaultParagraphFont"/>
    <w:rsid w:val="00A37F36"/>
  </w:style>
  <w:style w:type="character" w:customStyle="1" w:styleId="eop">
    <w:name w:val="eop"/>
    <w:basedOn w:val="DefaultParagraphFont"/>
    <w:rsid w:val="00A37F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C62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99643545">
      <w:bodyDiv w:val="1"/>
      <w:marLeft w:val="0"/>
      <w:marRight w:val="0"/>
      <w:marTop w:val="0"/>
      <w:marBottom w:val="0"/>
      <w:divBdr>
        <w:top w:val="none" w:sz="0" w:space="0" w:color="auto"/>
        <w:left w:val="none" w:sz="0" w:space="0" w:color="auto"/>
        <w:bottom w:val="none" w:sz="0" w:space="0" w:color="auto"/>
        <w:right w:val="none" w:sz="0" w:space="0" w:color="auto"/>
      </w:divBdr>
    </w:div>
    <w:div w:id="108667590">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24416014">
      <w:bodyDiv w:val="1"/>
      <w:marLeft w:val="0"/>
      <w:marRight w:val="0"/>
      <w:marTop w:val="0"/>
      <w:marBottom w:val="0"/>
      <w:divBdr>
        <w:top w:val="none" w:sz="0" w:space="0" w:color="auto"/>
        <w:left w:val="none" w:sz="0" w:space="0" w:color="auto"/>
        <w:bottom w:val="none" w:sz="0" w:space="0" w:color="auto"/>
        <w:right w:val="none" w:sz="0" w:space="0" w:color="auto"/>
      </w:divBdr>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49013583">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088499183">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0575656">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71243946">
      <w:bodyDiv w:val="1"/>
      <w:marLeft w:val="0"/>
      <w:marRight w:val="0"/>
      <w:marTop w:val="0"/>
      <w:marBottom w:val="0"/>
      <w:divBdr>
        <w:top w:val="none" w:sz="0" w:space="0" w:color="auto"/>
        <w:left w:val="none" w:sz="0" w:space="0" w:color="auto"/>
        <w:bottom w:val="none" w:sz="0" w:space="0" w:color="auto"/>
        <w:right w:val="none" w:sz="0" w:space="0" w:color="auto"/>
      </w:divBdr>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788501509">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ka.ms/MSFTFY19Q1ProductReleaseList" TargetMode="External"/><Relationship Id="rId12" Type="http://schemas.openxmlformats.org/officeDocument/2006/relationships/hyperlink" Target="http://www.microsoft.com/en-us/inves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news" TargetMode="External"/><Relationship Id="rId5" Type="http://schemas.openxmlformats.org/officeDocument/2006/relationships/footnotes" Target="footnotes.xml"/><Relationship Id="rId10" Type="http://schemas.openxmlformats.org/officeDocument/2006/relationships/hyperlink" Target="mailto:rrt@we-worldwide.com" TargetMode="External"/><Relationship Id="rId4" Type="http://schemas.openxmlformats.org/officeDocument/2006/relationships/webSettings" Target="webSettings.xml"/><Relationship Id="rId9" Type="http://schemas.openxmlformats.org/officeDocument/2006/relationships/hyperlink" Target="http://www.microsoft.com/en-us/inves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2018-10-24T00:26:00Z</dcterms:created>
  <dcterms:modified xsi:type="dcterms:W3CDTF">2018-10-24T01:31:00Z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2018-10-24T00:26:06.6879742Z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