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5FB1" w14:textId="3FB3E900" w:rsidR="00C7044F" w:rsidRPr="00835A36" w:rsidRDefault="00C7044F" w:rsidP="00C7044F">
      <w:pPr>
        <w:spacing w:after="0"/>
        <w:rPr>
          <w:rFonts w:ascii="Segoe UI" w:eastAsia="Segoe UI" w:hAnsi="Segoe UI" w:cs="Segoe UI"/>
          <w:b/>
          <w:color w:val="666666"/>
          <w:sz w:val="26"/>
          <w:szCs w:val="26"/>
        </w:rPr>
      </w:pPr>
      <w:r w:rsidRPr="00835A36">
        <w:rPr>
          <w:rFonts w:ascii="Segoe UI" w:eastAsia="Segoe UI" w:hAnsi="Segoe UI" w:cs="Segoe UI"/>
          <w:b/>
          <w:color w:val="666666"/>
          <w:sz w:val="26"/>
          <w:szCs w:val="26"/>
        </w:rPr>
        <w:t xml:space="preserve">Microsoft Cloud </w:t>
      </w:r>
      <w:r w:rsidR="0072021C" w:rsidRPr="00835A36">
        <w:rPr>
          <w:rFonts w:ascii="Segoe UI" w:eastAsia="Segoe UI" w:hAnsi="Segoe UI" w:cs="Segoe UI"/>
          <w:b/>
          <w:color w:val="666666"/>
          <w:sz w:val="26"/>
          <w:szCs w:val="26"/>
        </w:rPr>
        <w:t xml:space="preserve">Strength </w:t>
      </w:r>
      <w:r w:rsidR="00E327A2" w:rsidRPr="00835A36">
        <w:rPr>
          <w:rFonts w:ascii="Segoe UI" w:eastAsia="Segoe UI" w:hAnsi="Segoe UI" w:cs="Segoe UI"/>
          <w:b/>
          <w:color w:val="666666"/>
          <w:sz w:val="26"/>
          <w:szCs w:val="26"/>
        </w:rPr>
        <w:t>Drives</w:t>
      </w:r>
      <w:r w:rsidRPr="00835A36">
        <w:rPr>
          <w:rFonts w:ascii="Segoe UI" w:eastAsia="Segoe UI" w:hAnsi="Segoe UI" w:cs="Segoe UI"/>
          <w:b/>
          <w:color w:val="666666"/>
          <w:sz w:val="26"/>
          <w:szCs w:val="26"/>
        </w:rPr>
        <w:t xml:space="preserve"> Fourth Quarter Results </w:t>
      </w:r>
    </w:p>
    <w:p w14:paraId="28DCF75F" w14:textId="63AF6259" w:rsidR="00C7044F" w:rsidRDefault="00C7044F" w:rsidP="00C7044F">
      <w:pPr>
        <w:spacing w:before="240" w:after="24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Wash. — </w:t>
      </w:r>
      <w:r>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22</w:t>
      </w:r>
      <w:r w:rsidRPr="31A6BAF1">
        <w:rPr>
          <w:rFonts w:ascii="Segoe UI" w:eastAsia="Segoe UI" w:hAnsi="Segoe UI" w:cs="Segoe UI"/>
          <w:b/>
          <w:color w:val="666666"/>
          <w:sz w:val="20"/>
          <w:szCs w:val="20"/>
        </w:rPr>
        <w:t>, 20</w:t>
      </w:r>
      <w:r w:rsidR="00EF279B">
        <w:rPr>
          <w:rFonts w:ascii="Segoe UI" w:eastAsia="Segoe UI" w:hAnsi="Segoe UI" w:cs="Segoe UI"/>
          <w:b/>
          <w:color w:val="666666"/>
          <w:sz w:val="20"/>
          <w:szCs w:val="20"/>
        </w:rPr>
        <w:t>20</w:t>
      </w:r>
      <w:r w:rsidRPr="31A6BAF1">
        <w:rPr>
          <w:rFonts w:ascii="Segoe UI" w:eastAsia="Segoe UI" w:hAnsi="Segoe UI" w:cs="Segoe UI"/>
          <w:b/>
          <w:color w:val="666666"/>
          <w:sz w:val="20"/>
          <w:szCs w:val="20"/>
        </w:rPr>
        <w:t xml:space="preserve"> — </w:t>
      </w:r>
      <w:r w:rsidRPr="31A6BAF1">
        <w:rPr>
          <w:rFonts w:ascii="Segoe UI" w:eastAsia="Segoe UI" w:hAnsi="Segoe UI" w:cs="Segoe UI"/>
          <w:color w:val="666666"/>
          <w:sz w:val="20"/>
          <w:szCs w:val="20"/>
        </w:rPr>
        <w:t xml:space="preserve">Microsoft Corp. today announced the following results for the quarter ended </w:t>
      </w:r>
      <w:r>
        <w:rPr>
          <w:rFonts w:ascii="Segoe UI" w:eastAsia="Segoe UI" w:hAnsi="Segoe UI" w:cs="Segoe UI"/>
          <w:color w:val="666666"/>
          <w:sz w:val="20"/>
          <w:szCs w:val="20"/>
        </w:rPr>
        <w:t>June 30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20</w:t>
      </w:r>
      <w:r w:rsidRPr="31A6BAF1">
        <w:rPr>
          <w:rFonts w:ascii="Segoe UI" w:eastAsia="Segoe UI" w:hAnsi="Segoe UI" w:cs="Segoe UI"/>
          <w:color w:val="666666"/>
          <w:sz w:val="20"/>
          <w:szCs w:val="20"/>
        </w:rPr>
        <w:t>, as compared to the corresponding period of last fiscal year:</w:t>
      </w:r>
    </w:p>
    <w:p w14:paraId="775BC145" w14:textId="77777777"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Pr>
          <w:rFonts w:ascii="Segoe UI" w:eastAsia="Segoe UI" w:hAnsi="Segoe UI" w:cs="Segoe UI"/>
          <w:color w:val="666666"/>
          <w:sz w:val="20"/>
          <w:szCs w:val="20"/>
        </w:rPr>
        <w:t>$</w:t>
      </w:r>
      <w:r w:rsidRPr="00FE5627">
        <w:rPr>
          <w:rFonts w:ascii="Segoe UI" w:eastAsia="Segoe UI" w:hAnsi="Segoe UI" w:cs="Segoe UI"/>
          <w:color w:val="666666"/>
          <w:sz w:val="20"/>
          <w:szCs w:val="20"/>
        </w:rPr>
        <w:t xml:space="preserve">38.0 </w:t>
      </w:r>
      <w:r w:rsidRPr="31A6BAF1">
        <w:rPr>
          <w:rFonts w:ascii="Segoe UI" w:eastAsia="Segoe UI" w:hAnsi="Segoe UI" w:cs="Segoe UI"/>
          <w:color w:val="666666"/>
          <w:sz w:val="20"/>
          <w:szCs w:val="20"/>
        </w:rPr>
        <w:t xml:space="preserve">billion and increased </w:t>
      </w:r>
      <w:r w:rsidRPr="00FE5627">
        <w:rPr>
          <w:rFonts w:ascii="Segoe UI" w:eastAsia="Segoe UI" w:hAnsi="Segoe UI" w:cs="Segoe UI"/>
          <w:color w:val="666666"/>
          <w:sz w:val="20"/>
          <w:szCs w:val="20"/>
        </w:rPr>
        <w:t>13</w:t>
      </w:r>
      <w:r w:rsidRPr="00A34280">
        <w:rPr>
          <w:rFonts w:ascii="Segoe UI" w:eastAsia="Segoe UI" w:hAnsi="Segoe UI" w:cs="Segoe UI"/>
          <w:color w:val="666666"/>
          <w:sz w:val="20"/>
          <w:szCs w:val="20"/>
        </w:rPr>
        <w:t>%</w:t>
      </w:r>
    </w:p>
    <w:p w14:paraId="1612794B" w14:textId="0FB9F178" w:rsidR="000B5FF3" w:rsidRPr="00243400" w:rsidRDefault="000B5FF3" w:rsidP="000B5FF3">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Pr>
          <w:rFonts w:ascii="Segoe UI" w:eastAsia="Segoe UI" w:hAnsi="Segoe UI" w:cs="Segoe UI"/>
          <w:color w:val="666666"/>
          <w:sz w:val="20"/>
          <w:szCs w:val="20"/>
        </w:rPr>
        <w:t>$</w:t>
      </w:r>
      <w:r w:rsidRPr="00FE5627">
        <w:rPr>
          <w:rFonts w:ascii="Segoe UI" w:eastAsia="Segoe UI" w:hAnsi="Segoe UI" w:cs="Segoe UI"/>
          <w:color w:val="666666"/>
          <w:sz w:val="20"/>
          <w:szCs w:val="20"/>
        </w:rPr>
        <w:t>13.</w:t>
      </w:r>
      <w:r w:rsidR="000515A1" w:rsidRPr="005C49C2">
        <w:rPr>
          <w:rFonts w:ascii="Segoe UI" w:eastAsia="Segoe UI" w:hAnsi="Segoe UI" w:cs="Segoe UI"/>
          <w:color w:val="666666"/>
          <w:sz w:val="20"/>
          <w:szCs w:val="20"/>
        </w:rPr>
        <w:t>4</w:t>
      </w:r>
      <w:r w:rsidRPr="31A6BAF1">
        <w:rPr>
          <w:rFonts w:ascii="Segoe UI" w:eastAsia="Segoe UI" w:hAnsi="Segoe UI" w:cs="Segoe UI"/>
          <w:color w:val="666666"/>
          <w:sz w:val="20"/>
          <w:szCs w:val="20"/>
        </w:rPr>
        <w:t xml:space="preserve"> billion and increased </w:t>
      </w:r>
      <w:r w:rsidR="00996B62" w:rsidRPr="005C49C2">
        <w:rPr>
          <w:rFonts w:ascii="Segoe UI" w:eastAsia="Segoe UI" w:hAnsi="Segoe UI" w:cs="Segoe UI"/>
          <w:color w:val="666666"/>
          <w:sz w:val="20"/>
          <w:szCs w:val="20"/>
        </w:rPr>
        <w:t>8</w:t>
      </w:r>
      <w:r w:rsidRPr="00A34280">
        <w:rPr>
          <w:rFonts w:ascii="Segoe UI" w:eastAsia="Segoe UI" w:hAnsi="Segoe UI" w:cs="Segoe UI"/>
          <w:color w:val="666666"/>
          <w:sz w:val="20"/>
          <w:szCs w:val="20"/>
        </w:rPr>
        <w:t>%</w:t>
      </w:r>
    </w:p>
    <w:p w14:paraId="589D822D" w14:textId="05DEF5F7" w:rsidR="0092674A" w:rsidRPr="0092674A" w:rsidRDefault="0092674A" w:rsidP="000B5FF3">
      <w:pPr>
        <w:pStyle w:val="ListParagraph"/>
        <w:numPr>
          <w:ilvl w:val="0"/>
          <w:numId w:val="2"/>
        </w:numPr>
        <w:spacing w:before="240" w:after="240"/>
        <w:rPr>
          <w:rFonts w:ascii="Segoe UI" w:eastAsia="Segoe UI" w:hAnsi="Segoe UI" w:cs="Segoe UI"/>
          <w:color w:val="666666"/>
          <w:sz w:val="20"/>
          <w:szCs w:val="20"/>
        </w:rPr>
      </w:pPr>
      <w:r w:rsidRPr="0092674A">
        <w:rPr>
          <w:rFonts w:ascii="Segoe UI" w:eastAsia="Segoe UI" w:hAnsi="Segoe UI" w:cs="Segoe UI"/>
          <w:color w:val="666666"/>
          <w:sz w:val="20"/>
          <w:szCs w:val="20"/>
        </w:rPr>
        <w:t>Net income was $</w:t>
      </w:r>
      <w:r w:rsidRPr="00872426">
        <w:rPr>
          <w:rFonts w:ascii="Segoe UI" w:eastAsia="Segoe UI" w:hAnsi="Segoe UI" w:cs="Segoe UI"/>
          <w:color w:val="666666"/>
          <w:sz w:val="20"/>
          <w:szCs w:val="20"/>
        </w:rPr>
        <w:t>11.</w:t>
      </w:r>
      <w:r w:rsidR="0036566F" w:rsidRPr="00872426">
        <w:rPr>
          <w:rFonts w:ascii="Segoe UI" w:eastAsia="Segoe UI" w:hAnsi="Segoe UI" w:cs="Segoe UI"/>
          <w:color w:val="666666"/>
          <w:sz w:val="20"/>
          <w:szCs w:val="20"/>
        </w:rPr>
        <w:t>2</w:t>
      </w:r>
      <w:r w:rsidRPr="0092674A">
        <w:rPr>
          <w:rFonts w:ascii="Segoe UI" w:eastAsia="Segoe UI" w:hAnsi="Segoe UI" w:cs="Segoe UI"/>
          <w:color w:val="666666"/>
          <w:sz w:val="20"/>
          <w:szCs w:val="20"/>
        </w:rPr>
        <w:t xml:space="preserve"> billion and decreased </w:t>
      </w:r>
      <w:r w:rsidR="009A7A72" w:rsidRPr="00872426">
        <w:rPr>
          <w:rFonts w:ascii="Segoe UI" w:eastAsia="Segoe UI" w:hAnsi="Segoe UI" w:cs="Segoe UI"/>
          <w:color w:val="666666"/>
          <w:sz w:val="20"/>
          <w:szCs w:val="20"/>
        </w:rPr>
        <w:t>1</w:t>
      </w:r>
      <w:r w:rsidR="00CA4231" w:rsidRPr="00872426">
        <w:rPr>
          <w:rFonts w:ascii="Segoe UI" w:eastAsia="Segoe UI" w:hAnsi="Segoe UI" w:cs="Segoe UI"/>
          <w:color w:val="666666"/>
          <w:sz w:val="20"/>
          <w:szCs w:val="20"/>
        </w:rPr>
        <w:t>5</w:t>
      </w:r>
      <w:r w:rsidRPr="0092674A">
        <w:rPr>
          <w:rFonts w:ascii="Segoe UI" w:eastAsia="Segoe UI" w:hAnsi="Segoe UI" w:cs="Segoe UI"/>
          <w:color w:val="666666"/>
          <w:sz w:val="20"/>
          <w:szCs w:val="20"/>
        </w:rPr>
        <w:t xml:space="preserve">% GAAP (up </w:t>
      </w:r>
      <w:r w:rsidR="00834A20" w:rsidRPr="00872426">
        <w:rPr>
          <w:rFonts w:ascii="Segoe UI" w:eastAsia="Segoe UI" w:hAnsi="Segoe UI" w:cs="Segoe UI"/>
          <w:color w:val="666666"/>
          <w:sz w:val="20"/>
          <w:szCs w:val="20"/>
        </w:rPr>
        <w:t>5</w:t>
      </w:r>
      <w:r w:rsidRPr="0092674A">
        <w:rPr>
          <w:rFonts w:ascii="Segoe UI" w:eastAsia="Segoe UI" w:hAnsi="Segoe UI" w:cs="Segoe UI"/>
          <w:color w:val="666666"/>
          <w:sz w:val="20"/>
          <w:szCs w:val="20"/>
        </w:rPr>
        <w:t>% non-GAAP)</w:t>
      </w:r>
    </w:p>
    <w:p w14:paraId="3F173E77" w14:textId="22B519B1" w:rsidR="000B5FF3" w:rsidRDefault="000B5FF3" w:rsidP="000B5FF3">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Diluted earnings per share was $</w:t>
      </w:r>
      <w:r w:rsidRPr="00FE5627">
        <w:rPr>
          <w:rFonts w:ascii="Segoe UI" w:eastAsia="Segoe UI" w:hAnsi="Segoe UI" w:cs="Segoe UI"/>
          <w:color w:val="666666"/>
          <w:sz w:val="20"/>
          <w:szCs w:val="20"/>
        </w:rPr>
        <w:t>1.46</w:t>
      </w:r>
      <w:r>
        <w:rPr>
          <w:rFonts w:ascii="Segoe UI" w:eastAsia="Segoe UI" w:hAnsi="Segoe UI" w:cs="Segoe UI"/>
          <w:color w:val="666666"/>
          <w:sz w:val="20"/>
          <w:szCs w:val="20"/>
        </w:rPr>
        <w:t xml:space="preserve"> and </w:t>
      </w:r>
      <w:r w:rsidR="00FD69C7">
        <w:rPr>
          <w:rFonts w:ascii="Segoe UI" w:eastAsia="Segoe UI" w:hAnsi="Segoe UI" w:cs="Segoe UI"/>
          <w:color w:val="666666"/>
          <w:sz w:val="20"/>
          <w:szCs w:val="20"/>
        </w:rPr>
        <w:t>decreased</w:t>
      </w:r>
      <w:r>
        <w:rPr>
          <w:rFonts w:ascii="Segoe UI" w:eastAsia="Segoe UI" w:hAnsi="Segoe UI" w:cs="Segoe UI"/>
          <w:color w:val="666666"/>
          <w:sz w:val="20"/>
          <w:szCs w:val="20"/>
        </w:rPr>
        <w:t xml:space="preserve"> </w:t>
      </w:r>
      <w:r w:rsidR="00CB1F32" w:rsidRPr="00FE5627">
        <w:rPr>
          <w:rFonts w:ascii="Segoe UI" w:eastAsia="Segoe UI" w:hAnsi="Segoe UI" w:cs="Segoe UI"/>
          <w:color w:val="666666"/>
          <w:sz w:val="20"/>
          <w:szCs w:val="20"/>
        </w:rPr>
        <w:t>15</w:t>
      </w:r>
      <w:r>
        <w:rPr>
          <w:rFonts w:ascii="Segoe UI" w:eastAsia="Segoe UI" w:hAnsi="Segoe UI" w:cs="Segoe UI"/>
          <w:color w:val="666666"/>
          <w:sz w:val="20"/>
          <w:szCs w:val="20"/>
        </w:rPr>
        <w:t>%</w:t>
      </w:r>
      <w:r w:rsidR="00D84668">
        <w:rPr>
          <w:rFonts w:ascii="Segoe UI" w:eastAsia="Segoe UI" w:hAnsi="Segoe UI" w:cs="Segoe UI"/>
          <w:color w:val="666666"/>
          <w:sz w:val="20"/>
          <w:szCs w:val="20"/>
        </w:rPr>
        <w:t xml:space="preserve"> GAAP</w:t>
      </w:r>
      <w:r w:rsidR="00FD114A">
        <w:rPr>
          <w:rFonts w:ascii="Segoe UI" w:eastAsia="Segoe UI" w:hAnsi="Segoe UI" w:cs="Segoe UI"/>
          <w:color w:val="666666"/>
          <w:sz w:val="20"/>
          <w:szCs w:val="20"/>
        </w:rPr>
        <w:t xml:space="preserve"> </w:t>
      </w:r>
      <w:r w:rsidR="0092674A">
        <w:rPr>
          <w:rFonts w:ascii="Segoe UI" w:eastAsia="Segoe UI" w:hAnsi="Segoe UI" w:cs="Segoe UI"/>
          <w:color w:val="666666"/>
          <w:sz w:val="20"/>
          <w:szCs w:val="20"/>
        </w:rPr>
        <w:t xml:space="preserve">(up </w:t>
      </w:r>
      <w:r w:rsidR="001F740F" w:rsidRPr="00872426">
        <w:rPr>
          <w:rFonts w:ascii="Segoe UI" w:eastAsia="Segoe UI" w:hAnsi="Segoe UI" w:cs="Segoe UI"/>
          <w:color w:val="666666"/>
          <w:sz w:val="20"/>
          <w:szCs w:val="20"/>
        </w:rPr>
        <w:t>7</w:t>
      </w:r>
      <w:r>
        <w:rPr>
          <w:rFonts w:ascii="Segoe UI" w:eastAsia="Segoe UI" w:hAnsi="Segoe UI" w:cs="Segoe UI"/>
          <w:color w:val="666666"/>
          <w:sz w:val="20"/>
          <w:szCs w:val="20"/>
        </w:rPr>
        <w:t>%</w:t>
      </w:r>
      <w:r w:rsidR="00FD114A">
        <w:rPr>
          <w:rFonts w:ascii="Segoe UI" w:eastAsia="Segoe UI" w:hAnsi="Segoe UI" w:cs="Segoe UI"/>
          <w:color w:val="666666"/>
          <w:sz w:val="20"/>
          <w:szCs w:val="20"/>
        </w:rPr>
        <w:t xml:space="preserve"> non-GAAP</w:t>
      </w:r>
      <w:r w:rsidR="00EF5CBC">
        <w:rPr>
          <w:rFonts w:ascii="Segoe UI" w:eastAsia="Segoe UI" w:hAnsi="Segoe UI" w:cs="Segoe UI"/>
          <w:color w:val="666666"/>
          <w:sz w:val="20"/>
          <w:szCs w:val="20"/>
        </w:rPr>
        <w:t>)</w:t>
      </w:r>
    </w:p>
    <w:p w14:paraId="6F9A0BA8" w14:textId="06315B10" w:rsidR="0028284F" w:rsidRPr="00042092" w:rsidRDefault="006B2ED9" w:rsidP="0028284F">
      <w:pPr>
        <w:pStyle w:val="xmsonormal"/>
        <w:rPr>
          <w:rFonts w:ascii="Segoe UI" w:eastAsia="Segoe UI" w:hAnsi="Segoe UI" w:cs="Segoe UI"/>
          <w:color w:val="666666"/>
          <w:sz w:val="20"/>
          <w:szCs w:val="20"/>
        </w:rPr>
      </w:pPr>
      <w:r w:rsidRPr="00042092">
        <w:rPr>
          <w:rFonts w:ascii="Segoe UI" w:eastAsia="Segoe UI" w:hAnsi="Segoe UI" w:cs="Segoe UI"/>
          <w:color w:val="666666"/>
          <w:sz w:val="20"/>
          <w:szCs w:val="20"/>
        </w:rPr>
        <w:t>“</w:t>
      </w:r>
      <w:r w:rsidR="0028284F" w:rsidRPr="00042092">
        <w:rPr>
          <w:rFonts w:ascii="Segoe UI" w:eastAsia="Segoe UI" w:hAnsi="Segoe UI" w:cs="Segoe UI"/>
          <w:color w:val="666666"/>
          <w:sz w:val="20"/>
          <w:szCs w:val="20"/>
        </w:rPr>
        <w:t xml:space="preserve">The last five months have made </w:t>
      </w:r>
      <w:r w:rsidR="008A5B60" w:rsidRPr="00042092">
        <w:rPr>
          <w:rFonts w:ascii="Segoe UI" w:eastAsia="Segoe UI" w:hAnsi="Segoe UI" w:cs="Segoe UI"/>
          <w:color w:val="666666"/>
          <w:sz w:val="20"/>
          <w:szCs w:val="20"/>
        </w:rPr>
        <w:t xml:space="preserve">it </w:t>
      </w:r>
      <w:r w:rsidR="0028284F" w:rsidRPr="00042092">
        <w:rPr>
          <w:rFonts w:ascii="Segoe UI" w:eastAsia="Segoe UI" w:hAnsi="Segoe UI" w:cs="Segoe UI"/>
          <w:color w:val="666666"/>
          <w:sz w:val="20"/>
          <w:szCs w:val="20"/>
        </w:rPr>
        <w:t>clear that tech intensity is the key to business resilience. Organizations that build their own digital capability will recover faster and emerge from this crisis stronger,</w:t>
      </w:r>
      <w:r w:rsidRPr="00042092">
        <w:rPr>
          <w:rFonts w:ascii="Segoe UI" w:eastAsia="Segoe UI" w:hAnsi="Segoe UI" w:cs="Segoe UI"/>
          <w:color w:val="666666"/>
          <w:sz w:val="20"/>
          <w:szCs w:val="20"/>
        </w:rPr>
        <w:t>”</w:t>
      </w:r>
      <w:r w:rsidR="0028284F" w:rsidRPr="00042092">
        <w:rPr>
          <w:rFonts w:ascii="Segoe UI" w:eastAsia="Segoe UI" w:hAnsi="Segoe UI" w:cs="Segoe UI"/>
          <w:color w:val="666666"/>
          <w:sz w:val="20"/>
          <w:szCs w:val="20"/>
        </w:rPr>
        <w:t xml:space="preserve"> said </w:t>
      </w:r>
      <w:r w:rsidR="00FC7EF5" w:rsidRPr="00042092">
        <w:rPr>
          <w:rFonts w:ascii="Segoe UI" w:eastAsia="Segoe UI" w:hAnsi="Segoe UI" w:cs="Segoe UI"/>
          <w:color w:val="666666"/>
          <w:sz w:val="20"/>
          <w:szCs w:val="20"/>
        </w:rPr>
        <w:t>Satya Nadella, chief executive officer of Microsoft</w:t>
      </w:r>
      <w:r w:rsidR="0028284F" w:rsidRPr="00042092">
        <w:rPr>
          <w:rFonts w:ascii="Segoe UI" w:eastAsia="Segoe UI" w:hAnsi="Segoe UI" w:cs="Segoe UI"/>
          <w:color w:val="666666"/>
          <w:sz w:val="20"/>
          <w:szCs w:val="20"/>
        </w:rPr>
        <w:t xml:space="preserve">. </w:t>
      </w:r>
      <w:r w:rsidR="00DD006D" w:rsidRPr="00042092">
        <w:rPr>
          <w:rFonts w:ascii="Segoe UI" w:eastAsia="Segoe UI" w:hAnsi="Segoe UI" w:cs="Segoe UI"/>
          <w:color w:val="666666"/>
          <w:sz w:val="20"/>
          <w:szCs w:val="20"/>
        </w:rPr>
        <w:t>“</w:t>
      </w:r>
      <w:r w:rsidR="0028284F" w:rsidRPr="00042092">
        <w:rPr>
          <w:rFonts w:ascii="Segoe UI" w:eastAsia="Segoe UI" w:hAnsi="Segoe UI" w:cs="Segoe UI"/>
          <w:color w:val="666666"/>
          <w:sz w:val="20"/>
          <w:szCs w:val="20"/>
        </w:rPr>
        <w:t>We are the only company with an integrated, modern technology stack – powered by cloud and AI and underpinned by security and compliance –  to help every organization transform and reimagine how they meet customer needs.</w:t>
      </w:r>
      <w:r w:rsidR="00DD006D" w:rsidRPr="00042092">
        <w:rPr>
          <w:rFonts w:ascii="Segoe UI" w:eastAsia="Segoe UI" w:hAnsi="Segoe UI" w:cs="Segoe UI"/>
          <w:color w:val="666666"/>
          <w:sz w:val="20"/>
          <w:szCs w:val="20"/>
        </w:rPr>
        <w:t>”</w:t>
      </w:r>
    </w:p>
    <w:p w14:paraId="50654195" w14:textId="77777777" w:rsidR="00FC7EF5" w:rsidRPr="0028284F" w:rsidRDefault="00FC7EF5" w:rsidP="0028284F">
      <w:pPr>
        <w:pStyle w:val="xmsonormal"/>
        <w:rPr>
          <w:rFonts w:ascii="Segoe UI" w:eastAsia="Times New Roman" w:hAnsi="Segoe UI" w:cs="Segoe UI"/>
          <w:color w:val="666666"/>
          <w:sz w:val="20"/>
          <w:szCs w:val="20"/>
        </w:rPr>
      </w:pPr>
    </w:p>
    <w:p w14:paraId="7B413EE1" w14:textId="2440AB2C" w:rsidR="00FC7EF5" w:rsidRPr="00FC7EF5" w:rsidRDefault="00FC7EF5" w:rsidP="00FC7EF5">
      <w:pPr>
        <w:rPr>
          <w:rFonts w:ascii="Segoe UI" w:eastAsia="Segoe UI" w:hAnsi="Segoe UI" w:cs="Segoe UI"/>
          <w:color w:val="666666"/>
          <w:sz w:val="20"/>
          <w:szCs w:val="20"/>
        </w:rPr>
      </w:pPr>
      <w:r w:rsidRPr="00FC7EF5">
        <w:rPr>
          <w:rFonts w:ascii="Segoe UI" w:eastAsia="Segoe UI" w:hAnsi="Segoe UI" w:cs="Segoe UI"/>
          <w:color w:val="666666"/>
          <w:sz w:val="20"/>
          <w:szCs w:val="20"/>
        </w:rPr>
        <w:t>“Our commercial cloud surpassed $50 billion in annual revenue for the first time this year. And this quarter our Commercial bookings were better than expected, growing 12% year-over-year,” said Amy Hood, executive vice president and chief financial officer of Microsoft. “As we drive growth across the company, we remain committed to investing in long-term strategic opportunities.”</w:t>
      </w:r>
    </w:p>
    <w:p w14:paraId="5A35CD43" w14:textId="77777777" w:rsidR="00C7044F" w:rsidRPr="00CD7DB9" w:rsidRDefault="00C7044F" w:rsidP="0097272D">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The following table reconciles our financial results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pPr w:leftFromText="180" w:rightFromText="180" w:vertAnchor="text" w:tblpY="1"/>
        <w:tblOverlap w:val="neve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950"/>
        <w:gridCol w:w="1098"/>
        <w:gridCol w:w="1152"/>
        <w:gridCol w:w="1152"/>
        <w:gridCol w:w="576"/>
        <w:gridCol w:w="576"/>
      </w:tblGrid>
      <w:tr w:rsidR="00C7044F" w:rsidRPr="00243400" w14:paraId="1CF76E52" w14:textId="77777777" w:rsidTr="0081061F">
        <w:trPr>
          <w:gridAfter w:val="1"/>
          <w:wAfter w:w="576" w:type="dxa"/>
          <w:trHeight w:val="340"/>
        </w:trPr>
        <w:tc>
          <w:tcPr>
            <w:tcW w:w="4950" w:type="dxa"/>
            <w:tcBorders>
              <w:top w:val="nil"/>
            </w:tcBorders>
          </w:tcPr>
          <w:p w14:paraId="5D105CF4" w14:textId="77777777" w:rsidR="00C7044F" w:rsidRPr="00243400" w:rsidRDefault="00C7044F" w:rsidP="0081061F">
            <w:pPr>
              <w:spacing w:after="0"/>
              <w:rPr>
                <w:rFonts w:ascii="Segoe UI" w:eastAsia="Times New Roman" w:hAnsi="Segoe UI" w:cs="Segoe UI"/>
                <w:color w:val="666666"/>
                <w:sz w:val="16"/>
                <w:szCs w:val="16"/>
              </w:rPr>
            </w:pPr>
          </w:p>
        </w:tc>
        <w:tc>
          <w:tcPr>
            <w:tcW w:w="3978" w:type="dxa"/>
            <w:gridSpan w:val="4"/>
            <w:tcBorders>
              <w:top w:val="nil"/>
            </w:tcBorders>
          </w:tcPr>
          <w:p w14:paraId="57CADFC5" w14:textId="77777777" w:rsidR="00C7044F" w:rsidRPr="00243400" w:rsidRDefault="00C7044F" w:rsidP="0081061F">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C7044F" w:rsidRPr="00243400" w14:paraId="71DB7CF5" w14:textId="77777777" w:rsidTr="0081061F">
        <w:trPr>
          <w:trHeight w:val="365"/>
        </w:trPr>
        <w:tc>
          <w:tcPr>
            <w:tcW w:w="4950" w:type="dxa"/>
            <w:tcBorders>
              <w:top w:val="single" w:sz="8" w:space="0" w:color="auto"/>
              <w:bottom w:val="single" w:sz="8" w:space="0" w:color="auto"/>
            </w:tcBorders>
            <w:vAlign w:val="bottom"/>
            <w:hideMark/>
          </w:tcPr>
          <w:p w14:paraId="5B500CE4" w14:textId="77777777" w:rsidR="00C7044F" w:rsidRPr="00243400" w:rsidRDefault="00C7044F" w:rsidP="0081061F">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098" w:type="dxa"/>
            <w:tcBorders>
              <w:top w:val="single" w:sz="8" w:space="0" w:color="auto"/>
              <w:bottom w:val="single" w:sz="8" w:space="0" w:color="auto"/>
            </w:tcBorders>
            <w:vAlign w:val="bottom"/>
          </w:tcPr>
          <w:p w14:paraId="290B5D26" w14:textId="77777777" w:rsidR="00C7044F" w:rsidRPr="00243400" w:rsidRDefault="00C7044F" w:rsidP="0081061F">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340137DF" w14:textId="77777777" w:rsidR="00C7044F" w:rsidRPr="00243400" w:rsidRDefault="00C7044F" w:rsidP="0081061F">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2DC94147" w14:textId="1F54BAB0" w:rsidR="00C7044F" w:rsidRPr="00243400" w:rsidRDefault="00C7044F" w:rsidP="0081061F">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152" w:type="dxa"/>
            <w:gridSpan w:val="2"/>
            <w:tcBorders>
              <w:top w:val="single" w:sz="8" w:space="0" w:color="auto"/>
              <w:bottom w:val="single" w:sz="8" w:space="0" w:color="auto"/>
            </w:tcBorders>
            <w:vAlign w:val="bottom"/>
          </w:tcPr>
          <w:p w14:paraId="1CD9FD6A" w14:textId="43B7C311" w:rsidR="00C7044F" w:rsidRPr="00243400" w:rsidRDefault="00C7044F" w:rsidP="0081061F">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C7044F" w:rsidRPr="00243400" w14:paraId="75CBC20D" w14:textId="77777777" w:rsidTr="0081061F">
        <w:trPr>
          <w:trHeight w:val="288"/>
        </w:trPr>
        <w:tc>
          <w:tcPr>
            <w:tcW w:w="4950" w:type="dxa"/>
            <w:tcBorders>
              <w:top w:val="single" w:sz="8" w:space="0" w:color="auto"/>
            </w:tcBorders>
            <w:noWrap/>
            <w:vAlign w:val="center"/>
          </w:tcPr>
          <w:p w14:paraId="0C55BEB7" w14:textId="0705CA42" w:rsidR="00C7044F" w:rsidRPr="00243400" w:rsidRDefault="00C7044F" w:rsidP="0081061F">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201</w:t>
            </w:r>
            <w:r w:rsidR="00856DFE">
              <w:rPr>
                <w:rFonts w:ascii="Segoe UI" w:eastAsia="Times New Roman" w:hAnsi="Segoe UI" w:cs="Segoe UI"/>
                <w:b/>
                <w:bCs/>
                <w:color w:val="666666"/>
                <w:sz w:val="16"/>
                <w:szCs w:val="16"/>
              </w:rPr>
              <w:t>9</w:t>
            </w:r>
            <w:r w:rsidRPr="6387FE86">
              <w:rPr>
                <w:rFonts w:ascii="Segoe UI" w:eastAsia="Times New Roman" w:hAnsi="Segoe UI" w:cs="Segoe UI"/>
                <w:b/>
                <w:bCs/>
                <w:color w:val="666666"/>
                <w:sz w:val="16"/>
                <w:szCs w:val="16"/>
              </w:rPr>
              <w:t xml:space="preserve"> As Reported (GAAP)</w:t>
            </w:r>
          </w:p>
        </w:tc>
        <w:tc>
          <w:tcPr>
            <w:tcW w:w="1098" w:type="dxa"/>
            <w:tcBorders>
              <w:top w:val="single" w:sz="8" w:space="0" w:color="auto"/>
            </w:tcBorders>
            <w:vAlign w:val="center"/>
          </w:tcPr>
          <w:p w14:paraId="508221C2" w14:textId="553FE0B5" w:rsidR="00C7044F" w:rsidRPr="00243400" w:rsidRDefault="00C7044F" w:rsidP="0081061F">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006E0D22">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w:t>
            </w:r>
            <w:r w:rsidR="006E0D22">
              <w:rPr>
                <w:rFonts w:ascii="Segoe UI" w:eastAsia="Times New Roman" w:hAnsi="Segoe UI" w:cs="Segoe UI"/>
                <w:b/>
                <w:bCs/>
                <w:color w:val="666666"/>
                <w:sz w:val="16"/>
                <w:szCs w:val="16"/>
              </w:rPr>
              <w:t>717</w:t>
            </w:r>
          </w:p>
        </w:tc>
        <w:tc>
          <w:tcPr>
            <w:tcW w:w="1152" w:type="dxa"/>
            <w:tcBorders>
              <w:top w:val="single" w:sz="8" w:space="0" w:color="auto"/>
            </w:tcBorders>
            <w:vAlign w:val="center"/>
          </w:tcPr>
          <w:p w14:paraId="2B5600EB" w14:textId="0A6F07E0" w:rsidR="00C7044F" w:rsidRPr="00243400" w:rsidRDefault="00C7044F" w:rsidP="0081061F">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6E0D22">
              <w:rPr>
                <w:rFonts w:ascii="Segoe UI" w:eastAsia="Times New Roman" w:hAnsi="Segoe UI" w:cs="Segoe UI"/>
                <w:b/>
                <w:bCs/>
                <w:color w:val="666666"/>
                <w:sz w:val="16"/>
                <w:szCs w:val="16"/>
              </w:rPr>
              <w:t>12</w:t>
            </w:r>
            <w:r>
              <w:rPr>
                <w:rFonts w:ascii="Segoe UI" w:eastAsia="Times New Roman" w:hAnsi="Segoe UI" w:cs="Segoe UI"/>
                <w:b/>
                <w:bCs/>
                <w:color w:val="666666"/>
                <w:sz w:val="16"/>
                <w:szCs w:val="16"/>
              </w:rPr>
              <w:t>,</w:t>
            </w:r>
            <w:r w:rsidR="006E0D22">
              <w:rPr>
                <w:rFonts w:ascii="Segoe UI" w:eastAsia="Times New Roman" w:hAnsi="Segoe UI" w:cs="Segoe UI"/>
                <w:b/>
                <w:bCs/>
                <w:color w:val="666666"/>
                <w:sz w:val="16"/>
                <w:szCs w:val="16"/>
              </w:rPr>
              <w:t>405</w:t>
            </w:r>
          </w:p>
        </w:tc>
        <w:tc>
          <w:tcPr>
            <w:tcW w:w="1152" w:type="dxa"/>
            <w:tcBorders>
              <w:top w:val="single" w:sz="8" w:space="0" w:color="auto"/>
            </w:tcBorders>
            <w:vAlign w:val="center"/>
          </w:tcPr>
          <w:p w14:paraId="1D6E115D" w14:textId="6647AFDE" w:rsidR="00C7044F" w:rsidRPr="00243400" w:rsidRDefault="00C7044F" w:rsidP="0081061F">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6E0D22">
              <w:rPr>
                <w:rFonts w:ascii="Segoe UI" w:eastAsia="Times New Roman" w:hAnsi="Segoe UI" w:cs="Segoe UI"/>
                <w:b/>
                <w:bCs/>
                <w:color w:val="666666"/>
                <w:sz w:val="16"/>
                <w:szCs w:val="16"/>
              </w:rPr>
              <w:t>13</w:t>
            </w:r>
            <w:r>
              <w:rPr>
                <w:rFonts w:ascii="Segoe UI" w:eastAsia="Times New Roman" w:hAnsi="Segoe UI" w:cs="Segoe UI"/>
                <w:b/>
                <w:bCs/>
                <w:color w:val="666666"/>
                <w:sz w:val="16"/>
                <w:szCs w:val="16"/>
              </w:rPr>
              <w:t>,</w:t>
            </w:r>
            <w:r w:rsidR="006E0D22">
              <w:rPr>
                <w:rFonts w:ascii="Segoe UI" w:eastAsia="Times New Roman" w:hAnsi="Segoe UI" w:cs="Segoe UI"/>
                <w:b/>
                <w:bCs/>
                <w:color w:val="666666"/>
                <w:sz w:val="16"/>
                <w:szCs w:val="16"/>
              </w:rPr>
              <w:t>187</w:t>
            </w:r>
            <w:r w:rsidRPr="0004742E">
              <w:rPr>
                <w:rFonts w:ascii="Segoe UI" w:eastAsia="Times New Roman" w:hAnsi="Segoe UI" w:cs="Segoe UI"/>
                <w:b/>
                <w:bCs/>
                <w:color w:val="FFFFFF" w:themeColor="background1"/>
                <w:sz w:val="16"/>
                <w:szCs w:val="16"/>
              </w:rPr>
              <w:t>_</w:t>
            </w:r>
          </w:p>
        </w:tc>
        <w:tc>
          <w:tcPr>
            <w:tcW w:w="1152" w:type="dxa"/>
            <w:gridSpan w:val="2"/>
            <w:tcBorders>
              <w:top w:val="single" w:sz="8" w:space="0" w:color="auto"/>
            </w:tcBorders>
            <w:vAlign w:val="center"/>
          </w:tcPr>
          <w:p w14:paraId="229CD608" w14:textId="337FB96E" w:rsidR="00C7044F" w:rsidRPr="00243400" w:rsidRDefault="00C7044F" w:rsidP="0081061F">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6E0D22">
              <w:rPr>
                <w:rFonts w:ascii="Segoe UI" w:eastAsia="Times New Roman" w:hAnsi="Segoe UI" w:cs="Segoe UI"/>
                <w:b/>
                <w:bCs/>
                <w:color w:val="666666"/>
                <w:sz w:val="16"/>
                <w:szCs w:val="16"/>
              </w:rPr>
              <w:t>71</w:t>
            </w:r>
            <w:r w:rsidRPr="0004742E">
              <w:rPr>
                <w:rFonts w:ascii="Segoe UI" w:eastAsia="Times New Roman" w:hAnsi="Segoe UI" w:cs="Segoe UI"/>
                <w:b/>
                <w:bCs/>
                <w:color w:val="FFFFFF" w:themeColor="background1"/>
                <w:sz w:val="16"/>
                <w:szCs w:val="16"/>
              </w:rPr>
              <w:t>_</w:t>
            </w:r>
          </w:p>
        </w:tc>
      </w:tr>
      <w:tr w:rsidR="00DF07BB" w:rsidRPr="00243400" w14:paraId="128AA1B9" w14:textId="77777777" w:rsidTr="0081061F">
        <w:trPr>
          <w:trHeight w:val="288"/>
        </w:trPr>
        <w:tc>
          <w:tcPr>
            <w:tcW w:w="4950" w:type="dxa"/>
            <w:noWrap/>
            <w:vAlign w:val="center"/>
          </w:tcPr>
          <w:p w14:paraId="24E06210" w14:textId="37451EDC" w:rsidR="00DF07BB" w:rsidRPr="6387FE86" w:rsidRDefault="00DF07BB" w:rsidP="0081061F">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  </w:t>
            </w:r>
            <w:r w:rsidR="006E0D22">
              <w:rPr>
                <w:rFonts w:ascii="Segoe UI" w:eastAsia="Times New Roman" w:hAnsi="Segoe UI" w:cs="Segoe UI"/>
                <w:color w:val="666666"/>
                <w:sz w:val="16"/>
                <w:szCs w:val="16"/>
              </w:rPr>
              <w:t xml:space="preserve">Net Tax Impact of </w:t>
            </w:r>
            <w:r w:rsidR="006E0D22" w:rsidRPr="00523558">
              <w:rPr>
                <w:rFonts w:ascii="Segoe UI" w:eastAsia="Times New Roman" w:hAnsi="Segoe UI" w:cs="Segoe UI"/>
                <w:color w:val="666666"/>
                <w:sz w:val="16"/>
                <w:szCs w:val="16"/>
              </w:rPr>
              <w:t>Transfer of Intangible Properties</w:t>
            </w:r>
          </w:p>
        </w:tc>
        <w:tc>
          <w:tcPr>
            <w:tcW w:w="1098" w:type="dxa"/>
            <w:vAlign w:val="center"/>
          </w:tcPr>
          <w:p w14:paraId="4F1EC4AC" w14:textId="744C4441" w:rsidR="00DF07BB" w:rsidRPr="6387FE86" w:rsidRDefault="00DF07BB" w:rsidP="0081061F">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6A6BD18C" w14:textId="2CE35FAF" w:rsidR="00DF07BB" w:rsidRPr="6387FE86" w:rsidRDefault="00DF07BB" w:rsidP="0081061F">
            <w:pPr>
              <w:spacing w:after="0"/>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4552EA9C" w14:textId="5981DEA8" w:rsidR="00DF07BB" w:rsidRPr="6387FE86" w:rsidRDefault="00DF07BB" w:rsidP="0081061F">
            <w:pPr>
              <w:spacing w:after="0"/>
              <w:jc w:val="right"/>
              <w:rPr>
                <w:rFonts w:ascii="Segoe UI" w:eastAsia="Times New Roman" w:hAnsi="Segoe UI" w:cs="Segoe UI"/>
                <w:b/>
                <w:bCs/>
                <w:color w:val="666666"/>
                <w:sz w:val="16"/>
                <w:szCs w:val="16"/>
              </w:rPr>
            </w:pPr>
            <w:r w:rsidRPr="00167337">
              <w:rPr>
                <w:rFonts w:ascii="Segoe UI" w:eastAsia="Times New Roman" w:hAnsi="Segoe UI" w:cs="Segoe UI"/>
                <w:bCs/>
                <w:color w:val="666666"/>
                <w:sz w:val="16"/>
                <w:szCs w:val="16"/>
              </w:rPr>
              <w:t>(</w:t>
            </w:r>
            <w:r w:rsidR="00282850">
              <w:rPr>
                <w:rFonts w:ascii="Segoe UI" w:eastAsia="Times New Roman" w:hAnsi="Segoe UI" w:cs="Segoe UI"/>
                <w:bCs/>
                <w:color w:val="666666"/>
                <w:sz w:val="16"/>
                <w:szCs w:val="16"/>
              </w:rPr>
              <w:t>2,567</w:t>
            </w:r>
            <w:r w:rsidRPr="00167337">
              <w:rPr>
                <w:rFonts w:ascii="Segoe UI" w:eastAsia="Times New Roman" w:hAnsi="Segoe UI" w:cs="Segoe UI"/>
                <w:bCs/>
                <w:color w:val="666666"/>
                <w:sz w:val="16"/>
                <w:szCs w:val="16"/>
              </w:rPr>
              <w:t>)</w:t>
            </w:r>
          </w:p>
        </w:tc>
        <w:tc>
          <w:tcPr>
            <w:tcW w:w="1152" w:type="dxa"/>
            <w:gridSpan w:val="2"/>
            <w:vAlign w:val="center"/>
          </w:tcPr>
          <w:p w14:paraId="18FF3B17" w14:textId="3BF33950" w:rsidR="00DF07BB" w:rsidRPr="6387FE86" w:rsidRDefault="00DF07BB" w:rsidP="0081061F">
            <w:pPr>
              <w:spacing w:after="0"/>
              <w:jc w:val="right"/>
              <w:rPr>
                <w:rFonts w:ascii="Segoe UI" w:eastAsia="Times New Roman" w:hAnsi="Segoe UI" w:cs="Segoe UI"/>
                <w:b/>
                <w:bCs/>
                <w:color w:val="666666"/>
                <w:sz w:val="16"/>
                <w:szCs w:val="16"/>
              </w:rPr>
            </w:pPr>
            <w:r>
              <w:rPr>
                <w:rFonts w:ascii="Segoe UI" w:eastAsia="Times New Roman" w:hAnsi="Segoe UI" w:cs="Segoe UI"/>
                <w:color w:val="666666"/>
                <w:sz w:val="16"/>
                <w:szCs w:val="16"/>
              </w:rPr>
              <w:t>(0.</w:t>
            </w:r>
            <w:r w:rsidR="00282850">
              <w:rPr>
                <w:rFonts w:ascii="Segoe UI" w:eastAsia="Times New Roman" w:hAnsi="Segoe UI" w:cs="Segoe UI"/>
                <w:color w:val="666666"/>
                <w:sz w:val="16"/>
                <w:szCs w:val="16"/>
              </w:rPr>
              <w:t>34</w:t>
            </w:r>
            <w:r>
              <w:rPr>
                <w:rFonts w:ascii="Segoe UI" w:eastAsia="Times New Roman" w:hAnsi="Segoe UI" w:cs="Segoe UI"/>
                <w:color w:val="666666"/>
                <w:sz w:val="16"/>
                <w:szCs w:val="16"/>
              </w:rPr>
              <w:t>)</w:t>
            </w:r>
          </w:p>
        </w:tc>
      </w:tr>
      <w:tr w:rsidR="00DF07BB" w:rsidRPr="00243400" w14:paraId="467575B5" w14:textId="77777777" w:rsidTr="0081061F">
        <w:trPr>
          <w:trHeight w:val="288"/>
        </w:trPr>
        <w:tc>
          <w:tcPr>
            <w:tcW w:w="4950" w:type="dxa"/>
            <w:noWrap/>
            <w:vAlign w:val="center"/>
          </w:tcPr>
          <w:p w14:paraId="6B6AEACE" w14:textId="5D01C31E" w:rsidR="00DF07BB" w:rsidRPr="00243400" w:rsidRDefault="00DF07BB" w:rsidP="0081061F">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201</w:t>
            </w:r>
            <w:r w:rsidR="000A02BA">
              <w:rPr>
                <w:rFonts w:ascii="Segoe UI" w:eastAsia="Times New Roman" w:hAnsi="Segoe UI" w:cs="Segoe UI"/>
                <w:b/>
                <w:bCs/>
                <w:color w:val="666666"/>
                <w:sz w:val="16"/>
                <w:szCs w:val="16"/>
              </w:rPr>
              <w:t>9</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098" w:type="dxa"/>
            <w:vAlign w:val="center"/>
          </w:tcPr>
          <w:p w14:paraId="7FBECE4D" w14:textId="68FEBE08" w:rsidR="00DF07BB" w:rsidRPr="00243400" w:rsidRDefault="00DF07BB" w:rsidP="0081061F">
            <w:pPr>
              <w:spacing w:after="0"/>
              <w:ind w:firstLine="82"/>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$3</w:t>
            </w:r>
            <w:r w:rsidR="00282850">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w:t>
            </w:r>
            <w:r w:rsidR="00282850">
              <w:rPr>
                <w:rFonts w:ascii="Segoe UI" w:eastAsia="Times New Roman" w:hAnsi="Segoe UI" w:cs="Segoe UI"/>
                <w:b/>
                <w:bCs/>
                <w:color w:val="666666"/>
                <w:sz w:val="16"/>
                <w:szCs w:val="16"/>
              </w:rPr>
              <w:t>717</w:t>
            </w:r>
          </w:p>
        </w:tc>
        <w:tc>
          <w:tcPr>
            <w:tcW w:w="1152" w:type="dxa"/>
            <w:vAlign w:val="center"/>
          </w:tcPr>
          <w:p w14:paraId="55FD6EB6" w14:textId="513C3B68" w:rsidR="00DF07BB" w:rsidRPr="00243400" w:rsidRDefault="00DF07BB" w:rsidP="0081061F">
            <w:pPr>
              <w:spacing w:after="0"/>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$1</w:t>
            </w:r>
            <w:r w:rsidR="000A02BA">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w:t>
            </w:r>
            <w:r w:rsidR="000A02BA">
              <w:rPr>
                <w:rFonts w:ascii="Segoe UI" w:eastAsia="Times New Roman" w:hAnsi="Segoe UI" w:cs="Segoe UI"/>
                <w:b/>
                <w:bCs/>
                <w:color w:val="666666"/>
                <w:sz w:val="16"/>
                <w:szCs w:val="16"/>
              </w:rPr>
              <w:t>405</w:t>
            </w:r>
          </w:p>
        </w:tc>
        <w:tc>
          <w:tcPr>
            <w:tcW w:w="1152" w:type="dxa"/>
            <w:vAlign w:val="center"/>
          </w:tcPr>
          <w:p w14:paraId="768D1701" w14:textId="7AEC623E" w:rsidR="00DF07BB" w:rsidRPr="000D65E7" w:rsidRDefault="00DF07BB" w:rsidP="0081061F">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r w:rsidR="000A02BA">
              <w:rPr>
                <w:rFonts w:ascii="Segoe UI" w:eastAsia="Times New Roman" w:hAnsi="Segoe UI" w:cs="Segoe UI"/>
                <w:b/>
                <w:bCs/>
                <w:color w:val="666666"/>
                <w:sz w:val="16"/>
                <w:szCs w:val="16"/>
              </w:rPr>
              <w:t>10</w:t>
            </w:r>
            <w:r>
              <w:rPr>
                <w:rFonts w:ascii="Segoe UI" w:eastAsia="Times New Roman" w:hAnsi="Segoe UI" w:cs="Segoe UI"/>
                <w:b/>
                <w:bCs/>
                <w:color w:val="666666"/>
                <w:sz w:val="16"/>
                <w:szCs w:val="16"/>
              </w:rPr>
              <w:t>,</w:t>
            </w:r>
            <w:r w:rsidR="000A02BA">
              <w:rPr>
                <w:rFonts w:ascii="Segoe UI" w:eastAsia="Times New Roman" w:hAnsi="Segoe UI" w:cs="Segoe UI"/>
                <w:b/>
                <w:bCs/>
                <w:color w:val="666666"/>
                <w:sz w:val="16"/>
                <w:szCs w:val="16"/>
              </w:rPr>
              <w:t>620</w:t>
            </w:r>
            <w:r w:rsidR="00AD384D">
              <w:rPr>
                <w:rFonts w:ascii="Segoe UI" w:eastAsia="Times New Roman" w:hAnsi="Segoe UI" w:cs="Segoe UI"/>
                <w:b/>
                <w:bCs/>
                <w:color w:val="FFFFFF" w:themeColor="background1"/>
                <w:sz w:val="16"/>
                <w:szCs w:val="16"/>
              </w:rPr>
              <w:t>_</w:t>
            </w:r>
          </w:p>
        </w:tc>
        <w:tc>
          <w:tcPr>
            <w:tcW w:w="1152" w:type="dxa"/>
            <w:gridSpan w:val="2"/>
            <w:vAlign w:val="center"/>
          </w:tcPr>
          <w:p w14:paraId="1DB867DE" w14:textId="14D384B5" w:rsidR="00DF07BB" w:rsidRPr="000D65E7" w:rsidRDefault="00DF07BB" w:rsidP="0081061F">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0A02BA">
              <w:rPr>
                <w:rFonts w:ascii="Segoe UI" w:eastAsia="Times New Roman" w:hAnsi="Segoe UI" w:cs="Segoe UI"/>
                <w:b/>
                <w:bCs/>
                <w:color w:val="666666"/>
                <w:sz w:val="16"/>
                <w:szCs w:val="16"/>
              </w:rPr>
              <w:t>37</w:t>
            </w:r>
            <w:r w:rsidRPr="0004742E">
              <w:rPr>
                <w:rFonts w:ascii="Segoe UI" w:eastAsia="Times New Roman" w:hAnsi="Segoe UI" w:cs="Segoe UI"/>
                <w:b/>
                <w:bCs/>
                <w:color w:val="FFFFFF" w:themeColor="background1"/>
                <w:sz w:val="16"/>
                <w:szCs w:val="16"/>
              </w:rPr>
              <w:t>_</w:t>
            </w:r>
          </w:p>
        </w:tc>
      </w:tr>
      <w:tr w:rsidR="00DF07BB" w:rsidRPr="00243400" w14:paraId="298DDCAD" w14:textId="77777777" w:rsidTr="0081061F">
        <w:trPr>
          <w:trHeight w:val="288"/>
        </w:trPr>
        <w:tc>
          <w:tcPr>
            <w:tcW w:w="4950" w:type="dxa"/>
            <w:tcBorders>
              <w:bottom w:val="single" w:sz="4" w:space="0" w:color="auto"/>
            </w:tcBorders>
            <w:noWrap/>
            <w:vAlign w:val="center"/>
          </w:tcPr>
          <w:p w14:paraId="2331743A" w14:textId="20C6410C" w:rsidR="00DF07BB" w:rsidRPr="00243400" w:rsidRDefault="00DF07BB" w:rsidP="0081061F">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sidR="000A02BA">
              <w:rPr>
                <w:rFonts w:ascii="Segoe UI" w:eastAsia="Times New Roman" w:hAnsi="Segoe UI" w:cs="Segoe UI"/>
                <w:b/>
                <w:bCs/>
                <w:color w:val="666666"/>
                <w:sz w:val="16"/>
                <w:szCs w:val="16"/>
              </w:rPr>
              <w:t>20</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098" w:type="dxa"/>
            <w:tcBorders>
              <w:bottom w:val="single" w:sz="4" w:space="0" w:color="auto"/>
            </w:tcBorders>
            <w:vAlign w:val="center"/>
          </w:tcPr>
          <w:p w14:paraId="3B4495E2" w14:textId="0AC8F7F0" w:rsidR="00DF07BB" w:rsidRPr="00BD75D0" w:rsidRDefault="00DF07BB" w:rsidP="0081061F">
            <w:pPr>
              <w:spacing w:after="0"/>
              <w:ind w:firstLine="82"/>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9F3289" w:rsidRPr="00BD75D0">
              <w:rPr>
                <w:rFonts w:ascii="Segoe UI" w:eastAsia="Times New Roman" w:hAnsi="Segoe UI" w:cs="Segoe UI"/>
                <w:b/>
                <w:bCs/>
                <w:color w:val="666666"/>
                <w:sz w:val="16"/>
                <w:szCs w:val="16"/>
              </w:rPr>
              <w:t>38,033</w:t>
            </w:r>
          </w:p>
        </w:tc>
        <w:tc>
          <w:tcPr>
            <w:tcW w:w="1152" w:type="dxa"/>
            <w:tcBorders>
              <w:bottom w:val="single" w:sz="4" w:space="0" w:color="auto"/>
            </w:tcBorders>
            <w:vAlign w:val="center"/>
          </w:tcPr>
          <w:p w14:paraId="5136DD83" w14:textId="2E24E8BE" w:rsidR="00DF07BB" w:rsidRPr="00BD75D0" w:rsidRDefault="00DF07BB" w:rsidP="0081061F">
            <w:pPr>
              <w:spacing w:after="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3F0C46" w:rsidRPr="00BD75D0">
              <w:rPr>
                <w:rFonts w:ascii="Segoe UI" w:eastAsia="Times New Roman" w:hAnsi="Segoe UI" w:cs="Segoe UI"/>
                <w:b/>
                <w:bCs/>
                <w:color w:val="666666"/>
                <w:sz w:val="16"/>
                <w:szCs w:val="16"/>
              </w:rPr>
              <w:t>13,</w:t>
            </w:r>
            <w:r w:rsidR="009E7FB4" w:rsidRPr="005C49C2">
              <w:rPr>
                <w:rFonts w:ascii="Segoe UI" w:eastAsia="Times New Roman" w:hAnsi="Segoe UI" w:cs="Segoe UI"/>
                <w:b/>
                <w:bCs/>
                <w:color w:val="666666"/>
                <w:sz w:val="16"/>
                <w:szCs w:val="16"/>
              </w:rPr>
              <w:t>40</w:t>
            </w:r>
            <w:r w:rsidR="005C49C2" w:rsidRPr="005C49C2">
              <w:rPr>
                <w:rFonts w:ascii="Segoe UI" w:eastAsia="Times New Roman" w:hAnsi="Segoe UI" w:cs="Segoe UI"/>
                <w:b/>
                <w:bCs/>
                <w:color w:val="666666"/>
                <w:sz w:val="16"/>
                <w:szCs w:val="16"/>
              </w:rPr>
              <w:t>7</w:t>
            </w:r>
          </w:p>
        </w:tc>
        <w:tc>
          <w:tcPr>
            <w:tcW w:w="1152" w:type="dxa"/>
            <w:tcBorders>
              <w:bottom w:val="single" w:sz="4" w:space="0" w:color="auto"/>
            </w:tcBorders>
            <w:vAlign w:val="center"/>
          </w:tcPr>
          <w:p w14:paraId="40DCBF56" w14:textId="3CAA195A" w:rsidR="00DF07BB" w:rsidRPr="00BD75D0" w:rsidRDefault="00DF07BB" w:rsidP="0081061F">
            <w:pPr>
              <w:spacing w:after="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3F0C46" w:rsidRPr="00BD75D0">
              <w:rPr>
                <w:rFonts w:ascii="Segoe UI" w:eastAsia="Times New Roman" w:hAnsi="Segoe UI" w:cs="Segoe UI"/>
                <w:b/>
                <w:bCs/>
                <w:color w:val="666666"/>
                <w:sz w:val="16"/>
                <w:szCs w:val="16"/>
              </w:rPr>
              <w:t>11,</w:t>
            </w:r>
            <w:r w:rsidR="008F55A2" w:rsidRPr="008C75A6">
              <w:rPr>
                <w:rFonts w:ascii="Segoe UI" w:eastAsia="Times New Roman" w:hAnsi="Segoe UI" w:cs="Segoe UI"/>
                <w:b/>
                <w:color w:val="666666"/>
                <w:sz w:val="16"/>
                <w:szCs w:val="16"/>
              </w:rPr>
              <w:t>202</w:t>
            </w:r>
            <w:r w:rsidR="00BD75D0">
              <w:rPr>
                <w:rFonts w:ascii="Segoe UI" w:eastAsia="Times New Roman" w:hAnsi="Segoe UI" w:cs="Segoe UI"/>
                <w:b/>
                <w:color w:val="FFFFFF" w:themeColor="background1"/>
                <w:sz w:val="16"/>
                <w:szCs w:val="16"/>
              </w:rPr>
              <w:t>_</w:t>
            </w:r>
          </w:p>
        </w:tc>
        <w:tc>
          <w:tcPr>
            <w:tcW w:w="1152" w:type="dxa"/>
            <w:gridSpan w:val="2"/>
            <w:tcBorders>
              <w:bottom w:val="single" w:sz="4" w:space="0" w:color="auto"/>
            </w:tcBorders>
            <w:vAlign w:val="center"/>
          </w:tcPr>
          <w:p w14:paraId="6FA50A6D" w14:textId="38DBF399" w:rsidR="00DF07BB" w:rsidRPr="00BD75D0" w:rsidRDefault="00DF07BB" w:rsidP="0081061F">
            <w:pPr>
              <w:spacing w:after="0"/>
              <w:jc w:val="right"/>
              <w:rPr>
                <w:rFonts w:ascii="Segoe UI" w:eastAsia="Times New Roman" w:hAnsi="Segoe UI" w:cs="Segoe UI"/>
                <w:b/>
                <w:bCs/>
                <w:color w:val="666666"/>
                <w:sz w:val="16"/>
                <w:szCs w:val="16"/>
              </w:rPr>
            </w:pPr>
            <w:r w:rsidRPr="00BD75D0">
              <w:rPr>
                <w:rFonts w:ascii="Segoe UI" w:eastAsia="Times New Roman" w:hAnsi="Segoe UI" w:cs="Segoe UI"/>
                <w:b/>
                <w:bCs/>
                <w:color w:val="666666"/>
                <w:sz w:val="16"/>
                <w:szCs w:val="16"/>
              </w:rPr>
              <w:t>$</w:t>
            </w:r>
            <w:r w:rsidR="003F0C46" w:rsidRPr="00BD75D0">
              <w:rPr>
                <w:rFonts w:ascii="Segoe UI" w:eastAsia="Times New Roman" w:hAnsi="Segoe UI" w:cs="Segoe UI"/>
                <w:b/>
                <w:bCs/>
                <w:color w:val="666666"/>
                <w:sz w:val="16"/>
                <w:szCs w:val="16"/>
              </w:rPr>
              <w:t>1.46</w:t>
            </w:r>
            <w:r w:rsidR="00BD75D0">
              <w:rPr>
                <w:rFonts w:ascii="Segoe UI" w:eastAsia="Times New Roman" w:hAnsi="Segoe UI" w:cs="Segoe UI"/>
                <w:b/>
                <w:color w:val="FFFFFF" w:themeColor="background1"/>
                <w:sz w:val="16"/>
                <w:szCs w:val="16"/>
              </w:rPr>
              <w:t>_</w:t>
            </w:r>
            <w:r w:rsidRPr="00BD75D0">
              <w:rPr>
                <w:rFonts w:ascii="Segoe UI" w:eastAsia="Times New Roman" w:hAnsi="Segoe UI" w:cs="Segoe UI"/>
                <w:b/>
                <w:bCs/>
                <w:color w:val="666666"/>
                <w:sz w:val="16"/>
                <w:szCs w:val="16"/>
              </w:rPr>
              <w:t xml:space="preserve"> </w:t>
            </w:r>
          </w:p>
        </w:tc>
      </w:tr>
      <w:tr w:rsidR="000427CB" w:rsidRPr="00243400" w14:paraId="2E66DA0D" w14:textId="77777777" w:rsidTr="0081061F">
        <w:trPr>
          <w:trHeight w:val="288"/>
        </w:trPr>
        <w:tc>
          <w:tcPr>
            <w:tcW w:w="4950" w:type="dxa"/>
            <w:tcBorders>
              <w:bottom w:val="nil"/>
            </w:tcBorders>
            <w:noWrap/>
            <w:vAlign w:val="center"/>
          </w:tcPr>
          <w:p w14:paraId="7A5174BF" w14:textId="77777777" w:rsidR="000427CB" w:rsidRPr="45064EBB" w:rsidRDefault="000427CB" w:rsidP="000427CB">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98" w:type="dxa"/>
            <w:tcBorders>
              <w:bottom w:val="nil"/>
            </w:tcBorders>
            <w:vAlign w:val="center"/>
          </w:tcPr>
          <w:p w14:paraId="21F8B1D6" w14:textId="7ECFBDA9" w:rsidR="000427CB" w:rsidRPr="00C637D5" w:rsidRDefault="003F0C46" w:rsidP="000427CB">
            <w:pPr>
              <w:spacing w:after="0"/>
              <w:ind w:firstLine="82"/>
              <w:jc w:val="right"/>
              <w:rPr>
                <w:rFonts w:ascii="Segoe UI" w:eastAsia="Times New Roman" w:hAnsi="Segoe UI" w:cs="Segoe UI"/>
                <w:color w:val="262626" w:themeColor="text1" w:themeTint="D9"/>
                <w:sz w:val="16"/>
                <w:szCs w:val="16"/>
              </w:rPr>
            </w:pPr>
            <w:r>
              <w:rPr>
                <w:rFonts w:ascii="Segoe UI" w:eastAsia="Times New Roman" w:hAnsi="Segoe UI" w:cs="Segoe UI"/>
                <w:color w:val="666666"/>
                <w:sz w:val="16"/>
                <w:szCs w:val="16"/>
              </w:rPr>
              <w:t>13</w:t>
            </w:r>
            <w:r w:rsidR="000427CB" w:rsidRPr="00E239B7">
              <w:rPr>
                <w:rFonts w:ascii="Segoe UI" w:eastAsia="Times New Roman" w:hAnsi="Segoe UI" w:cs="Segoe UI"/>
                <w:color w:val="666666"/>
                <w:sz w:val="16"/>
                <w:szCs w:val="16"/>
              </w:rPr>
              <w:t>%</w:t>
            </w:r>
          </w:p>
        </w:tc>
        <w:tc>
          <w:tcPr>
            <w:tcW w:w="1152" w:type="dxa"/>
            <w:tcBorders>
              <w:bottom w:val="nil"/>
            </w:tcBorders>
            <w:vAlign w:val="center"/>
          </w:tcPr>
          <w:p w14:paraId="5CCB1F41" w14:textId="6B889611" w:rsidR="000427CB" w:rsidRPr="00872426" w:rsidRDefault="00605547" w:rsidP="00872426">
            <w:pPr>
              <w:spacing w:after="0"/>
              <w:ind w:firstLine="82"/>
              <w:jc w:val="right"/>
              <w:rPr>
                <w:rFonts w:ascii="Segoe UI" w:eastAsia="Times New Roman" w:hAnsi="Segoe UI" w:cs="Segoe UI"/>
                <w:color w:val="666666"/>
                <w:sz w:val="16"/>
                <w:szCs w:val="16"/>
              </w:rPr>
            </w:pPr>
            <w:r w:rsidRPr="00872426">
              <w:rPr>
                <w:rFonts w:ascii="Segoe UI" w:eastAsia="Times New Roman" w:hAnsi="Segoe UI" w:cs="Segoe UI"/>
                <w:color w:val="666666"/>
                <w:sz w:val="16"/>
                <w:szCs w:val="16"/>
              </w:rPr>
              <w:t>8</w:t>
            </w:r>
            <w:r w:rsidR="000427CB" w:rsidRPr="00E239B7">
              <w:rPr>
                <w:rFonts w:ascii="Segoe UI" w:eastAsia="Times New Roman" w:hAnsi="Segoe UI" w:cs="Segoe UI"/>
                <w:color w:val="666666"/>
                <w:sz w:val="16"/>
                <w:szCs w:val="16"/>
              </w:rPr>
              <w:t>%</w:t>
            </w:r>
          </w:p>
        </w:tc>
        <w:tc>
          <w:tcPr>
            <w:tcW w:w="1152" w:type="dxa"/>
            <w:tcBorders>
              <w:bottom w:val="nil"/>
            </w:tcBorders>
            <w:vAlign w:val="center"/>
          </w:tcPr>
          <w:p w14:paraId="777AE983" w14:textId="4C5E8CF7" w:rsidR="000427CB" w:rsidRPr="00872426" w:rsidRDefault="00D701B9" w:rsidP="00872426">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000427CB" w:rsidRPr="00A66CA6">
              <w:rPr>
                <w:rFonts w:ascii="Segoe UI" w:eastAsia="Times New Roman" w:hAnsi="Segoe UI" w:cs="Segoe UI"/>
                <w:color w:val="666666"/>
                <w:sz w:val="16"/>
                <w:szCs w:val="16"/>
              </w:rPr>
              <w:t>%</w:t>
            </w:r>
            <w:r w:rsidR="00277CE9">
              <w:rPr>
                <w:rFonts w:ascii="Segoe UI" w:eastAsia="Times New Roman" w:hAnsi="Segoe UI" w:cs="Segoe UI"/>
                <w:color w:val="666666"/>
                <w:sz w:val="16"/>
                <w:szCs w:val="16"/>
              </w:rPr>
              <w:t>)</w:t>
            </w:r>
          </w:p>
        </w:tc>
        <w:tc>
          <w:tcPr>
            <w:tcW w:w="1152" w:type="dxa"/>
            <w:gridSpan w:val="2"/>
            <w:tcBorders>
              <w:bottom w:val="nil"/>
            </w:tcBorders>
            <w:vAlign w:val="center"/>
          </w:tcPr>
          <w:p w14:paraId="415D2BD1" w14:textId="1C9CF115" w:rsidR="000427CB" w:rsidRPr="00872426" w:rsidRDefault="00D701B9" w:rsidP="00872426">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000427CB" w:rsidRPr="00A66CA6">
              <w:rPr>
                <w:rFonts w:ascii="Segoe UI" w:eastAsia="Times New Roman" w:hAnsi="Segoe UI" w:cs="Segoe UI"/>
                <w:color w:val="666666"/>
                <w:sz w:val="16"/>
                <w:szCs w:val="16"/>
              </w:rPr>
              <w:t>%</w:t>
            </w:r>
            <w:r w:rsidR="00277CE9">
              <w:rPr>
                <w:rFonts w:ascii="Segoe UI" w:eastAsia="Times New Roman" w:hAnsi="Segoe UI" w:cs="Segoe UI"/>
                <w:color w:val="666666"/>
                <w:sz w:val="16"/>
                <w:szCs w:val="16"/>
              </w:rPr>
              <w:t>)</w:t>
            </w:r>
          </w:p>
        </w:tc>
      </w:tr>
      <w:tr w:rsidR="000427CB" w:rsidRPr="00243400" w14:paraId="54FC14C4" w14:textId="77777777" w:rsidTr="0081061F">
        <w:trPr>
          <w:trHeight w:val="288"/>
        </w:trPr>
        <w:tc>
          <w:tcPr>
            <w:tcW w:w="4950" w:type="dxa"/>
            <w:tcBorders>
              <w:top w:val="nil"/>
              <w:bottom w:val="nil"/>
            </w:tcBorders>
            <w:noWrap/>
            <w:vAlign w:val="center"/>
          </w:tcPr>
          <w:p w14:paraId="3AC7F87E" w14:textId="4A8B5B4D" w:rsidR="000427CB" w:rsidRPr="00243400" w:rsidRDefault="000427CB" w:rsidP="000427CB">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Percentage Change Y/Y (non-GAAP)</w:t>
            </w:r>
          </w:p>
        </w:tc>
        <w:tc>
          <w:tcPr>
            <w:tcW w:w="1098" w:type="dxa"/>
            <w:tcBorders>
              <w:top w:val="nil"/>
              <w:bottom w:val="nil"/>
            </w:tcBorders>
            <w:vAlign w:val="center"/>
          </w:tcPr>
          <w:p w14:paraId="2494D676" w14:textId="74BA200C" w:rsidR="000427CB" w:rsidRPr="00176D85" w:rsidRDefault="00D701B9" w:rsidP="000427C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r w:rsidR="000427CB" w:rsidRPr="00E239B7">
              <w:rPr>
                <w:rFonts w:ascii="Segoe UI" w:eastAsia="Times New Roman" w:hAnsi="Segoe UI" w:cs="Segoe UI"/>
                <w:color w:val="666666"/>
                <w:sz w:val="16"/>
                <w:szCs w:val="16"/>
              </w:rPr>
              <w:t>%</w:t>
            </w:r>
          </w:p>
        </w:tc>
        <w:tc>
          <w:tcPr>
            <w:tcW w:w="1152" w:type="dxa"/>
            <w:tcBorders>
              <w:top w:val="nil"/>
              <w:bottom w:val="nil"/>
            </w:tcBorders>
            <w:vAlign w:val="center"/>
          </w:tcPr>
          <w:p w14:paraId="7CF43ACA" w14:textId="63707014" w:rsidR="000427CB" w:rsidRPr="00176D85" w:rsidRDefault="00605547" w:rsidP="00872426">
            <w:pPr>
              <w:spacing w:after="0"/>
              <w:ind w:firstLine="82"/>
              <w:jc w:val="right"/>
              <w:rPr>
                <w:rFonts w:ascii="Segoe UI" w:eastAsia="Times New Roman" w:hAnsi="Segoe UI" w:cs="Segoe UI"/>
                <w:color w:val="666666"/>
                <w:sz w:val="16"/>
                <w:szCs w:val="16"/>
              </w:rPr>
            </w:pPr>
            <w:r w:rsidRPr="00872426">
              <w:rPr>
                <w:rFonts w:ascii="Segoe UI" w:eastAsia="Times New Roman" w:hAnsi="Segoe UI" w:cs="Segoe UI"/>
                <w:color w:val="666666"/>
                <w:sz w:val="16"/>
                <w:szCs w:val="16"/>
              </w:rPr>
              <w:t>8</w:t>
            </w:r>
            <w:r w:rsidR="000427CB" w:rsidRPr="00E239B7">
              <w:rPr>
                <w:rFonts w:ascii="Segoe UI" w:eastAsia="Times New Roman" w:hAnsi="Segoe UI" w:cs="Segoe UI"/>
                <w:color w:val="666666"/>
                <w:sz w:val="16"/>
                <w:szCs w:val="16"/>
              </w:rPr>
              <w:t>%</w:t>
            </w:r>
          </w:p>
        </w:tc>
        <w:tc>
          <w:tcPr>
            <w:tcW w:w="1152" w:type="dxa"/>
            <w:tcBorders>
              <w:top w:val="nil"/>
              <w:bottom w:val="nil"/>
            </w:tcBorders>
            <w:vAlign w:val="center"/>
          </w:tcPr>
          <w:p w14:paraId="408053FD" w14:textId="30484EB6" w:rsidR="000427CB" w:rsidRPr="00872426" w:rsidRDefault="00D701B9" w:rsidP="00872426">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5</w:t>
            </w:r>
            <w:r w:rsidR="000427CB" w:rsidRPr="00A66CA6">
              <w:rPr>
                <w:rFonts w:ascii="Segoe UI" w:eastAsia="Times New Roman" w:hAnsi="Segoe UI" w:cs="Segoe UI"/>
                <w:color w:val="666666"/>
                <w:sz w:val="16"/>
                <w:szCs w:val="16"/>
              </w:rPr>
              <w:t>%</w:t>
            </w:r>
            <w:r w:rsidR="00277CE9">
              <w:rPr>
                <w:rFonts w:ascii="Segoe UI" w:eastAsia="Times New Roman" w:hAnsi="Segoe UI" w:cs="Segoe UI"/>
                <w:b/>
                <w:color w:val="FFFFFF" w:themeColor="background1"/>
                <w:sz w:val="16"/>
                <w:szCs w:val="16"/>
              </w:rPr>
              <w:t>_</w:t>
            </w:r>
          </w:p>
        </w:tc>
        <w:tc>
          <w:tcPr>
            <w:tcW w:w="1152" w:type="dxa"/>
            <w:gridSpan w:val="2"/>
            <w:tcBorders>
              <w:top w:val="nil"/>
              <w:bottom w:val="nil"/>
            </w:tcBorders>
            <w:vAlign w:val="center"/>
          </w:tcPr>
          <w:p w14:paraId="1622ED73" w14:textId="1EB9C675" w:rsidR="000427CB" w:rsidRPr="00872426" w:rsidRDefault="00D701B9" w:rsidP="00872426">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000427CB" w:rsidRPr="00A66CA6">
              <w:rPr>
                <w:rFonts w:ascii="Segoe UI" w:eastAsia="Times New Roman" w:hAnsi="Segoe UI" w:cs="Segoe UI"/>
                <w:color w:val="666666"/>
                <w:sz w:val="16"/>
                <w:szCs w:val="16"/>
              </w:rPr>
              <w:t>%</w:t>
            </w:r>
            <w:r w:rsidR="00BD75D0">
              <w:rPr>
                <w:rFonts w:ascii="Segoe UI" w:eastAsia="Times New Roman" w:hAnsi="Segoe UI" w:cs="Segoe UI"/>
                <w:b/>
                <w:color w:val="FFFFFF" w:themeColor="background1"/>
                <w:sz w:val="16"/>
                <w:szCs w:val="16"/>
              </w:rPr>
              <w:t>_</w:t>
            </w:r>
          </w:p>
        </w:tc>
      </w:tr>
      <w:tr w:rsidR="000427CB" w:rsidRPr="00243400" w14:paraId="0DB96A6E" w14:textId="77777777" w:rsidTr="0081061F">
        <w:trPr>
          <w:trHeight w:val="288"/>
        </w:trPr>
        <w:tc>
          <w:tcPr>
            <w:tcW w:w="4950" w:type="dxa"/>
            <w:tcBorders>
              <w:top w:val="nil"/>
            </w:tcBorders>
            <w:noWrap/>
            <w:vAlign w:val="center"/>
          </w:tcPr>
          <w:p w14:paraId="65B581B0" w14:textId="77777777" w:rsidR="000427CB" w:rsidRPr="00243400" w:rsidRDefault="000427CB" w:rsidP="000427CB">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098" w:type="dxa"/>
            <w:tcBorders>
              <w:top w:val="nil"/>
            </w:tcBorders>
            <w:vAlign w:val="center"/>
          </w:tcPr>
          <w:p w14:paraId="7F3D18A5" w14:textId="0F540266" w:rsidR="000427CB" w:rsidRPr="00176D85" w:rsidRDefault="00B0133D" w:rsidP="000427C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000427CB" w:rsidRPr="00E9670A">
              <w:rPr>
                <w:rFonts w:ascii="Segoe UI" w:eastAsia="Times New Roman" w:hAnsi="Segoe UI" w:cs="Segoe UI"/>
                <w:color w:val="666666"/>
                <w:sz w:val="16"/>
                <w:szCs w:val="16"/>
              </w:rPr>
              <w:t>%</w:t>
            </w:r>
          </w:p>
        </w:tc>
        <w:tc>
          <w:tcPr>
            <w:tcW w:w="1152" w:type="dxa"/>
            <w:tcBorders>
              <w:top w:val="nil"/>
            </w:tcBorders>
            <w:vAlign w:val="center"/>
          </w:tcPr>
          <w:p w14:paraId="65E77EBB" w14:textId="2A7F97A8" w:rsidR="000427CB" w:rsidRPr="00176D85" w:rsidRDefault="00B0133D" w:rsidP="00872426">
            <w:pPr>
              <w:spacing w:after="0"/>
              <w:ind w:firstLine="82"/>
              <w:jc w:val="right"/>
              <w:rPr>
                <w:rFonts w:ascii="Segoe UI" w:eastAsia="Times New Roman" w:hAnsi="Segoe UI" w:cs="Segoe UI"/>
                <w:color w:val="666666"/>
                <w:sz w:val="16"/>
                <w:szCs w:val="16"/>
              </w:rPr>
            </w:pPr>
            <w:r w:rsidRPr="00872426">
              <w:rPr>
                <w:rFonts w:ascii="Segoe UI" w:eastAsia="Times New Roman" w:hAnsi="Segoe UI" w:cs="Segoe UI"/>
                <w:color w:val="666666"/>
                <w:sz w:val="16"/>
                <w:szCs w:val="16"/>
              </w:rPr>
              <w:t>1</w:t>
            </w:r>
            <w:r w:rsidR="005C49C2" w:rsidRPr="00872426">
              <w:rPr>
                <w:rFonts w:ascii="Segoe UI" w:eastAsia="Times New Roman" w:hAnsi="Segoe UI" w:cs="Segoe UI"/>
                <w:color w:val="666666"/>
                <w:sz w:val="16"/>
                <w:szCs w:val="16"/>
              </w:rPr>
              <w:t>2</w:t>
            </w:r>
            <w:r w:rsidR="000427CB" w:rsidRPr="00E9670A">
              <w:rPr>
                <w:rFonts w:ascii="Segoe UI" w:eastAsia="Times New Roman" w:hAnsi="Segoe UI" w:cs="Segoe UI"/>
                <w:color w:val="666666"/>
                <w:sz w:val="16"/>
                <w:szCs w:val="16"/>
              </w:rPr>
              <w:t>%</w:t>
            </w:r>
          </w:p>
        </w:tc>
        <w:tc>
          <w:tcPr>
            <w:tcW w:w="1152" w:type="dxa"/>
            <w:tcBorders>
              <w:top w:val="nil"/>
            </w:tcBorders>
            <w:vAlign w:val="center"/>
          </w:tcPr>
          <w:p w14:paraId="7CF5B175" w14:textId="6A01E671" w:rsidR="000427CB" w:rsidRPr="00872426" w:rsidRDefault="008C2723" w:rsidP="00872426">
            <w:pPr>
              <w:spacing w:after="0"/>
              <w:ind w:firstLine="82"/>
              <w:jc w:val="right"/>
              <w:rPr>
                <w:rFonts w:ascii="Segoe UI" w:eastAsia="Times New Roman" w:hAnsi="Segoe UI" w:cs="Segoe UI"/>
                <w:color w:val="666666"/>
                <w:sz w:val="16"/>
                <w:szCs w:val="16"/>
              </w:rPr>
            </w:pPr>
            <w:r w:rsidRPr="00872426">
              <w:rPr>
                <w:rFonts w:ascii="Segoe UI" w:eastAsia="Times New Roman" w:hAnsi="Segoe UI" w:cs="Segoe UI"/>
                <w:color w:val="666666"/>
                <w:sz w:val="16"/>
                <w:szCs w:val="16"/>
              </w:rPr>
              <w:t>8</w:t>
            </w:r>
            <w:r w:rsidR="000427CB" w:rsidRPr="00A66CA6">
              <w:rPr>
                <w:rFonts w:ascii="Segoe UI" w:eastAsia="Times New Roman" w:hAnsi="Segoe UI" w:cs="Segoe UI"/>
                <w:color w:val="666666"/>
                <w:sz w:val="16"/>
                <w:szCs w:val="16"/>
              </w:rPr>
              <w:t>%</w:t>
            </w:r>
            <w:r w:rsidR="00277CE9">
              <w:rPr>
                <w:rFonts w:ascii="Segoe UI" w:eastAsia="Times New Roman" w:hAnsi="Segoe UI" w:cs="Segoe UI"/>
                <w:b/>
                <w:color w:val="FFFFFF" w:themeColor="background1"/>
                <w:sz w:val="16"/>
                <w:szCs w:val="16"/>
              </w:rPr>
              <w:t>_</w:t>
            </w:r>
          </w:p>
        </w:tc>
        <w:tc>
          <w:tcPr>
            <w:tcW w:w="1152" w:type="dxa"/>
            <w:gridSpan w:val="2"/>
            <w:tcBorders>
              <w:top w:val="nil"/>
            </w:tcBorders>
            <w:vAlign w:val="center"/>
          </w:tcPr>
          <w:p w14:paraId="78A5DA6C" w14:textId="74EB9D7B" w:rsidR="000427CB" w:rsidRPr="00872426" w:rsidRDefault="008C2723" w:rsidP="00872426">
            <w:pPr>
              <w:spacing w:after="0"/>
              <w:ind w:firstLine="82"/>
              <w:jc w:val="right"/>
              <w:rPr>
                <w:rFonts w:ascii="Segoe UI" w:eastAsia="Times New Roman" w:hAnsi="Segoe UI" w:cs="Segoe UI"/>
                <w:color w:val="666666"/>
                <w:sz w:val="16"/>
                <w:szCs w:val="16"/>
              </w:rPr>
            </w:pPr>
            <w:r w:rsidRPr="00872426">
              <w:rPr>
                <w:rFonts w:ascii="Segoe UI" w:eastAsia="Times New Roman" w:hAnsi="Segoe UI" w:cs="Segoe UI"/>
                <w:color w:val="666666"/>
                <w:sz w:val="16"/>
                <w:szCs w:val="16"/>
              </w:rPr>
              <w:t>9</w:t>
            </w:r>
            <w:r w:rsidR="000427CB" w:rsidRPr="00A66CA6">
              <w:rPr>
                <w:rFonts w:ascii="Segoe UI" w:eastAsia="Times New Roman" w:hAnsi="Segoe UI" w:cs="Segoe UI"/>
                <w:color w:val="666666"/>
                <w:sz w:val="16"/>
                <w:szCs w:val="16"/>
              </w:rPr>
              <w:t>%</w:t>
            </w:r>
            <w:r w:rsidR="00BD75D0">
              <w:rPr>
                <w:rFonts w:ascii="Segoe UI" w:eastAsia="Times New Roman" w:hAnsi="Segoe UI" w:cs="Segoe UI"/>
                <w:b/>
                <w:color w:val="FFFFFF" w:themeColor="background1"/>
                <w:sz w:val="16"/>
                <w:szCs w:val="16"/>
              </w:rPr>
              <w:t>_</w:t>
            </w:r>
          </w:p>
        </w:tc>
      </w:tr>
    </w:tbl>
    <w:p w14:paraId="75D2FF82"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4E33C082"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1F520D64"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7105384E"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784C3A42"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59B70B25" w14:textId="77777777" w:rsidR="00B143DB" w:rsidRDefault="00B143DB" w:rsidP="00876672">
      <w:pPr>
        <w:pStyle w:val="NormalWeb"/>
        <w:spacing w:before="240" w:beforeAutospacing="0" w:after="240" w:afterAutospacing="0" w:line="276" w:lineRule="auto"/>
        <w:rPr>
          <w:rFonts w:ascii="Segoe UI" w:eastAsia="Segoe UI" w:hAnsi="Segoe UI" w:cs="Segoe UI"/>
          <w:color w:val="666666"/>
          <w:sz w:val="20"/>
          <w:szCs w:val="20"/>
        </w:rPr>
      </w:pPr>
    </w:p>
    <w:p w14:paraId="4F795C56" w14:textId="442B3FAD" w:rsidR="00212FBD" w:rsidRPr="00AF39C0" w:rsidRDefault="00D35E59" w:rsidP="00212FBD">
      <w:pPr>
        <w:rPr>
          <w:rFonts w:ascii="Segoe UI" w:eastAsia="Segoe UI" w:hAnsi="Segoe UI" w:cs="Segoe UI"/>
          <w:color w:val="666666"/>
          <w:sz w:val="20"/>
          <w:szCs w:val="20"/>
        </w:rPr>
      </w:pPr>
      <w:r w:rsidRPr="00BF5D3F">
        <w:rPr>
          <w:rFonts w:ascii="Segoe UI" w:eastAsia="Segoe UI" w:hAnsi="Segoe UI" w:cs="Segoe UI"/>
          <w:color w:val="666666"/>
          <w:sz w:val="20"/>
          <w:szCs w:val="20"/>
        </w:rPr>
        <w:t>GAAP results include</w:t>
      </w:r>
      <w:r>
        <w:rPr>
          <w:rFonts w:ascii="Segoe UI" w:eastAsia="Segoe UI" w:hAnsi="Segoe UI" w:cs="Segoe UI"/>
          <w:color w:val="FF0000"/>
          <w:sz w:val="20"/>
          <w:szCs w:val="20"/>
        </w:rPr>
        <w:t xml:space="preserve"> </w:t>
      </w:r>
      <w:r>
        <w:rPr>
          <w:rFonts w:ascii="Segoe UI" w:eastAsia="Segoe UI" w:hAnsi="Segoe UI" w:cs="Segoe UI"/>
          <w:color w:val="666666"/>
          <w:sz w:val="20"/>
          <w:szCs w:val="20"/>
        </w:rPr>
        <w:t xml:space="preserve">a </w:t>
      </w:r>
      <w:r w:rsidRPr="00AF39C0">
        <w:rPr>
          <w:rFonts w:ascii="Segoe UI" w:eastAsia="Segoe UI" w:hAnsi="Segoe UI" w:cs="Segoe UI"/>
          <w:color w:val="666666"/>
          <w:sz w:val="20"/>
          <w:szCs w:val="20"/>
        </w:rPr>
        <w:t>$450 million charge for the closure of the Microsoft Store physical locations</w:t>
      </w:r>
      <w:r>
        <w:rPr>
          <w:rFonts w:ascii="Segoe UI" w:eastAsia="Segoe UI" w:hAnsi="Segoe UI" w:cs="Segoe UI"/>
          <w:color w:val="666666"/>
          <w:sz w:val="20"/>
          <w:szCs w:val="20"/>
        </w:rPr>
        <w:t xml:space="preserve"> in the fourth quarter of fiscal year 2020</w:t>
      </w:r>
      <w:r w:rsidRPr="00AF39C0">
        <w:rPr>
          <w:rFonts w:ascii="Segoe UI" w:eastAsia="Segoe UI" w:hAnsi="Segoe UI" w:cs="Segoe UI"/>
          <w:color w:val="666666"/>
          <w:sz w:val="20"/>
          <w:szCs w:val="20"/>
        </w:rPr>
        <w:t>.</w:t>
      </w:r>
      <w:r w:rsidR="00E8221F">
        <w:rPr>
          <w:rFonts w:ascii="Segoe UI" w:eastAsia="Segoe UI" w:hAnsi="Segoe UI" w:cs="Segoe UI"/>
          <w:color w:val="666666"/>
          <w:sz w:val="20"/>
          <w:szCs w:val="20"/>
        </w:rPr>
        <w:t xml:space="preserve"> </w:t>
      </w:r>
      <w:r w:rsidR="00C7044F" w:rsidRPr="0022256C">
        <w:rPr>
          <w:rFonts w:ascii="Segoe UI" w:eastAsia="Segoe UI" w:hAnsi="Segoe UI" w:cs="Segoe UI"/>
          <w:color w:val="666666"/>
          <w:sz w:val="20"/>
          <w:szCs w:val="20"/>
        </w:rPr>
        <w:t xml:space="preserve">GAAP results </w:t>
      </w:r>
      <w:r w:rsidR="00C06E59">
        <w:rPr>
          <w:rFonts w:ascii="Segoe UI" w:eastAsia="Segoe UI" w:hAnsi="Segoe UI" w:cs="Segoe UI"/>
          <w:color w:val="666666"/>
          <w:sz w:val="20"/>
          <w:szCs w:val="20"/>
        </w:rPr>
        <w:t xml:space="preserve">also </w:t>
      </w:r>
      <w:r w:rsidR="00C7044F" w:rsidRPr="0022256C">
        <w:rPr>
          <w:rFonts w:ascii="Segoe UI" w:eastAsia="Segoe UI" w:hAnsi="Segoe UI" w:cs="Segoe UI"/>
          <w:color w:val="666666"/>
          <w:sz w:val="20"/>
          <w:szCs w:val="20"/>
        </w:rPr>
        <w:t>include a net income tax benefit of $</w:t>
      </w:r>
      <w:r w:rsidR="0049194C" w:rsidRPr="0022256C">
        <w:rPr>
          <w:rFonts w:ascii="Segoe UI" w:eastAsia="Segoe UI" w:hAnsi="Segoe UI" w:cs="Segoe UI"/>
          <w:color w:val="666666"/>
          <w:sz w:val="20"/>
          <w:szCs w:val="20"/>
        </w:rPr>
        <w:t>2.6</w:t>
      </w:r>
      <w:r w:rsidR="00C7044F" w:rsidRPr="0022256C">
        <w:rPr>
          <w:rFonts w:ascii="Segoe UI" w:eastAsia="Segoe UI" w:hAnsi="Segoe UI" w:cs="Segoe UI"/>
          <w:color w:val="666666"/>
          <w:sz w:val="20"/>
          <w:szCs w:val="20"/>
        </w:rPr>
        <w:t xml:space="preserve"> billion </w:t>
      </w:r>
      <w:r w:rsidR="00813571" w:rsidRPr="0022256C">
        <w:rPr>
          <w:rFonts w:ascii="Segoe UI" w:eastAsia="Segoe UI" w:hAnsi="Segoe UI" w:cs="Segoe UI"/>
          <w:color w:val="666666"/>
          <w:sz w:val="20"/>
          <w:szCs w:val="20"/>
        </w:rPr>
        <w:t xml:space="preserve">for </w:t>
      </w:r>
      <w:r w:rsidR="00C7044F" w:rsidRPr="0022256C">
        <w:rPr>
          <w:rFonts w:ascii="Segoe UI" w:eastAsia="Segoe UI" w:hAnsi="Segoe UI" w:cs="Segoe UI"/>
          <w:color w:val="666666"/>
          <w:sz w:val="20"/>
          <w:szCs w:val="20"/>
        </w:rPr>
        <w:t>the fourth quarter of fiscal year 2019</w:t>
      </w:r>
      <w:r w:rsidR="00D133E6">
        <w:rPr>
          <w:rFonts w:ascii="Segoe UI" w:eastAsia="Segoe UI" w:hAnsi="Segoe UI" w:cs="Segoe UI"/>
          <w:color w:val="666666"/>
          <w:sz w:val="20"/>
          <w:szCs w:val="20"/>
        </w:rPr>
        <w:t>, which is</w:t>
      </w:r>
      <w:r w:rsidR="002D690C" w:rsidRPr="00876672">
        <w:rPr>
          <w:rFonts w:ascii="Segoe UI" w:eastAsia="Segoe UI" w:hAnsi="Segoe UI" w:cs="Segoe UI"/>
          <w:color w:val="666666"/>
          <w:sz w:val="20"/>
          <w:szCs w:val="20"/>
        </w:rPr>
        <w:t xml:space="preserve"> excluded from our non-GAAP results</w:t>
      </w:r>
      <w:r w:rsidR="002D690C">
        <w:rPr>
          <w:rFonts w:ascii="Segoe UI" w:eastAsia="Segoe UI" w:hAnsi="Segoe UI" w:cs="Segoe UI"/>
          <w:color w:val="666666"/>
          <w:sz w:val="20"/>
          <w:szCs w:val="20"/>
        </w:rPr>
        <w:t xml:space="preserve"> and explained in the </w:t>
      </w:r>
      <w:r w:rsidR="00212625">
        <w:rPr>
          <w:rFonts w:ascii="Segoe UI" w:eastAsia="Segoe UI" w:hAnsi="Segoe UI" w:cs="Segoe UI"/>
          <w:color w:val="666666"/>
          <w:sz w:val="20"/>
          <w:szCs w:val="20"/>
        </w:rPr>
        <w:t>n</w:t>
      </w:r>
      <w:r w:rsidR="002D690C">
        <w:rPr>
          <w:rFonts w:ascii="Segoe UI" w:eastAsia="Segoe UI" w:hAnsi="Segoe UI" w:cs="Segoe UI"/>
          <w:color w:val="666666"/>
          <w:sz w:val="20"/>
          <w:szCs w:val="20"/>
        </w:rPr>
        <w:t xml:space="preserve">on-GAAP </w:t>
      </w:r>
      <w:r w:rsidR="00803FAD">
        <w:rPr>
          <w:rFonts w:ascii="Segoe UI" w:eastAsia="Segoe UI" w:hAnsi="Segoe UI" w:cs="Segoe UI"/>
          <w:color w:val="666666"/>
          <w:sz w:val="20"/>
          <w:szCs w:val="20"/>
        </w:rPr>
        <w:t>d</w:t>
      </w:r>
      <w:r w:rsidR="002D690C">
        <w:rPr>
          <w:rFonts w:ascii="Segoe UI" w:eastAsia="Segoe UI" w:hAnsi="Segoe UI" w:cs="Segoe UI"/>
          <w:color w:val="666666"/>
          <w:sz w:val="20"/>
          <w:szCs w:val="20"/>
        </w:rPr>
        <w:t>efinition section below</w:t>
      </w:r>
      <w:r w:rsidR="002D690C" w:rsidRPr="00876672">
        <w:rPr>
          <w:rFonts w:ascii="Segoe UI" w:eastAsia="Segoe UI" w:hAnsi="Segoe UI" w:cs="Segoe UI"/>
          <w:color w:val="666666"/>
          <w:sz w:val="20"/>
          <w:szCs w:val="20"/>
        </w:rPr>
        <w:t>.</w:t>
      </w:r>
      <w:r w:rsidR="0000104E" w:rsidRPr="0000104E">
        <w:rPr>
          <w:rFonts w:ascii="Segoe UI" w:eastAsia="Segoe UI" w:hAnsi="Segoe UI" w:cs="Segoe UI"/>
          <w:color w:val="FF0000"/>
          <w:sz w:val="20"/>
          <w:szCs w:val="20"/>
        </w:rPr>
        <w:t xml:space="preserve"> </w:t>
      </w:r>
    </w:p>
    <w:p w14:paraId="43317891" w14:textId="77777777" w:rsidR="00871621" w:rsidRPr="000000BF" w:rsidRDefault="00871621" w:rsidP="00871621">
      <w:pPr>
        <w:rPr>
          <w:rFonts w:ascii="Segoe UI" w:eastAsia="Segoe UI" w:hAnsi="Segoe UI" w:cs="Segoe UI"/>
          <w:b/>
          <w:bCs/>
          <w:color w:val="666666"/>
          <w:sz w:val="20"/>
          <w:szCs w:val="20"/>
        </w:rPr>
      </w:pPr>
      <w:r w:rsidRPr="000000BF">
        <w:rPr>
          <w:rFonts w:ascii="Segoe UI" w:eastAsia="Segoe UI" w:hAnsi="Segoe UI" w:cs="Segoe UI"/>
          <w:b/>
          <w:bCs/>
          <w:color w:val="666666"/>
          <w:sz w:val="20"/>
          <w:szCs w:val="20"/>
        </w:rPr>
        <w:t>COVID-19 Impact</w:t>
      </w:r>
    </w:p>
    <w:p w14:paraId="5BEB282B" w14:textId="77777777" w:rsidR="00871621" w:rsidRPr="00740EB3" w:rsidRDefault="00871621" w:rsidP="00871621">
      <w:pPr>
        <w:pStyle w:val="NormalWeb"/>
        <w:spacing w:before="180" w:line="276" w:lineRule="auto"/>
        <w:rPr>
          <w:rFonts w:ascii="Segoe UI" w:eastAsia="Segoe UI" w:hAnsi="Segoe UI" w:cs="Segoe UI"/>
          <w:color w:val="666666"/>
          <w:sz w:val="20"/>
          <w:szCs w:val="20"/>
        </w:rPr>
      </w:pPr>
      <w:r w:rsidRPr="00740EB3">
        <w:rPr>
          <w:rFonts w:ascii="Segoe UI" w:eastAsia="Segoe UI" w:hAnsi="Segoe UI" w:cs="Segoe UI"/>
          <w:color w:val="666666"/>
          <w:sz w:val="20"/>
          <w:szCs w:val="20"/>
        </w:rPr>
        <w:t>In the fourth quarter of fiscal year 2020, similar business trends to the previous quarter continued.</w:t>
      </w:r>
    </w:p>
    <w:p w14:paraId="6770DD20" w14:textId="4251B8F9" w:rsidR="00871621" w:rsidRPr="00740EB3" w:rsidRDefault="00871621" w:rsidP="00871621">
      <w:pPr>
        <w:pStyle w:val="NormalWeb"/>
        <w:spacing w:before="180" w:line="276" w:lineRule="auto"/>
        <w:rPr>
          <w:rFonts w:ascii="Segoe UI" w:eastAsia="Segoe UI" w:hAnsi="Segoe UI" w:cs="Segoe UI"/>
          <w:color w:val="666666"/>
          <w:sz w:val="20"/>
          <w:szCs w:val="20"/>
        </w:rPr>
      </w:pPr>
      <w:r w:rsidRPr="00740EB3">
        <w:rPr>
          <w:rFonts w:ascii="Segoe UI" w:eastAsia="Segoe UI" w:hAnsi="Segoe UI" w:cs="Segoe UI"/>
          <w:color w:val="666666"/>
          <w:sz w:val="20"/>
          <w:szCs w:val="20"/>
        </w:rPr>
        <w:t xml:space="preserve">In the Productivity and Business Processes and Intelligent Cloud segments, cloud usage and demand increased as customers continued to work and learn from home. Transactional license purchasing continued to slow, particularly in </w:t>
      </w:r>
      <w:r w:rsidRPr="00740EB3">
        <w:rPr>
          <w:rFonts w:ascii="Segoe UI" w:eastAsia="Segoe UI" w:hAnsi="Segoe UI" w:cs="Segoe UI"/>
          <w:color w:val="666666"/>
          <w:sz w:val="20"/>
          <w:szCs w:val="20"/>
        </w:rPr>
        <w:lastRenderedPageBreak/>
        <w:t xml:space="preserve">small and medium businesses, and LinkedIn was negatively impacted by the weak job market and reductions in advertising spend. </w:t>
      </w:r>
    </w:p>
    <w:p w14:paraId="6FDFF6DA" w14:textId="57A19106" w:rsidR="00871621" w:rsidRPr="00740EB3" w:rsidRDefault="00871621" w:rsidP="00871621">
      <w:pPr>
        <w:pStyle w:val="NormalWeb"/>
        <w:spacing w:before="180" w:line="276" w:lineRule="auto"/>
        <w:rPr>
          <w:rFonts w:ascii="Segoe UI" w:eastAsia="Segoe UI" w:hAnsi="Segoe UI" w:cs="Segoe UI"/>
          <w:color w:val="666666"/>
          <w:sz w:val="20"/>
          <w:szCs w:val="20"/>
        </w:rPr>
      </w:pPr>
      <w:r w:rsidRPr="00740EB3">
        <w:rPr>
          <w:rFonts w:ascii="Segoe UI" w:eastAsia="Segoe UI" w:hAnsi="Segoe UI" w:cs="Segoe UI"/>
          <w:color w:val="666666"/>
          <w:sz w:val="20"/>
          <w:szCs w:val="20"/>
        </w:rPr>
        <w:t>In the More Personal Computing segment, Windows OEM, Surface, and Gaming benefited from increased demand to support work-, play-, and learn-from-home scenarios, while Search was negatively impacted by reductions in advertising spend.</w:t>
      </w:r>
    </w:p>
    <w:p w14:paraId="1729959C" w14:textId="57A19106" w:rsidR="007F3AD2" w:rsidRDefault="007F3AD2" w:rsidP="00876672">
      <w:pPr>
        <w:pStyle w:val="NormalWeb"/>
        <w:spacing w:before="240" w:beforeAutospacing="0" w:after="240" w:afterAutospacing="0" w:line="276" w:lineRule="auto"/>
        <w:rPr>
          <w:rFonts w:ascii="Segoe UI" w:eastAsia="Segoe UI" w:hAnsi="Segoe UI" w:cs="Segoe UI"/>
          <w:b/>
          <w:bCs/>
          <w:color w:val="666666"/>
          <w:sz w:val="20"/>
          <w:szCs w:val="20"/>
        </w:rPr>
      </w:pPr>
    </w:p>
    <w:p w14:paraId="58E7799E" w14:textId="78F6E07F" w:rsidR="00871621" w:rsidRPr="00871621" w:rsidRDefault="00157F34" w:rsidP="00876672">
      <w:pPr>
        <w:pStyle w:val="NormalWeb"/>
        <w:spacing w:before="240" w:beforeAutospacing="0" w:after="240" w:afterAutospacing="0" w:line="276" w:lineRule="auto"/>
        <w:rPr>
          <w:rFonts w:ascii="Segoe UI" w:eastAsia="Segoe UI" w:hAnsi="Segoe UI" w:cs="Segoe UI"/>
          <w:b/>
          <w:bCs/>
          <w:color w:val="666666"/>
          <w:sz w:val="20"/>
          <w:szCs w:val="20"/>
        </w:rPr>
      </w:pPr>
      <w:bookmarkStart w:id="0" w:name="_MailEndCompose"/>
      <w:bookmarkStart w:id="1" w:name="RANGE!A1:H31"/>
      <w:bookmarkStart w:id="2" w:name="RANGE!A1:D29"/>
      <w:bookmarkStart w:id="3" w:name="RANGE!A1:D47"/>
      <w:bookmarkStart w:id="4" w:name="RANGE!A1:D15"/>
      <w:bookmarkStart w:id="5" w:name="RANGE!A1:H49"/>
      <w:bookmarkStart w:id="6" w:name="RANGE!A1:D48"/>
      <w:bookmarkStart w:id="7" w:name="RANGE!A1:D49"/>
      <w:bookmarkStart w:id="8" w:name="RANGE!A1:H28"/>
      <w:bookmarkStart w:id="9" w:name="RANGE!A1:D25"/>
      <w:bookmarkEnd w:id="0"/>
      <w:bookmarkEnd w:id="1"/>
      <w:bookmarkEnd w:id="2"/>
      <w:bookmarkEnd w:id="3"/>
      <w:bookmarkEnd w:id="4"/>
      <w:bookmarkEnd w:id="5"/>
      <w:bookmarkEnd w:id="6"/>
      <w:bookmarkEnd w:id="7"/>
      <w:bookmarkEnd w:id="8"/>
      <w:bookmarkEnd w:id="9"/>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1A840376"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Productivity and Business Processes was $</w:t>
      </w:r>
      <w:r w:rsidR="0073666C" w:rsidRPr="00FE5627">
        <w:rPr>
          <w:rFonts w:ascii="Segoe UI" w:eastAsia="Segoe UI" w:hAnsi="Segoe UI" w:cs="Segoe UI"/>
          <w:color w:val="666666"/>
          <w:sz w:val="20"/>
          <w:szCs w:val="20"/>
        </w:rPr>
        <w:t>11.8</w:t>
      </w:r>
      <w:r w:rsidR="002350FE"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73666C" w:rsidRPr="00FE5627">
        <w:rPr>
          <w:rFonts w:ascii="Segoe UI" w:eastAsia="Segoe UI" w:hAnsi="Segoe UI" w:cs="Segoe UI"/>
          <w:color w:val="666666"/>
          <w:sz w:val="20"/>
          <w:szCs w:val="20"/>
        </w:rPr>
        <w:t>6</w:t>
      </w:r>
      <w:r w:rsidRPr="00334192">
        <w:rPr>
          <w:rFonts w:ascii="Segoe UI" w:eastAsia="Segoe UI" w:hAnsi="Segoe UI" w:cs="Segoe UI"/>
          <w:color w:val="666666"/>
          <w:sz w:val="20"/>
          <w:szCs w:val="20"/>
        </w:rPr>
        <w:t xml:space="preserve">% (up </w:t>
      </w:r>
      <w:r w:rsidR="0073666C" w:rsidRPr="00FE5627">
        <w:rPr>
          <w:rFonts w:ascii="Segoe UI" w:eastAsia="Segoe UI" w:hAnsi="Segoe UI" w:cs="Segoe UI"/>
          <w:color w:val="666666"/>
          <w:sz w:val="20"/>
          <w:szCs w:val="20"/>
        </w:rPr>
        <w:t>8</w:t>
      </w:r>
      <w:r w:rsidRPr="00334192">
        <w:rPr>
          <w:rFonts w:ascii="Segoe UI" w:eastAsia="Segoe UI" w:hAnsi="Segoe UI" w:cs="Segoe UI"/>
          <w:color w:val="666666"/>
          <w:sz w:val="20"/>
          <w:szCs w:val="20"/>
        </w:rPr>
        <w:t>% in constant currency), with the following business highlights:</w:t>
      </w:r>
    </w:p>
    <w:p w14:paraId="7B68E1B2" w14:textId="59FC2C16"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73666C" w:rsidRPr="00FE5627">
        <w:rPr>
          <w:rFonts w:ascii="Segoe UI" w:eastAsia="Segoe UI" w:hAnsi="Segoe UI" w:cs="Segoe UI"/>
          <w:color w:val="666666"/>
          <w:sz w:val="20"/>
          <w:szCs w:val="20"/>
        </w:rPr>
        <w:t>5</w:t>
      </w:r>
      <w:r w:rsidRPr="00334192">
        <w:rPr>
          <w:rFonts w:ascii="Segoe UI" w:eastAsia="Segoe UI" w:hAnsi="Segoe UI" w:cs="Segoe UI"/>
          <w:color w:val="666666"/>
          <w:sz w:val="20"/>
          <w:szCs w:val="20"/>
        </w:rPr>
        <w:t xml:space="preserve">% (up </w:t>
      </w:r>
      <w:r w:rsidR="0073666C" w:rsidRPr="00FE5627">
        <w:rPr>
          <w:rFonts w:ascii="Segoe UI" w:eastAsia="Segoe UI" w:hAnsi="Segoe UI" w:cs="Segoe UI"/>
          <w:color w:val="666666"/>
          <w:sz w:val="20"/>
          <w:szCs w:val="20"/>
        </w:rPr>
        <w:t>7</w:t>
      </w:r>
      <w:r w:rsidRPr="00334192">
        <w:rPr>
          <w:rFonts w:ascii="Segoe UI" w:eastAsia="Segoe UI" w:hAnsi="Segoe UI" w:cs="Segoe UI"/>
          <w:color w:val="666666"/>
          <w:sz w:val="20"/>
          <w:szCs w:val="20"/>
        </w:rPr>
        <w:t xml:space="preserve">% in constant currency) driven by Office 365 Commercial revenue growth of </w:t>
      </w:r>
      <w:r w:rsidR="0073666C" w:rsidRPr="00FE5627">
        <w:rPr>
          <w:rFonts w:ascii="Segoe UI" w:eastAsia="Segoe UI" w:hAnsi="Segoe UI" w:cs="Segoe UI"/>
          <w:color w:val="666666"/>
          <w:sz w:val="20"/>
          <w:szCs w:val="20"/>
        </w:rPr>
        <w:t>19</w:t>
      </w:r>
      <w:r w:rsidRPr="00334192">
        <w:rPr>
          <w:rFonts w:ascii="Segoe UI" w:eastAsia="Segoe UI" w:hAnsi="Segoe UI" w:cs="Segoe UI"/>
          <w:color w:val="666666"/>
          <w:sz w:val="20"/>
          <w:szCs w:val="20"/>
        </w:rPr>
        <w:t xml:space="preserve">% (up </w:t>
      </w:r>
      <w:r w:rsidR="0073666C" w:rsidRPr="00FE5627">
        <w:rPr>
          <w:rFonts w:ascii="Segoe UI" w:eastAsia="Segoe UI" w:hAnsi="Segoe UI" w:cs="Segoe UI"/>
          <w:color w:val="666666"/>
          <w:sz w:val="20"/>
          <w:szCs w:val="20"/>
        </w:rPr>
        <w:t>22</w:t>
      </w:r>
      <w:r w:rsidRPr="00334192">
        <w:rPr>
          <w:rFonts w:ascii="Segoe UI" w:eastAsia="Segoe UI" w:hAnsi="Segoe UI" w:cs="Segoe UI"/>
          <w:color w:val="666666"/>
          <w:sz w:val="20"/>
          <w:szCs w:val="20"/>
        </w:rPr>
        <w:t>% in constant currency)</w:t>
      </w:r>
    </w:p>
    <w:p w14:paraId="01A76A65" w14:textId="1152CC63"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increased </w:t>
      </w:r>
      <w:r w:rsidR="000C41A2" w:rsidRPr="00FE5627">
        <w:rPr>
          <w:rFonts w:ascii="Segoe UI" w:eastAsia="Segoe UI" w:hAnsi="Segoe UI" w:cs="Segoe UI"/>
          <w:color w:val="666666"/>
          <w:sz w:val="20"/>
          <w:szCs w:val="20"/>
        </w:rPr>
        <w:t>6</w:t>
      </w:r>
      <w:r w:rsidRPr="00334192">
        <w:rPr>
          <w:rFonts w:ascii="Segoe UI" w:eastAsia="Segoe UI" w:hAnsi="Segoe UI" w:cs="Segoe UI"/>
          <w:color w:val="666666"/>
          <w:sz w:val="20"/>
          <w:szCs w:val="20"/>
        </w:rPr>
        <w:t xml:space="preserve">% (up </w:t>
      </w:r>
      <w:r w:rsidR="000C41A2" w:rsidRPr="00FE5627">
        <w:rPr>
          <w:rFonts w:ascii="Segoe UI" w:eastAsia="Segoe UI" w:hAnsi="Segoe UI" w:cs="Segoe UI"/>
          <w:color w:val="666666"/>
          <w:sz w:val="20"/>
          <w:szCs w:val="20"/>
        </w:rPr>
        <w:t>7</w:t>
      </w:r>
      <w:r w:rsidRPr="00334192">
        <w:rPr>
          <w:rFonts w:ascii="Segoe UI" w:eastAsia="Segoe UI" w:hAnsi="Segoe UI" w:cs="Segoe UI"/>
          <w:color w:val="666666"/>
          <w:sz w:val="20"/>
          <w:szCs w:val="20"/>
        </w:rPr>
        <w:t xml:space="preserve">% in constant currency) and Office 365 Consumer subscribers increased to </w:t>
      </w:r>
      <w:r w:rsidR="00210DBE" w:rsidRPr="00FE5627">
        <w:rPr>
          <w:rFonts w:ascii="Segoe UI" w:eastAsia="Segoe UI" w:hAnsi="Segoe UI" w:cs="Segoe UI"/>
          <w:color w:val="666666"/>
          <w:sz w:val="20"/>
          <w:szCs w:val="20"/>
        </w:rPr>
        <w:t>42.7</w:t>
      </w:r>
      <w:r w:rsidR="00A5295F"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2D6E3C3C"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210DBE" w:rsidRPr="00FE5627">
        <w:rPr>
          <w:rFonts w:ascii="Segoe UI" w:eastAsia="Segoe UI" w:hAnsi="Segoe UI" w:cs="Segoe UI"/>
          <w:color w:val="666666"/>
          <w:sz w:val="20"/>
          <w:szCs w:val="20"/>
        </w:rPr>
        <w:t>10</w:t>
      </w:r>
      <w:r w:rsidRPr="00334192">
        <w:rPr>
          <w:rFonts w:ascii="Segoe UI" w:eastAsia="Segoe UI" w:hAnsi="Segoe UI" w:cs="Segoe UI"/>
          <w:color w:val="666666"/>
          <w:sz w:val="20"/>
          <w:szCs w:val="20"/>
        </w:rPr>
        <w:t xml:space="preserve">% (up </w:t>
      </w:r>
      <w:r w:rsidR="00210DBE" w:rsidRPr="00FE5627">
        <w:rPr>
          <w:rFonts w:ascii="Segoe UI" w:eastAsia="Segoe UI" w:hAnsi="Segoe UI" w:cs="Segoe UI"/>
          <w:color w:val="666666"/>
          <w:sz w:val="20"/>
          <w:szCs w:val="20"/>
        </w:rPr>
        <w:t>11</w:t>
      </w:r>
      <w:r w:rsidRPr="00334192">
        <w:rPr>
          <w:rFonts w:ascii="Segoe UI" w:eastAsia="Segoe UI" w:hAnsi="Segoe UI" w:cs="Segoe UI"/>
          <w:color w:val="666666"/>
          <w:sz w:val="20"/>
          <w:szCs w:val="20"/>
        </w:rPr>
        <w:t xml:space="preserve">% in constant currency) </w:t>
      </w:r>
    </w:p>
    <w:p w14:paraId="12043729" w14:textId="0F102490"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210DBE" w:rsidRPr="00FE5627">
        <w:rPr>
          <w:rFonts w:ascii="Segoe UI" w:eastAsia="Segoe UI" w:hAnsi="Segoe UI" w:cs="Segoe UI"/>
          <w:color w:val="666666"/>
          <w:sz w:val="20"/>
          <w:szCs w:val="20"/>
        </w:rPr>
        <w:t>13</w:t>
      </w:r>
      <w:r w:rsidRPr="00334192">
        <w:rPr>
          <w:rFonts w:ascii="Segoe UI" w:eastAsia="Segoe UI" w:hAnsi="Segoe UI" w:cs="Segoe UI"/>
          <w:color w:val="666666"/>
          <w:sz w:val="20"/>
          <w:szCs w:val="20"/>
        </w:rPr>
        <w:t xml:space="preserve">% (up </w:t>
      </w:r>
      <w:r w:rsidR="00210DBE" w:rsidRPr="00FE5627">
        <w:rPr>
          <w:rFonts w:ascii="Segoe UI" w:eastAsia="Segoe UI" w:hAnsi="Segoe UI" w:cs="Segoe UI"/>
          <w:color w:val="666666"/>
          <w:sz w:val="20"/>
          <w:szCs w:val="20"/>
        </w:rPr>
        <w:t>15</w:t>
      </w:r>
      <w:r w:rsidRPr="00334192">
        <w:rPr>
          <w:rFonts w:ascii="Segoe UI" w:eastAsia="Segoe UI" w:hAnsi="Segoe UI" w:cs="Segoe UI"/>
          <w:color w:val="666666"/>
          <w:sz w:val="20"/>
          <w:szCs w:val="20"/>
        </w:rPr>
        <w:t xml:space="preserve">% in constant currency) driven by Dynamics 365 revenue growth of </w:t>
      </w:r>
      <w:r w:rsidR="000521F9" w:rsidRPr="00FE5627">
        <w:rPr>
          <w:rFonts w:ascii="Segoe UI" w:eastAsia="Segoe UI" w:hAnsi="Segoe UI" w:cs="Segoe UI"/>
          <w:color w:val="666666"/>
          <w:sz w:val="20"/>
          <w:szCs w:val="20"/>
        </w:rPr>
        <w:t>38</w:t>
      </w:r>
      <w:r w:rsidRPr="00334192">
        <w:rPr>
          <w:rFonts w:ascii="Segoe UI" w:eastAsia="Segoe UI" w:hAnsi="Segoe UI" w:cs="Segoe UI"/>
          <w:color w:val="666666"/>
          <w:sz w:val="20"/>
          <w:szCs w:val="20"/>
        </w:rPr>
        <w:t xml:space="preserve">% (up </w:t>
      </w:r>
      <w:r w:rsidR="00680CFF" w:rsidRPr="00CB4AC7">
        <w:rPr>
          <w:rFonts w:ascii="Segoe UI" w:eastAsia="Segoe UI" w:hAnsi="Segoe UI" w:cs="Segoe UI"/>
          <w:color w:val="666666"/>
          <w:sz w:val="20"/>
          <w:szCs w:val="20"/>
        </w:rPr>
        <w:t>40</w:t>
      </w:r>
      <w:r w:rsidRPr="00CB4AC7">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46C4CDA3" w14:textId="0EF03013"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Intelligent Cloud was $</w:t>
      </w:r>
      <w:r w:rsidR="009B57CC" w:rsidRPr="00FE5627">
        <w:rPr>
          <w:rFonts w:ascii="Segoe UI" w:eastAsia="Segoe UI" w:hAnsi="Segoe UI" w:cs="Segoe UI"/>
          <w:color w:val="666666"/>
          <w:sz w:val="20"/>
          <w:szCs w:val="20"/>
        </w:rPr>
        <w:t>13.4</w:t>
      </w:r>
      <w:r w:rsidR="00A5295F"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9B57CC" w:rsidRPr="00FE5627">
        <w:rPr>
          <w:rFonts w:ascii="Segoe UI" w:eastAsia="Segoe UI" w:hAnsi="Segoe UI" w:cs="Segoe UI"/>
          <w:color w:val="666666"/>
          <w:sz w:val="20"/>
          <w:szCs w:val="20"/>
        </w:rPr>
        <w:t>17</w:t>
      </w:r>
      <w:r w:rsidRPr="00334192">
        <w:rPr>
          <w:rFonts w:ascii="Segoe UI" w:eastAsia="Segoe UI" w:hAnsi="Segoe UI" w:cs="Segoe UI"/>
          <w:color w:val="666666"/>
          <w:sz w:val="20"/>
          <w:szCs w:val="20"/>
        </w:rPr>
        <w:t>% (up</w:t>
      </w:r>
      <w:r w:rsidR="00A5295F" w:rsidRPr="00FE5627">
        <w:rPr>
          <w:rFonts w:ascii="Segoe UI" w:eastAsia="Segoe UI" w:hAnsi="Segoe UI" w:cs="Segoe UI"/>
          <w:color w:val="666666"/>
          <w:sz w:val="20"/>
          <w:szCs w:val="20"/>
        </w:rPr>
        <w:t xml:space="preserve"> </w:t>
      </w:r>
      <w:r w:rsidR="009B57CC" w:rsidRPr="00FE5627">
        <w:rPr>
          <w:rFonts w:ascii="Segoe UI" w:eastAsia="Segoe UI" w:hAnsi="Segoe UI" w:cs="Segoe UI"/>
          <w:color w:val="666666"/>
          <w:sz w:val="20"/>
          <w:szCs w:val="20"/>
        </w:rPr>
        <w:t>19</w:t>
      </w:r>
      <w:r w:rsidRPr="00334192">
        <w:rPr>
          <w:rFonts w:ascii="Segoe UI" w:eastAsia="Segoe UI" w:hAnsi="Segoe UI" w:cs="Segoe UI"/>
          <w:color w:val="666666"/>
          <w:sz w:val="20"/>
          <w:szCs w:val="20"/>
        </w:rPr>
        <w:t>% in constant currency), with the following business highlights:</w:t>
      </w:r>
    </w:p>
    <w:p w14:paraId="0711CF15" w14:textId="71759577"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0521F9" w:rsidRPr="00FE5627">
        <w:rPr>
          <w:rFonts w:ascii="Segoe UI" w:eastAsia="Segoe UI" w:hAnsi="Segoe UI" w:cs="Segoe UI"/>
          <w:color w:val="666666"/>
          <w:sz w:val="20"/>
          <w:szCs w:val="20"/>
        </w:rPr>
        <w:t>19</w:t>
      </w:r>
      <w:r w:rsidRPr="00334192">
        <w:rPr>
          <w:rFonts w:ascii="Segoe UI" w:eastAsia="Segoe UI" w:hAnsi="Segoe UI" w:cs="Segoe UI"/>
          <w:color w:val="666666"/>
          <w:sz w:val="20"/>
          <w:szCs w:val="20"/>
        </w:rPr>
        <w:t xml:space="preserve">% (up </w:t>
      </w:r>
      <w:r w:rsidR="000521F9" w:rsidRPr="00FE5627">
        <w:rPr>
          <w:rFonts w:ascii="Segoe UI" w:eastAsia="Segoe UI" w:hAnsi="Segoe UI" w:cs="Segoe UI"/>
          <w:color w:val="666666"/>
          <w:sz w:val="20"/>
          <w:szCs w:val="20"/>
        </w:rPr>
        <w:t>21</w:t>
      </w:r>
      <w:r w:rsidRPr="00334192">
        <w:rPr>
          <w:rFonts w:ascii="Segoe UI" w:eastAsia="Segoe UI" w:hAnsi="Segoe UI" w:cs="Segoe UI"/>
          <w:color w:val="666666"/>
          <w:sz w:val="20"/>
          <w:szCs w:val="20"/>
        </w:rPr>
        <w:t xml:space="preserve">% in constant currency) driven by Azure revenue growth of </w:t>
      </w:r>
      <w:r w:rsidR="00E64F9C" w:rsidRPr="00FE5627">
        <w:rPr>
          <w:rFonts w:ascii="Segoe UI" w:eastAsia="Segoe UI" w:hAnsi="Segoe UI" w:cs="Segoe UI"/>
          <w:color w:val="666666"/>
          <w:sz w:val="20"/>
          <w:szCs w:val="20"/>
        </w:rPr>
        <w:t>47</w:t>
      </w:r>
      <w:r w:rsidRPr="00334192">
        <w:rPr>
          <w:rFonts w:ascii="Segoe UI" w:eastAsia="Segoe UI" w:hAnsi="Segoe UI" w:cs="Segoe UI"/>
          <w:color w:val="666666"/>
          <w:sz w:val="20"/>
          <w:szCs w:val="20"/>
        </w:rPr>
        <w:t xml:space="preserve">% (up </w:t>
      </w:r>
      <w:r w:rsidR="00DF2B19" w:rsidRPr="00FE5627">
        <w:rPr>
          <w:rFonts w:ascii="Segoe UI" w:eastAsia="Segoe UI" w:hAnsi="Segoe UI" w:cs="Segoe UI"/>
          <w:color w:val="666666"/>
          <w:sz w:val="20"/>
          <w:szCs w:val="20"/>
        </w:rPr>
        <w:t>50</w:t>
      </w:r>
      <w:r w:rsidRPr="00334192">
        <w:rPr>
          <w:rFonts w:ascii="Segoe UI" w:eastAsia="Segoe UI" w:hAnsi="Segoe UI" w:cs="Segoe UI"/>
          <w:color w:val="666666"/>
          <w:sz w:val="20"/>
          <w:szCs w:val="20"/>
        </w:rPr>
        <w:t>% in constant currency)</w:t>
      </w:r>
    </w:p>
    <w:p w14:paraId="514200CA" w14:textId="133F46BB" w:rsidR="00C7044F" w:rsidRPr="00334192" w:rsidRDefault="00C7044F" w:rsidP="00C7044F">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Enterprise Services revenue </w:t>
      </w:r>
      <w:r w:rsidR="00E64F9C">
        <w:rPr>
          <w:rFonts w:ascii="Segoe UI" w:eastAsia="Segoe UI" w:hAnsi="Segoe UI" w:cs="Segoe UI"/>
          <w:color w:val="666666"/>
          <w:sz w:val="20"/>
          <w:szCs w:val="20"/>
        </w:rPr>
        <w:t>was relatively unchanged</w:t>
      </w:r>
      <w:r w:rsidR="00C431C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w:t>
      </w:r>
      <w:r w:rsidR="00CF6641">
        <w:rPr>
          <w:rFonts w:ascii="Segoe UI" w:eastAsia="Segoe UI" w:hAnsi="Segoe UI" w:cs="Segoe UI"/>
          <w:color w:val="666666"/>
          <w:sz w:val="20"/>
          <w:szCs w:val="20"/>
        </w:rPr>
        <w:t>up</w:t>
      </w:r>
      <w:r w:rsidRPr="00334192">
        <w:rPr>
          <w:rFonts w:ascii="Segoe UI" w:eastAsia="Segoe UI" w:hAnsi="Segoe UI" w:cs="Segoe UI"/>
          <w:color w:val="666666"/>
          <w:sz w:val="20"/>
          <w:szCs w:val="20"/>
        </w:rPr>
        <w:t xml:space="preserve"> </w:t>
      </w:r>
      <w:r w:rsidR="00CF6641" w:rsidRPr="00FE5627">
        <w:rPr>
          <w:rFonts w:ascii="Segoe UI" w:eastAsia="Segoe UI" w:hAnsi="Segoe UI" w:cs="Segoe UI"/>
          <w:color w:val="666666"/>
          <w:sz w:val="20"/>
          <w:szCs w:val="20"/>
        </w:rPr>
        <w:t>2</w:t>
      </w:r>
      <w:r w:rsidRPr="00334192">
        <w:rPr>
          <w:rFonts w:ascii="Segoe UI" w:eastAsia="Segoe UI" w:hAnsi="Segoe UI" w:cs="Segoe UI"/>
          <w:color w:val="666666"/>
          <w:sz w:val="20"/>
          <w:szCs w:val="20"/>
        </w:rPr>
        <w:t>% in constant currency)</w:t>
      </w:r>
    </w:p>
    <w:p w14:paraId="6C252D02" w14:textId="6E38473A" w:rsidR="00C7044F" w:rsidRPr="00334192" w:rsidRDefault="00C7044F" w:rsidP="00C7044F">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More Personal Computing was $</w:t>
      </w:r>
      <w:r w:rsidR="009B57CC" w:rsidRPr="00FE5627">
        <w:rPr>
          <w:rFonts w:ascii="Segoe UI" w:eastAsia="Segoe UI" w:hAnsi="Segoe UI" w:cs="Segoe UI"/>
          <w:color w:val="666666"/>
          <w:sz w:val="20"/>
          <w:szCs w:val="20"/>
        </w:rPr>
        <w:t>12.9</w:t>
      </w:r>
      <w:r w:rsidR="00C97533"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9B57CC" w:rsidRPr="00FE5627">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(up </w:t>
      </w:r>
      <w:r w:rsidR="009B57CC" w:rsidRPr="00FE5627">
        <w:rPr>
          <w:rFonts w:ascii="Segoe UI" w:eastAsia="Segoe UI" w:hAnsi="Segoe UI" w:cs="Segoe UI"/>
          <w:color w:val="666666"/>
          <w:sz w:val="20"/>
          <w:szCs w:val="20"/>
        </w:rPr>
        <w:t>16</w:t>
      </w:r>
      <w:r w:rsidR="00D70D55">
        <w:rPr>
          <w:rFonts w:ascii="Segoe UI" w:eastAsia="Segoe UI" w:hAnsi="Segoe UI" w:cs="Segoe UI"/>
          <w:color w:val="666666"/>
          <w:sz w:val="20"/>
          <w:szCs w:val="20"/>
        </w:rPr>
        <w:t>%</w:t>
      </w:r>
      <w:r w:rsidRPr="00A34280">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 with the following business highlights:</w:t>
      </w:r>
    </w:p>
    <w:p w14:paraId="266855E1" w14:textId="263A5865" w:rsidR="008A06B1" w:rsidRPr="000E72A0" w:rsidRDefault="008A06B1" w:rsidP="000E72A0">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0E72A0" w:rsidRPr="00513C0C">
        <w:rPr>
          <w:rFonts w:ascii="Segoe UI" w:eastAsia="Segoe UI" w:hAnsi="Segoe UI" w:cs="Segoe UI"/>
          <w:color w:val="666666"/>
          <w:sz w:val="20"/>
          <w:szCs w:val="20"/>
        </w:rPr>
        <w:t xml:space="preserve">increased </w:t>
      </w:r>
      <w:r w:rsidR="00385A0C" w:rsidRPr="00FE5627">
        <w:rPr>
          <w:rFonts w:ascii="Segoe UI" w:eastAsia="Segoe UI" w:hAnsi="Segoe UI" w:cs="Segoe UI"/>
          <w:color w:val="666666"/>
          <w:sz w:val="20"/>
          <w:szCs w:val="20"/>
        </w:rPr>
        <w:t>7</w:t>
      </w:r>
      <w:r w:rsidR="000E72A0" w:rsidRPr="00513C0C">
        <w:rPr>
          <w:rFonts w:ascii="Segoe UI" w:eastAsia="Segoe UI" w:hAnsi="Segoe UI" w:cs="Segoe UI"/>
          <w:color w:val="666666"/>
          <w:sz w:val="20"/>
          <w:szCs w:val="20"/>
        </w:rPr>
        <w:t xml:space="preserve">% </w:t>
      </w:r>
    </w:p>
    <w:p w14:paraId="0BB36BC3" w14:textId="22BDB06C" w:rsidR="008A06B1" w:rsidRPr="00513C0C"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00215D54" w:rsidRPr="00FE5627">
        <w:rPr>
          <w:rFonts w:ascii="Segoe UI" w:eastAsia="Segoe UI" w:hAnsi="Segoe UI" w:cs="Segoe UI"/>
          <w:color w:val="666666"/>
          <w:sz w:val="20"/>
          <w:szCs w:val="20"/>
        </w:rPr>
        <w:t>9</w:t>
      </w:r>
      <w:r w:rsidRPr="00513C0C">
        <w:rPr>
          <w:rFonts w:ascii="Segoe UI" w:eastAsia="Segoe UI" w:hAnsi="Segoe UI" w:cs="Segoe UI"/>
          <w:color w:val="666666"/>
          <w:sz w:val="20"/>
          <w:szCs w:val="20"/>
        </w:rPr>
        <w:t xml:space="preserve">% (up </w:t>
      </w:r>
      <w:r w:rsidR="00215D54" w:rsidRPr="00FE5627">
        <w:rPr>
          <w:rFonts w:ascii="Segoe UI" w:eastAsia="Segoe UI" w:hAnsi="Segoe UI" w:cs="Segoe UI"/>
          <w:color w:val="666666"/>
          <w:sz w:val="20"/>
          <w:szCs w:val="20"/>
        </w:rPr>
        <w:t>11</w:t>
      </w:r>
      <w:r w:rsidR="00452598" w:rsidRPr="00513C0C">
        <w:rPr>
          <w:rFonts w:ascii="Segoe UI" w:eastAsia="Segoe UI" w:hAnsi="Segoe UI" w:cs="Segoe UI"/>
          <w:color w:val="666666"/>
          <w:sz w:val="20"/>
          <w:szCs w:val="20"/>
        </w:rPr>
        <w:t>%</w:t>
      </w:r>
      <w:r w:rsidR="00452598">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in constant currency) </w:t>
      </w:r>
    </w:p>
    <w:p w14:paraId="420A2D0E" w14:textId="7B934C31" w:rsidR="00A55CA1" w:rsidRPr="00A55CA1" w:rsidRDefault="00A55CA1" w:rsidP="00A55CA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increased </w:t>
      </w:r>
      <w:r w:rsidR="00215D54" w:rsidRPr="00FE5627">
        <w:rPr>
          <w:rFonts w:ascii="Segoe UI" w:eastAsia="Segoe UI" w:hAnsi="Segoe UI" w:cs="Segoe UI"/>
          <w:color w:val="666666"/>
          <w:sz w:val="20"/>
          <w:szCs w:val="20"/>
        </w:rPr>
        <w:t>65</w:t>
      </w:r>
      <w:r w:rsidRPr="00513C0C">
        <w:rPr>
          <w:rFonts w:ascii="Segoe UI" w:eastAsia="Segoe UI" w:hAnsi="Segoe UI" w:cs="Segoe UI"/>
          <w:color w:val="666666"/>
          <w:sz w:val="20"/>
          <w:szCs w:val="20"/>
        </w:rPr>
        <w:t xml:space="preserve">% (up </w:t>
      </w:r>
      <w:r w:rsidR="00215D54" w:rsidRPr="00FE5627">
        <w:rPr>
          <w:rFonts w:ascii="Segoe UI" w:eastAsia="Segoe UI" w:hAnsi="Segoe UI" w:cs="Segoe UI"/>
          <w:color w:val="666666"/>
          <w:sz w:val="20"/>
          <w:szCs w:val="20"/>
        </w:rPr>
        <w:t>6</w:t>
      </w:r>
      <w:r w:rsidR="00C12705">
        <w:rPr>
          <w:rFonts w:ascii="Segoe UI" w:eastAsia="Segoe UI" w:hAnsi="Segoe UI" w:cs="Segoe UI"/>
          <w:color w:val="666666"/>
          <w:sz w:val="20"/>
          <w:szCs w:val="20"/>
        </w:rPr>
        <w:t>8</w:t>
      </w:r>
      <w:r w:rsidRPr="00513C0C">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in constant currency) </w:t>
      </w:r>
    </w:p>
    <w:p w14:paraId="760D9630" w14:textId="1DA55188" w:rsidR="008A06B1" w:rsidRDefault="008A06B1" w:rsidP="008A06B1">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increased </w:t>
      </w:r>
      <w:r w:rsidR="0020699F" w:rsidRPr="00FE5627">
        <w:rPr>
          <w:rFonts w:ascii="Segoe UI" w:eastAsia="Segoe UI" w:hAnsi="Segoe UI" w:cs="Segoe UI"/>
          <w:color w:val="666666"/>
          <w:sz w:val="20"/>
          <w:szCs w:val="20"/>
        </w:rPr>
        <w:t>28</w:t>
      </w:r>
      <w:r w:rsidR="00452598" w:rsidRPr="00513C0C">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243276" w:rsidRPr="00C939D0">
        <w:rPr>
          <w:rFonts w:ascii="Segoe UI" w:eastAsia="Segoe UI" w:hAnsi="Segoe UI" w:cs="Segoe UI"/>
          <w:color w:val="666666"/>
          <w:sz w:val="20"/>
          <w:szCs w:val="20"/>
        </w:rPr>
        <w:t>30</w:t>
      </w:r>
      <w:r w:rsidR="00452598" w:rsidRPr="00513C0C">
        <w:rPr>
          <w:rFonts w:ascii="Segoe UI" w:eastAsia="Segoe UI" w:hAnsi="Segoe UI" w:cs="Segoe UI"/>
          <w:color w:val="666666"/>
          <w:sz w:val="20"/>
          <w:szCs w:val="20"/>
        </w:rPr>
        <w:t>%</w:t>
      </w:r>
      <w:r w:rsidRPr="00E761B0">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in constant currency)</w:t>
      </w:r>
    </w:p>
    <w:p w14:paraId="15A9EA7B" w14:textId="77777777" w:rsidR="00157F34" w:rsidRDefault="009A4F14" w:rsidP="009A4F14">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advertising revenue excluding traffic acquisition costs </w:t>
      </w:r>
      <w:r>
        <w:rPr>
          <w:rFonts w:ascii="Segoe UI" w:eastAsia="Segoe UI" w:hAnsi="Segoe UI" w:cs="Segoe UI"/>
          <w:color w:val="666666"/>
          <w:sz w:val="20"/>
          <w:szCs w:val="20"/>
        </w:rPr>
        <w:t>decreased</w:t>
      </w:r>
      <w:r w:rsidRPr="00513C0C">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18</w:t>
      </w:r>
      <w:r w:rsidRPr="00513C0C">
        <w:rPr>
          <w:rFonts w:ascii="Segoe UI" w:eastAsia="Segoe UI" w:hAnsi="Segoe UI" w:cs="Segoe UI"/>
          <w:color w:val="666666"/>
          <w:sz w:val="20"/>
          <w:szCs w:val="20"/>
        </w:rPr>
        <w:t>% (</w:t>
      </w:r>
      <w:r>
        <w:rPr>
          <w:rFonts w:ascii="Segoe UI" w:eastAsia="Segoe UI" w:hAnsi="Segoe UI" w:cs="Segoe UI"/>
          <w:color w:val="666666"/>
          <w:sz w:val="20"/>
          <w:szCs w:val="20"/>
        </w:rPr>
        <w:t>down</w:t>
      </w:r>
      <w:r w:rsidRPr="00513C0C">
        <w:rPr>
          <w:rFonts w:ascii="Segoe UI" w:eastAsia="Segoe UI" w:hAnsi="Segoe UI" w:cs="Segoe UI"/>
          <w:color w:val="666666"/>
          <w:sz w:val="20"/>
          <w:szCs w:val="20"/>
        </w:rPr>
        <w:t xml:space="preserve"> </w:t>
      </w:r>
      <w:r w:rsidRPr="00FE5627">
        <w:rPr>
          <w:rFonts w:ascii="Segoe UI" w:eastAsia="Segoe UI" w:hAnsi="Segoe UI" w:cs="Segoe UI"/>
          <w:color w:val="666666"/>
          <w:sz w:val="20"/>
          <w:szCs w:val="20"/>
        </w:rPr>
        <w:t>17</w:t>
      </w:r>
      <w:r w:rsidRPr="00513C0C">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in constant currency) </w:t>
      </w:r>
      <w:r w:rsidRPr="000E72A0">
        <w:rPr>
          <w:rFonts w:ascii="Segoe UI" w:eastAsia="Segoe UI" w:hAnsi="Segoe UI" w:cs="Segoe UI"/>
          <w:color w:val="666666"/>
          <w:sz w:val="20"/>
          <w:szCs w:val="20"/>
        </w:rPr>
        <w:t xml:space="preserve"> </w:t>
      </w:r>
    </w:p>
    <w:p w14:paraId="33BFBBA2" w14:textId="32F0FCD5" w:rsidR="005506EC" w:rsidRPr="005506EC" w:rsidRDefault="005506EC" w:rsidP="005506EC">
      <w:pPr>
        <w:rPr>
          <w:rFonts w:ascii="Segoe UI" w:eastAsia="Segoe UI" w:hAnsi="Segoe UI" w:cs="Segoe UI"/>
          <w:color w:val="666666"/>
          <w:sz w:val="20"/>
          <w:szCs w:val="20"/>
        </w:rPr>
      </w:pPr>
      <w:r w:rsidRPr="005506EC">
        <w:rPr>
          <w:rFonts w:ascii="Segoe UI" w:eastAsia="Segoe UI" w:hAnsi="Segoe UI" w:cs="Segoe UI"/>
          <w:color w:val="666666"/>
          <w:sz w:val="20"/>
          <w:szCs w:val="20"/>
        </w:rPr>
        <w:t>Operating expenses were $12.3 billion and increased 13%</w:t>
      </w:r>
      <w:r w:rsidR="002A7CCB">
        <w:rPr>
          <w:rFonts w:ascii="Segoe UI" w:eastAsia="Segoe UI" w:hAnsi="Segoe UI" w:cs="Segoe UI"/>
          <w:color w:val="666666"/>
          <w:sz w:val="20"/>
          <w:szCs w:val="20"/>
        </w:rPr>
        <w:t xml:space="preserve">, </w:t>
      </w:r>
      <w:r w:rsidRPr="005506EC">
        <w:rPr>
          <w:rFonts w:ascii="Segoe UI" w:eastAsia="Segoe UI" w:hAnsi="Segoe UI" w:cs="Segoe UI"/>
          <w:color w:val="666666"/>
          <w:sz w:val="20"/>
          <w:szCs w:val="20"/>
        </w:rPr>
        <w:t xml:space="preserve">including </w:t>
      </w:r>
      <w:r>
        <w:rPr>
          <w:rFonts w:ascii="Segoe UI" w:eastAsia="Segoe UI" w:hAnsi="Segoe UI" w:cs="Segoe UI"/>
          <w:color w:val="666666"/>
          <w:sz w:val="20"/>
          <w:szCs w:val="20"/>
        </w:rPr>
        <w:t>the</w:t>
      </w:r>
      <w:r w:rsidRPr="005506EC">
        <w:rPr>
          <w:rFonts w:ascii="Segoe UI" w:eastAsia="Segoe UI" w:hAnsi="Segoe UI" w:cs="Segoe UI"/>
          <w:color w:val="666666"/>
          <w:sz w:val="20"/>
          <w:szCs w:val="20"/>
        </w:rPr>
        <w:t xml:space="preserve"> $450 million charge for the closure of the Microsoft Store physical locations. </w:t>
      </w:r>
    </w:p>
    <w:p w14:paraId="773BDAED" w14:textId="05B54678" w:rsidR="006821EA" w:rsidRPr="006821EA" w:rsidRDefault="006821EA" w:rsidP="006821EA">
      <w:pPr>
        <w:rPr>
          <w:rFonts w:ascii="Segoe UI" w:eastAsia="Segoe UI" w:hAnsi="Segoe UI" w:cs="Segoe UI"/>
          <w:color w:val="666666"/>
          <w:sz w:val="20"/>
          <w:szCs w:val="20"/>
        </w:rPr>
      </w:pPr>
      <w:r w:rsidRPr="00C36126">
        <w:rPr>
          <w:rFonts w:ascii="Segoe UI" w:eastAsia="Segoe UI" w:hAnsi="Segoe UI" w:cs="Segoe UI"/>
          <w:color w:val="666666"/>
          <w:sz w:val="20"/>
          <w:szCs w:val="20"/>
        </w:rPr>
        <w:t>Microsoft returned $</w:t>
      </w:r>
      <w:r w:rsidR="00076378">
        <w:rPr>
          <w:rFonts w:ascii="Segoe UI" w:eastAsia="Segoe UI" w:hAnsi="Segoe UI" w:cs="Segoe UI"/>
          <w:color w:val="666666"/>
          <w:sz w:val="20"/>
          <w:szCs w:val="20"/>
        </w:rPr>
        <w:t>8</w:t>
      </w:r>
      <w:r w:rsidR="006C06DB" w:rsidRPr="00FE5627">
        <w:rPr>
          <w:rFonts w:ascii="Segoe UI" w:eastAsia="Segoe UI" w:hAnsi="Segoe UI" w:cs="Segoe UI"/>
          <w:color w:val="666666"/>
          <w:sz w:val="20"/>
          <w:szCs w:val="20"/>
        </w:rPr>
        <w:t>.9</w:t>
      </w:r>
      <w:r w:rsidR="00D771FE" w:rsidRPr="00C36126">
        <w:rPr>
          <w:rFonts w:ascii="Segoe UI" w:eastAsia="Segoe UI" w:hAnsi="Segoe UI" w:cs="Segoe UI"/>
          <w:color w:val="666666"/>
          <w:sz w:val="20"/>
          <w:szCs w:val="20"/>
        </w:rPr>
        <w:t xml:space="preserve"> </w:t>
      </w:r>
      <w:r w:rsidRPr="00C36126">
        <w:rPr>
          <w:rFonts w:ascii="Segoe UI" w:eastAsia="Segoe UI" w:hAnsi="Segoe UI" w:cs="Segoe UI"/>
          <w:color w:val="666666"/>
          <w:sz w:val="20"/>
          <w:szCs w:val="20"/>
        </w:rPr>
        <w:t xml:space="preserve">billion to shareholders in the form of share repurchases and dividends in the </w:t>
      </w:r>
      <w:r w:rsidR="00D771FE">
        <w:rPr>
          <w:rFonts w:ascii="Segoe UI" w:eastAsia="Segoe UI" w:hAnsi="Segoe UI" w:cs="Segoe UI"/>
          <w:color w:val="666666"/>
          <w:sz w:val="20"/>
          <w:szCs w:val="20"/>
        </w:rPr>
        <w:t>fourth</w:t>
      </w:r>
      <w:r w:rsidRPr="00C36126">
        <w:rPr>
          <w:rFonts w:ascii="Segoe UI" w:eastAsia="Segoe UI" w:hAnsi="Segoe UI" w:cs="Segoe UI"/>
          <w:color w:val="666666"/>
          <w:sz w:val="20"/>
          <w:szCs w:val="20"/>
        </w:rPr>
        <w:t xml:space="preserve"> quarter of fiscal year 2020, </w:t>
      </w:r>
      <w:r w:rsidRPr="00FE5627">
        <w:rPr>
          <w:rFonts w:ascii="Segoe UI" w:eastAsia="Segoe UI" w:hAnsi="Segoe UI" w:cs="Segoe UI"/>
          <w:color w:val="666666"/>
          <w:sz w:val="20"/>
          <w:szCs w:val="20"/>
        </w:rPr>
        <w:t xml:space="preserve">an increase of </w:t>
      </w:r>
      <w:r w:rsidR="006F31FB" w:rsidRPr="00FE5627">
        <w:rPr>
          <w:rFonts w:ascii="Segoe UI" w:eastAsia="Segoe UI" w:hAnsi="Segoe UI" w:cs="Segoe UI"/>
          <w:color w:val="666666"/>
          <w:sz w:val="20"/>
          <w:szCs w:val="20"/>
        </w:rPr>
        <w:t>1</w:t>
      </w:r>
      <w:r w:rsidR="007F2CA4">
        <w:rPr>
          <w:rFonts w:ascii="Segoe UI" w:eastAsia="Segoe UI" w:hAnsi="Segoe UI" w:cs="Segoe UI"/>
          <w:color w:val="666666"/>
          <w:sz w:val="20"/>
          <w:szCs w:val="20"/>
        </w:rPr>
        <w:t>6</w:t>
      </w:r>
      <w:r w:rsidRPr="00FE5627">
        <w:rPr>
          <w:rFonts w:ascii="Segoe UI" w:eastAsia="Segoe UI" w:hAnsi="Segoe UI" w:cs="Segoe UI"/>
          <w:color w:val="666666"/>
          <w:sz w:val="20"/>
          <w:szCs w:val="20"/>
        </w:rPr>
        <w:t xml:space="preserve">% compared to the </w:t>
      </w:r>
      <w:r w:rsidR="00D771FE" w:rsidRPr="00FE5627">
        <w:rPr>
          <w:rFonts w:ascii="Segoe UI" w:eastAsia="Segoe UI" w:hAnsi="Segoe UI" w:cs="Segoe UI"/>
          <w:color w:val="666666"/>
          <w:sz w:val="20"/>
          <w:szCs w:val="20"/>
        </w:rPr>
        <w:t>fourth</w:t>
      </w:r>
      <w:r w:rsidRPr="00FE5627">
        <w:rPr>
          <w:rFonts w:ascii="Segoe UI" w:eastAsia="Segoe UI" w:hAnsi="Segoe UI" w:cs="Segoe UI"/>
          <w:color w:val="666666"/>
          <w:sz w:val="20"/>
          <w:szCs w:val="20"/>
        </w:rPr>
        <w:t xml:space="preserve"> quarter of fiscal year 2019</w:t>
      </w:r>
      <w:r w:rsidRPr="00C36126">
        <w:rPr>
          <w:rFonts w:ascii="Segoe UI" w:eastAsia="Segoe UI" w:hAnsi="Segoe UI" w:cs="Segoe UI"/>
          <w:color w:val="666666"/>
          <w:sz w:val="20"/>
          <w:szCs w:val="20"/>
        </w:rPr>
        <w:t>.</w:t>
      </w:r>
    </w:p>
    <w:p w14:paraId="0D9A2FF9" w14:textId="267AC51E" w:rsidR="00C7044F" w:rsidRPr="008465B4" w:rsidRDefault="00C7044F" w:rsidP="00C7044F">
      <w:pPr>
        <w:spacing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sidR="007D10E4">
        <w:rPr>
          <w:rFonts w:ascii="Segoe UI" w:eastAsia="Segoe UI" w:hAnsi="Segoe UI" w:cs="Segoe UI"/>
          <w:b/>
          <w:color w:val="666666"/>
          <w:sz w:val="20"/>
          <w:szCs w:val="20"/>
        </w:rPr>
        <w:t>20</w:t>
      </w:r>
      <w:r w:rsidRPr="31A6BAF1">
        <w:rPr>
          <w:rFonts w:ascii="Segoe UI" w:eastAsia="Segoe UI" w:hAnsi="Segoe UI" w:cs="Segoe UI"/>
          <w:b/>
          <w:color w:val="666666"/>
          <w:sz w:val="20"/>
          <w:szCs w:val="20"/>
        </w:rPr>
        <w:t xml:space="preserve"> Results</w:t>
      </w:r>
    </w:p>
    <w:p w14:paraId="6F2F23BE" w14:textId="267AC51E" w:rsidR="00C7044F" w:rsidRPr="008465B4" w:rsidRDefault="00C7044F" w:rsidP="00C7044F">
      <w:pPr>
        <w:spacing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w:t>
      </w:r>
      <w:r w:rsidR="007D10E4">
        <w:rPr>
          <w:rFonts w:ascii="Segoe UI" w:eastAsia="Segoe UI" w:hAnsi="Segoe UI" w:cs="Segoe UI"/>
          <w:color w:val="666666"/>
          <w:sz w:val="20"/>
          <w:szCs w:val="20"/>
        </w:rPr>
        <w:t>20</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425031B4" w14:textId="607F49F0" w:rsidR="0096322B"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lastRenderedPageBreak/>
        <w:t xml:space="preserve">Revenue was </w:t>
      </w:r>
      <w:r>
        <w:rPr>
          <w:rFonts w:ascii="Segoe UI" w:eastAsia="Segoe UI" w:hAnsi="Segoe UI" w:cs="Segoe UI"/>
          <w:color w:val="666666"/>
          <w:sz w:val="20"/>
          <w:szCs w:val="20"/>
        </w:rPr>
        <w:t>$</w:t>
      </w:r>
      <w:r w:rsidR="00666963" w:rsidRPr="002C6AA3">
        <w:rPr>
          <w:rFonts w:ascii="Segoe UI" w:eastAsia="Segoe UI" w:hAnsi="Segoe UI" w:cs="Segoe UI"/>
          <w:color w:val="666666"/>
          <w:sz w:val="20"/>
          <w:szCs w:val="20"/>
        </w:rPr>
        <w:t>143</w:t>
      </w:r>
      <w:r w:rsidR="007A7506" w:rsidRPr="002C6AA3">
        <w:rPr>
          <w:rFonts w:ascii="Segoe UI" w:eastAsia="Segoe UI" w:hAnsi="Segoe UI" w:cs="Segoe UI"/>
          <w:color w:val="666666"/>
          <w:sz w:val="20"/>
          <w:szCs w:val="20"/>
        </w:rPr>
        <w:t>.0</w:t>
      </w:r>
      <w:r w:rsidRPr="002C6AA3">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7A7506" w:rsidRPr="002C6AA3">
        <w:rPr>
          <w:rFonts w:ascii="Segoe UI" w:eastAsia="Segoe UI" w:hAnsi="Segoe UI" w:cs="Segoe UI"/>
          <w:color w:val="666666"/>
          <w:sz w:val="20"/>
          <w:szCs w:val="20"/>
        </w:rPr>
        <w:t>14</w:t>
      </w:r>
      <w:r w:rsidRPr="00A34280">
        <w:rPr>
          <w:rFonts w:ascii="Segoe UI" w:eastAsia="Segoe UI" w:hAnsi="Segoe UI" w:cs="Segoe UI"/>
          <w:color w:val="666666"/>
          <w:sz w:val="20"/>
          <w:szCs w:val="20"/>
        </w:rPr>
        <w:t>%</w:t>
      </w:r>
    </w:p>
    <w:p w14:paraId="198F9704" w14:textId="43A61B1C" w:rsidR="0096322B" w:rsidRPr="00243400"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Pr>
          <w:rFonts w:ascii="Segoe UI" w:eastAsia="Segoe UI" w:hAnsi="Segoe UI" w:cs="Segoe UI"/>
          <w:color w:val="666666"/>
          <w:sz w:val="20"/>
          <w:szCs w:val="20"/>
        </w:rPr>
        <w:t>$</w:t>
      </w:r>
      <w:r w:rsidR="007A7506" w:rsidRPr="002C6AA3">
        <w:rPr>
          <w:rFonts w:ascii="Segoe UI" w:eastAsia="Segoe UI" w:hAnsi="Segoe UI" w:cs="Segoe UI"/>
          <w:color w:val="666666"/>
          <w:sz w:val="20"/>
          <w:szCs w:val="20"/>
        </w:rPr>
        <w:t>53.</w:t>
      </w:r>
      <w:r w:rsidR="00644622" w:rsidRPr="005C49C2">
        <w:rPr>
          <w:rFonts w:ascii="Segoe UI" w:eastAsia="Segoe UI" w:hAnsi="Segoe UI" w:cs="Segoe UI"/>
          <w:color w:val="666666"/>
          <w:sz w:val="20"/>
          <w:szCs w:val="20"/>
        </w:rPr>
        <w:t>0</w:t>
      </w:r>
      <w:r w:rsidRPr="31A6BAF1">
        <w:rPr>
          <w:rFonts w:ascii="Segoe UI" w:eastAsia="Segoe UI" w:hAnsi="Segoe UI" w:cs="Segoe UI"/>
          <w:color w:val="666666"/>
          <w:sz w:val="20"/>
          <w:szCs w:val="20"/>
        </w:rPr>
        <w:t xml:space="preserve"> billion and increased </w:t>
      </w:r>
      <w:r w:rsidR="007A7506" w:rsidRPr="005C49C2">
        <w:rPr>
          <w:rFonts w:ascii="Segoe UI" w:eastAsia="Segoe UI" w:hAnsi="Segoe UI" w:cs="Segoe UI"/>
          <w:color w:val="666666"/>
          <w:sz w:val="20"/>
          <w:szCs w:val="20"/>
        </w:rPr>
        <w:t>2</w:t>
      </w:r>
      <w:r w:rsidR="00894876" w:rsidRPr="005C49C2">
        <w:rPr>
          <w:rFonts w:ascii="Segoe UI" w:eastAsia="Segoe UI" w:hAnsi="Segoe UI" w:cs="Segoe UI"/>
          <w:color w:val="666666"/>
          <w:sz w:val="20"/>
          <w:szCs w:val="20"/>
        </w:rPr>
        <w:t>3</w:t>
      </w:r>
      <w:r w:rsidRPr="00A34280">
        <w:rPr>
          <w:rFonts w:ascii="Segoe UI" w:eastAsia="Segoe UI" w:hAnsi="Segoe UI" w:cs="Segoe UI"/>
          <w:color w:val="666666"/>
          <w:sz w:val="20"/>
          <w:szCs w:val="20"/>
        </w:rPr>
        <w:t>%</w:t>
      </w:r>
    </w:p>
    <w:p w14:paraId="34A13903" w14:textId="30FFB023" w:rsidR="0096322B" w:rsidRPr="00DF2E5B" w:rsidRDefault="0096322B" w:rsidP="0096322B">
      <w:pPr>
        <w:pStyle w:val="ListParagraph"/>
        <w:numPr>
          <w:ilvl w:val="0"/>
          <w:numId w:val="2"/>
        </w:num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Pr>
          <w:rFonts w:ascii="Segoe UI" w:eastAsia="Segoe UI" w:hAnsi="Segoe UI" w:cs="Segoe UI"/>
          <w:color w:val="666666"/>
          <w:sz w:val="20"/>
          <w:szCs w:val="20"/>
        </w:rPr>
        <w:t>$</w:t>
      </w:r>
      <w:r w:rsidR="002C0E44" w:rsidRPr="008C75A6">
        <w:rPr>
          <w:rFonts w:ascii="Segoe UI" w:eastAsia="Segoe UI" w:hAnsi="Segoe UI" w:cs="Segoe UI"/>
          <w:color w:val="666666"/>
          <w:sz w:val="20"/>
          <w:szCs w:val="20"/>
        </w:rPr>
        <w:t>44.3</w:t>
      </w:r>
      <w:r w:rsidRPr="00042D12">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and increased </w:t>
      </w:r>
      <w:r w:rsidR="00252B31" w:rsidRPr="001B0FB7">
        <w:rPr>
          <w:rFonts w:ascii="Segoe UI" w:eastAsia="Segoe UI" w:hAnsi="Segoe UI" w:cs="Segoe UI"/>
          <w:color w:val="666666"/>
          <w:sz w:val="20"/>
          <w:szCs w:val="20"/>
        </w:rPr>
        <w:t>13</w:t>
      </w:r>
      <w:r>
        <w:rPr>
          <w:rFonts w:ascii="Segoe UI" w:eastAsia="Segoe UI" w:hAnsi="Segoe UI" w:cs="Segoe UI"/>
          <w:color w:val="666666"/>
          <w:sz w:val="20"/>
          <w:szCs w:val="20"/>
        </w:rPr>
        <w:t xml:space="preserve">% </w:t>
      </w:r>
      <w:r w:rsidR="00EF11E5">
        <w:rPr>
          <w:rFonts w:ascii="Segoe UI" w:eastAsia="Segoe UI" w:hAnsi="Segoe UI" w:cs="Segoe UI"/>
          <w:color w:val="666666"/>
          <w:sz w:val="20"/>
          <w:szCs w:val="20"/>
        </w:rPr>
        <w:t xml:space="preserve">GAAP </w:t>
      </w:r>
      <w:r>
        <w:rPr>
          <w:rFonts w:ascii="Segoe UI" w:eastAsia="Segoe UI" w:hAnsi="Segoe UI" w:cs="Segoe UI"/>
          <w:color w:val="666666"/>
          <w:sz w:val="20"/>
          <w:szCs w:val="20"/>
        </w:rPr>
        <w:t xml:space="preserve">and </w:t>
      </w:r>
      <w:r w:rsidR="001B0FB7" w:rsidRPr="001B0FB7">
        <w:rPr>
          <w:rFonts w:ascii="Segoe UI" w:eastAsia="Segoe UI" w:hAnsi="Segoe UI" w:cs="Segoe UI"/>
          <w:color w:val="666666"/>
          <w:sz w:val="20"/>
          <w:szCs w:val="20"/>
        </w:rPr>
        <w:t>20</w:t>
      </w:r>
      <w:r>
        <w:rPr>
          <w:rFonts w:ascii="Segoe UI" w:eastAsia="Segoe UI" w:hAnsi="Segoe UI" w:cs="Segoe UI"/>
          <w:color w:val="666666"/>
          <w:sz w:val="20"/>
          <w:szCs w:val="20"/>
        </w:rPr>
        <w:t>%</w:t>
      </w:r>
      <w:r w:rsidR="00EF11E5">
        <w:rPr>
          <w:rFonts w:ascii="Segoe UI" w:eastAsia="Segoe UI" w:hAnsi="Segoe UI" w:cs="Segoe UI"/>
          <w:color w:val="666666"/>
          <w:sz w:val="20"/>
          <w:szCs w:val="20"/>
        </w:rPr>
        <w:t xml:space="preserve"> non-GAAP</w:t>
      </w:r>
    </w:p>
    <w:p w14:paraId="281509A6" w14:textId="42369E6E" w:rsidR="0096322B" w:rsidRDefault="0096322B" w:rsidP="0096322B">
      <w:pPr>
        <w:pStyle w:val="ListParagraph"/>
        <w:numPr>
          <w:ilvl w:val="0"/>
          <w:numId w:val="2"/>
        </w:numPr>
        <w:spacing w:before="240" w:after="240"/>
        <w:rPr>
          <w:rFonts w:ascii="Segoe UI" w:eastAsia="Segoe UI" w:hAnsi="Segoe UI" w:cs="Segoe UI"/>
          <w:color w:val="666666"/>
          <w:sz w:val="20"/>
          <w:szCs w:val="20"/>
        </w:rPr>
      </w:pPr>
      <w:r w:rsidRPr="00DC766A">
        <w:rPr>
          <w:rFonts w:ascii="Segoe UI" w:eastAsia="Segoe UI" w:hAnsi="Segoe UI" w:cs="Segoe UI"/>
          <w:color w:val="666666"/>
          <w:sz w:val="20"/>
          <w:szCs w:val="20"/>
        </w:rPr>
        <w:t>Diluted earnings per share was $</w:t>
      </w:r>
      <w:r w:rsidR="00752344" w:rsidRPr="001B0FB7">
        <w:rPr>
          <w:rFonts w:ascii="Segoe UI" w:eastAsia="Segoe UI" w:hAnsi="Segoe UI" w:cs="Segoe UI"/>
          <w:color w:val="666666"/>
          <w:sz w:val="20"/>
          <w:szCs w:val="20"/>
        </w:rPr>
        <w:t>5.76</w:t>
      </w:r>
      <w:r>
        <w:rPr>
          <w:rFonts w:ascii="Segoe UI" w:eastAsia="Segoe UI" w:hAnsi="Segoe UI" w:cs="Segoe UI"/>
          <w:color w:val="666666"/>
          <w:sz w:val="20"/>
          <w:szCs w:val="20"/>
        </w:rPr>
        <w:t xml:space="preserve"> and increased </w:t>
      </w:r>
      <w:r w:rsidR="008F28D0" w:rsidRPr="001B0FB7">
        <w:rPr>
          <w:rFonts w:ascii="Segoe UI" w:eastAsia="Segoe UI" w:hAnsi="Segoe UI" w:cs="Segoe UI"/>
          <w:color w:val="666666"/>
          <w:sz w:val="20"/>
          <w:szCs w:val="20"/>
        </w:rPr>
        <w:t>14</w:t>
      </w:r>
      <w:r>
        <w:rPr>
          <w:rFonts w:ascii="Segoe UI" w:eastAsia="Segoe UI" w:hAnsi="Segoe UI" w:cs="Segoe UI"/>
          <w:color w:val="666666"/>
          <w:sz w:val="20"/>
          <w:szCs w:val="20"/>
        </w:rPr>
        <w:t xml:space="preserve">% </w:t>
      </w:r>
      <w:r w:rsidR="00EF11E5">
        <w:rPr>
          <w:rFonts w:ascii="Segoe UI" w:eastAsia="Segoe UI" w:hAnsi="Segoe UI" w:cs="Segoe UI"/>
          <w:color w:val="666666"/>
          <w:sz w:val="20"/>
          <w:szCs w:val="20"/>
        </w:rPr>
        <w:t xml:space="preserve">GAAP </w:t>
      </w:r>
      <w:r>
        <w:rPr>
          <w:rFonts w:ascii="Segoe UI" w:eastAsia="Segoe UI" w:hAnsi="Segoe UI" w:cs="Segoe UI"/>
          <w:color w:val="666666"/>
          <w:sz w:val="20"/>
          <w:szCs w:val="20"/>
        </w:rPr>
        <w:t xml:space="preserve">and </w:t>
      </w:r>
      <w:r w:rsidR="001E6D30" w:rsidRPr="001B0FB7">
        <w:rPr>
          <w:rFonts w:ascii="Segoe UI" w:eastAsia="Segoe UI" w:hAnsi="Segoe UI" w:cs="Segoe UI"/>
          <w:color w:val="666666"/>
          <w:sz w:val="20"/>
          <w:szCs w:val="20"/>
        </w:rPr>
        <w:t>21</w:t>
      </w:r>
      <w:r>
        <w:rPr>
          <w:rFonts w:ascii="Segoe UI" w:eastAsia="Segoe UI" w:hAnsi="Segoe UI" w:cs="Segoe UI"/>
          <w:color w:val="666666"/>
          <w:sz w:val="20"/>
          <w:szCs w:val="20"/>
        </w:rPr>
        <w:t>%</w:t>
      </w:r>
      <w:r w:rsidR="00EF11E5">
        <w:rPr>
          <w:rFonts w:ascii="Segoe UI" w:eastAsia="Segoe UI" w:hAnsi="Segoe UI" w:cs="Segoe UI"/>
          <w:color w:val="666666"/>
          <w:sz w:val="20"/>
          <w:szCs w:val="20"/>
        </w:rPr>
        <w:t xml:space="preserve"> non-GAAP</w:t>
      </w:r>
    </w:p>
    <w:p w14:paraId="42B4C28D" w14:textId="3AED0E30" w:rsidR="005D2B05" w:rsidRPr="00E6236F" w:rsidRDefault="00C7044F" w:rsidP="005F4371">
      <w:pPr>
        <w:spacing w:before="240" w:after="240"/>
        <w:rPr>
          <w:rFonts w:ascii="Segoe UI" w:eastAsia="Segoe UI" w:hAnsi="Segoe UI" w:cs="Segoe UI"/>
          <w:color w:val="666666"/>
          <w:sz w:val="20"/>
          <w:szCs w:val="20"/>
        </w:rPr>
      </w:pPr>
      <w:r w:rsidRPr="31A6BAF1">
        <w:rPr>
          <w:rFonts w:ascii="Segoe UI" w:eastAsia="Segoe UI" w:hAnsi="Segoe UI" w:cs="Segoe UI"/>
          <w:color w:val="666666"/>
          <w:sz w:val="20"/>
          <w:szCs w:val="20"/>
        </w:rPr>
        <w:t>The following table reconciles our financial results reported in accordance with GAAP to non-GAAP financial results. Additional information regarding our non-GAAP definition is provided below. All growth comparisons relate to the corresponding period in the last fiscal year.</w:t>
      </w:r>
    </w:p>
    <w:p w14:paraId="1808B297" w14:textId="77777777" w:rsidR="009F3265" w:rsidRPr="005F4371" w:rsidRDefault="009F3265" w:rsidP="005F4371">
      <w:pPr>
        <w:spacing w:before="240" w:after="240"/>
        <w:rPr>
          <w:rFonts w:ascii="Segoe UI" w:hAnsi="Segoe UI" w:cs="Segoe UI"/>
          <w:color w:val="666666"/>
          <w:sz w:val="20"/>
          <w:szCs w:val="20"/>
        </w:rPr>
      </w:pPr>
    </w:p>
    <w:tbl>
      <w:tblPr>
        <w:tblpPr w:leftFromText="180" w:rightFromText="180" w:vertAnchor="text" w:tblpY="1"/>
        <w:tblOverlap w:val="never"/>
        <w:tblW w:w="950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950"/>
        <w:gridCol w:w="1098"/>
        <w:gridCol w:w="1152"/>
        <w:gridCol w:w="1152"/>
        <w:gridCol w:w="576"/>
        <w:gridCol w:w="576"/>
      </w:tblGrid>
      <w:tr w:rsidR="00A91707" w:rsidRPr="00243400" w14:paraId="1E95B9F8" w14:textId="77777777" w:rsidTr="00AD4696">
        <w:trPr>
          <w:gridAfter w:val="1"/>
          <w:wAfter w:w="576" w:type="dxa"/>
          <w:trHeight w:val="340"/>
        </w:trPr>
        <w:tc>
          <w:tcPr>
            <w:tcW w:w="4950" w:type="dxa"/>
            <w:tcBorders>
              <w:top w:val="nil"/>
            </w:tcBorders>
          </w:tcPr>
          <w:p w14:paraId="2F6CCE5A" w14:textId="77777777" w:rsidR="00A91707" w:rsidRPr="00243400" w:rsidRDefault="00A91707" w:rsidP="00AD4696">
            <w:pPr>
              <w:spacing w:after="0"/>
              <w:rPr>
                <w:rFonts w:ascii="Segoe UI" w:eastAsia="Times New Roman" w:hAnsi="Segoe UI" w:cs="Segoe UI"/>
                <w:color w:val="666666"/>
                <w:sz w:val="16"/>
                <w:szCs w:val="16"/>
              </w:rPr>
            </w:pPr>
          </w:p>
        </w:tc>
        <w:tc>
          <w:tcPr>
            <w:tcW w:w="3978" w:type="dxa"/>
            <w:gridSpan w:val="4"/>
            <w:tcBorders>
              <w:top w:val="nil"/>
            </w:tcBorders>
          </w:tcPr>
          <w:p w14:paraId="7C3529E9" w14:textId="6B456214" w:rsidR="00A91707" w:rsidRPr="00243400" w:rsidRDefault="00A91707" w:rsidP="00AD4696">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A91707" w:rsidRPr="00243400" w14:paraId="22ABC48A" w14:textId="77777777" w:rsidTr="00AD4696">
        <w:trPr>
          <w:trHeight w:val="365"/>
        </w:trPr>
        <w:tc>
          <w:tcPr>
            <w:tcW w:w="4950" w:type="dxa"/>
            <w:tcBorders>
              <w:top w:val="single" w:sz="8" w:space="0" w:color="auto"/>
              <w:bottom w:val="single" w:sz="8" w:space="0" w:color="auto"/>
            </w:tcBorders>
            <w:vAlign w:val="bottom"/>
            <w:hideMark/>
          </w:tcPr>
          <w:p w14:paraId="710C2F57" w14:textId="77777777" w:rsidR="00A91707" w:rsidRPr="00243400" w:rsidRDefault="00A91707" w:rsidP="00AD4696">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098" w:type="dxa"/>
            <w:tcBorders>
              <w:top w:val="single" w:sz="8" w:space="0" w:color="auto"/>
              <w:bottom w:val="single" w:sz="8" w:space="0" w:color="auto"/>
            </w:tcBorders>
            <w:vAlign w:val="bottom"/>
          </w:tcPr>
          <w:p w14:paraId="7B810B0C" w14:textId="77777777" w:rsidR="00A91707" w:rsidRPr="00243400" w:rsidRDefault="00A91707" w:rsidP="00AD469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2091C1AC" w14:textId="77777777" w:rsidR="00A91707" w:rsidRPr="00243400" w:rsidRDefault="00A91707" w:rsidP="00AD469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12BFB622" w14:textId="77777777" w:rsidR="00A91707" w:rsidRPr="00243400" w:rsidRDefault="00A91707" w:rsidP="00AD469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152" w:type="dxa"/>
            <w:gridSpan w:val="2"/>
            <w:tcBorders>
              <w:top w:val="single" w:sz="8" w:space="0" w:color="auto"/>
              <w:bottom w:val="single" w:sz="8" w:space="0" w:color="auto"/>
            </w:tcBorders>
            <w:vAlign w:val="bottom"/>
          </w:tcPr>
          <w:p w14:paraId="5FBAF73D" w14:textId="77777777" w:rsidR="00A91707" w:rsidRPr="00243400" w:rsidRDefault="00A91707" w:rsidP="00AD4696">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165283" w:rsidRPr="00243400" w14:paraId="3C63B108" w14:textId="77777777" w:rsidTr="00AD4696">
        <w:trPr>
          <w:trHeight w:val="288"/>
        </w:trPr>
        <w:tc>
          <w:tcPr>
            <w:tcW w:w="4950" w:type="dxa"/>
            <w:tcBorders>
              <w:top w:val="single" w:sz="8" w:space="0" w:color="auto"/>
            </w:tcBorders>
            <w:noWrap/>
            <w:vAlign w:val="center"/>
          </w:tcPr>
          <w:p w14:paraId="329FB2C2" w14:textId="409B243C" w:rsidR="00165283" w:rsidRPr="00243400" w:rsidRDefault="00165283" w:rsidP="00165283">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2019 As Reported (GAAP)</w:t>
            </w:r>
          </w:p>
        </w:tc>
        <w:tc>
          <w:tcPr>
            <w:tcW w:w="1098" w:type="dxa"/>
            <w:tcBorders>
              <w:top w:val="single" w:sz="8" w:space="0" w:color="auto"/>
            </w:tcBorders>
            <w:vAlign w:val="center"/>
          </w:tcPr>
          <w:p w14:paraId="33998109" w14:textId="51CBA215" w:rsidR="00165283" w:rsidRPr="00243400" w:rsidRDefault="00165283" w:rsidP="0016528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$125,843</w:t>
            </w:r>
          </w:p>
        </w:tc>
        <w:tc>
          <w:tcPr>
            <w:tcW w:w="1152" w:type="dxa"/>
            <w:tcBorders>
              <w:top w:val="single" w:sz="8" w:space="0" w:color="auto"/>
            </w:tcBorders>
            <w:vAlign w:val="center"/>
          </w:tcPr>
          <w:p w14:paraId="22F817D4" w14:textId="3CA68961" w:rsidR="00165283" w:rsidRPr="00243400" w:rsidRDefault="00165283" w:rsidP="00165283">
            <w:pPr>
              <w:spacing w:after="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$42,959</w:t>
            </w:r>
          </w:p>
        </w:tc>
        <w:tc>
          <w:tcPr>
            <w:tcW w:w="1152" w:type="dxa"/>
            <w:tcBorders>
              <w:top w:val="single" w:sz="8" w:space="0" w:color="auto"/>
            </w:tcBorders>
            <w:vAlign w:val="center"/>
          </w:tcPr>
          <w:p w14:paraId="22B6E686" w14:textId="4D02FFCB" w:rsidR="00165283" w:rsidRPr="00243400" w:rsidRDefault="00165283" w:rsidP="00165283">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$39,240</w:t>
            </w:r>
            <w:r>
              <w:rPr>
                <w:rFonts w:ascii="Segoe UI" w:eastAsia="Times New Roman" w:hAnsi="Segoe UI" w:cs="Segoe UI"/>
                <w:b/>
                <w:bCs/>
                <w:color w:val="FFFFFF" w:themeColor="background1"/>
                <w:sz w:val="16"/>
                <w:szCs w:val="16"/>
              </w:rPr>
              <w:t>_</w:t>
            </w:r>
          </w:p>
        </w:tc>
        <w:tc>
          <w:tcPr>
            <w:tcW w:w="1152" w:type="dxa"/>
            <w:gridSpan w:val="2"/>
            <w:tcBorders>
              <w:top w:val="single" w:sz="8" w:space="0" w:color="auto"/>
            </w:tcBorders>
            <w:vAlign w:val="center"/>
          </w:tcPr>
          <w:p w14:paraId="5DB67998" w14:textId="52E2093E" w:rsidR="00165283" w:rsidRPr="00243400" w:rsidRDefault="00165283" w:rsidP="00165283">
            <w:pPr>
              <w:spacing w:after="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$5.06</w:t>
            </w:r>
            <w:r>
              <w:rPr>
                <w:rFonts w:ascii="Segoe UI" w:eastAsia="Times New Roman" w:hAnsi="Segoe UI" w:cs="Segoe UI"/>
                <w:b/>
                <w:bCs/>
                <w:color w:val="FFFFFF" w:themeColor="background1"/>
                <w:sz w:val="16"/>
                <w:szCs w:val="16"/>
              </w:rPr>
              <w:t>_</w:t>
            </w:r>
          </w:p>
        </w:tc>
      </w:tr>
      <w:tr w:rsidR="00165283" w:rsidRPr="00243400" w14:paraId="7A721750" w14:textId="77777777" w:rsidTr="00AD4696">
        <w:trPr>
          <w:trHeight w:val="288"/>
        </w:trPr>
        <w:tc>
          <w:tcPr>
            <w:tcW w:w="4950" w:type="dxa"/>
            <w:noWrap/>
            <w:vAlign w:val="center"/>
          </w:tcPr>
          <w:p w14:paraId="578B6090" w14:textId="6978E57A" w:rsidR="00165283" w:rsidRPr="6387FE86" w:rsidRDefault="00165283" w:rsidP="00165283">
            <w:pPr>
              <w:spacing w:after="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  Net Tax Impact of </w:t>
            </w:r>
            <w:r w:rsidRPr="00523558">
              <w:rPr>
                <w:rFonts w:ascii="Segoe UI" w:eastAsia="Times New Roman" w:hAnsi="Segoe UI" w:cs="Segoe UI"/>
                <w:color w:val="666666"/>
                <w:sz w:val="16"/>
                <w:szCs w:val="16"/>
              </w:rPr>
              <w:t>Transfer of Intangible Properties</w:t>
            </w:r>
          </w:p>
        </w:tc>
        <w:tc>
          <w:tcPr>
            <w:tcW w:w="1098" w:type="dxa"/>
            <w:vAlign w:val="center"/>
          </w:tcPr>
          <w:p w14:paraId="19045A4B" w14:textId="03D7D620" w:rsidR="00165283" w:rsidRPr="6387FE86" w:rsidRDefault="00165283" w:rsidP="00165283">
            <w:pPr>
              <w:spacing w:after="0"/>
              <w:ind w:firstLine="82"/>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5708AAE3" w14:textId="1205713F" w:rsidR="00165283" w:rsidRPr="6387FE86" w:rsidRDefault="00165283" w:rsidP="00165283">
            <w:pPr>
              <w:spacing w:after="0"/>
              <w:jc w:val="right"/>
              <w:rPr>
                <w:rFonts w:ascii="Segoe UI" w:eastAsia="Times New Roman" w:hAnsi="Segoe UI" w:cs="Segoe UI"/>
                <w:b/>
                <w:bCs/>
                <w:color w:val="666666"/>
                <w:sz w:val="16"/>
                <w:szCs w:val="16"/>
              </w:rPr>
            </w:pPr>
            <w:r>
              <w:rPr>
                <w:rFonts w:ascii="Segoe UI" w:eastAsia="Times New Roman" w:hAnsi="Segoe UI" w:cs="Segoe UI"/>
                <w:color w:val="262626" w:themeColor="text1" w:themeTint="D9"/>
                <w:sz w:val="16"/>
                <w:szCs w:val="16"/>
              </w:rPr>
              <w:t>-</w:t>
            </w:r>
          </w:p>
        </w:tc>
        <w:tc>
          <w:tcPr>
            <w:tcW w:w="1152" w:type="dxa"/>
            <w:vAlign w:val="center"/>
          </w:tcPr>
          <w:p w14:paraId="0290B6C9" w14:textId="38D6C46D" w:rsidR="00165283" w:rsidRPr="6387FE86" w:rsidRDefault="00165283" w:rsidP="00165283">
            <w:pPr>
              <w:spacing w:after="0"/>
              <w:jc w:val="right"/>
              <w:rPr>
                <w:rFonts w:ascii="Segoe UI" w:eastAsia="Times New Roman" w:hAnsi="Segoe UI" w:cs="Segoe UI"/>
                <w:b/>
                <w:bCs/>
                <w:color w:val="666666"/>
                <w:sz w:val="16"/>
                <w:szCs w:val="16"/>
              </w:rPr>
            </w:pPr>
            <w:r w:rsidRPr="006261BF">
              <w:rPr>
                <w:rFonts w:ascii="Segoe UI" w:eastAsia="Times New Roman" w:hAnsi="Segoe UI" w:cs="Segoe UI"/>
                <w:color w:val="666666"/>
                <w:sz w:val="16"/>
                <w:szCs w:val="16"/>
              </w:rPr>
              <w:t>(2,567</w:t>
            </w:r>
            <w:r w:rsidRPr="00F73A87">
              <w:rPr>
                <w:rFonts w:ascii="Segoe UI" w:eastAsia="Times New Roman" w:hAnsi="Segoe UI" w:cs="Segoe UI"/>
                <w:color w:val="666666"/>
                <w:sz w:val="16"/>
                <w:szCs w:val="16"/>
              </w:rPr>
              <w:t>)</w:t>
            </w:r>
          </w:p>
        </w:tc>
        <w:tc>
          <w:tcPr>
            <w:tcW w:w="1152" w:type="dxa"/>
            <w:gridSpan w:val="2"/>
            <w:vAlign w:val="center"/>
          </w:tcPr>
          <w:p w14:paraId="04C0FB37" w14:textId="35788C30" w:rsidR="00165283" w:rsidRPr="6387FE86" w:rsidRDefault="00165283" w:rsidP="00165283">
            <w:pPr>
              <w:spacing w:after="0"/>
              <w:jc w:val="right"/>
              <w:rPr>
                <w:rFonts w:ascii="Segoe UI" w:eastAsia="Times New Roman" w:hAnsi="Segoe UI" w:cs="Segoe UI"/>
                <w:b/>
                <w:bCs/>
                <w:color w:val="666666"/>
                <w:sz w:val="16"/>
                <w:szCs w:val="16"/>
              </w:rPr>
            </w:pPr>
            <w:r w:rsidRPr="00F73A87">
              <w:rPr>
                <w:rFonts w:ascii="Segoe UI" w:eastAsia="Times New Roman" w:hAnsi="Segoe UI" w:cs="Segoe UI"/>
                <w:color w:val="666666"/>
                <w:sz w:val="16"/>
                <w:szCs w:val="16"/>
              </w:rPr>
              <w:t>(0.33)</w:t>
            </w:r>
          </w:p>
        </w:tc>
      </w:tr>
      <w:tr w:rsidR="00165283" w:rsidRPr="00243400" w14:paraId="20B7060B" w14:textId="77777777" w:rsidTr="00AD4696">
        <w:trPr>
          <w:trHeight w:val="288"/>
        </w:trPr>
        <w:tc>
          <w:tcPr>
            <w:tcW w:w="4950" w:type="dxa"/>
            <w:noWrap/>
            <w:vAlign w:val="center"/>
          </w:tcPr>
          <w:p w14:paraId="3BFA045F" w14:textId="4331BDE6" w:rsidR="00165283" w:rsidRPr="6387FE86" w:rsidRDefault="00165283" w:rsidP="00165283">
            <w:pPr>
              <w:spacing w:after="0"/>
              <w:rPr>
                <w:rFonts w:ascii="Segoe UI" w:eastAsia="Times New Roman" w:hAnsi="Segoe UI" w:cs="Segoe UI"/>
                <w:color w:val="666666"/>
                <w:sz w:val="16"/>
                <w:szCs w:val="16"/>
              </w:rPr>
            </w:pPr>
            <w:r>
              <w:rPr>
                <w:rFonts w:ascii="Segoe UI" w:eastAsia="Times New Roman" w:hAnsi="Segoe UI" w:cs="Segoe UI"/>
                <w:color w:val="666666"/>
                <w:sz w:val="16"/>
                <w:szCs w:val="16"/>
              </w:rPr>
              <w:t xml:space="preserve">  Net Impact of the </w:t>
            </w:r>
            <w:r w:rsidR="00CA190A">
              <w:rPr>
                <w:rFonts w:ascii="Segoe UI" w:eastAsia="Times New Roman" w:hAnsi="Segoe UI" w:cs="Segoe UI"/>
                <w:color w:val="666666"/>
                <w:sz w:val="16"/>
                <w:szCs w:val="16"/>
              </w:rPr>
              <w:t>Tax Cuts and Jobs Act (</w:t>
            </w:r>
            <w:r>
              <w:rPr>
                <w:rFonts w:ascii="Segoe UI" w:eastAsia="Times New Roman" w:hAnsi="Segoe UI" w:cs="Segoe UI"/>
                <w:color w:val="666666"/>
                <w:sz w:val="16"/>
                <w:szCs w:val="16"/>
              </w:rPr>
              <w:t>TCJA</w:t>
            </w:r>
            <w:r w:rsidR="00CA190A">
              <w:rPr>
                <w:rFonts w:ascii="Segoe UI" w:eastAsia="Times New Roman" w:hAnsi="Segoe UI" w:cs="Segoe UI"/>
                <w:color w:val="666666"/>
                <w:sz w:val="16"/>
                <w:szCs w:val="16"/>
              </w:rPr>
              <w:t>)</w:t>
            </w:r>
          </w:p>
        </w:tc>
        <w:tc>
          <w:tcPr>
            <w:tcW w:w="1098" w:type="dxa"/>
            <w:vAlign w:val="center"/>
          </w:tcPr>
          <w:p w14:paraId="018693A5" w14:textId="583D34E6" w:rsidR="00165283" w:rsidRDefault="00165283" w:rsidP="00165283">
            <w:pPr>
              <w:spacing w:after="0"/>
              <w:ind w:firstLine="82"/>
              <w:jc w:val="right"/>
              <w:rPr>
                <w:rFonts w:ascii="Segoe UI" w:eastAsia="Times New Roman" w:hAnsi="Segoe UI" w:cs="Segoe UI"/>
                <w:color w:val="262626" w:themeColor="text1" w:themeTint="D9"/>
                <w:sz w:val="16"/>
                <w:szCs w:val="16"/>
              </w:rPr>
            </w:pPr>
            <w:r>
              <w:rPr>
                <w:rFonts w:ascii="Segoe UI" w:eastAsia="Times New Roman" w:hAnsi="Segoe UI" w:cs="Segoe UI"/>
                <w:color w:val="262626" w:themeColor="text1" w:themeTint="D9"/>
                <w:sz w:val="16"/>
                <w:szCs w:val="16"/>
              </w:rPr>
              <w:t>-</w:t>
            </w:r>
          </w:p>
        </w:tc>
        <w:tc>
          <w:tcPr>
            <w:tcW w:w="1152" w:type="dxa"/>
            <w:vAlign w:val="center"/>
          </w:tcPr>
          <w:p w14:paraId="22DAE055" w14:textId="3F2333E5" w:rsidR="00165283" w:rsidRDefault="00165283" w:rsidP="00165283">
            <w:pPr>
              <w:spacing w:after="0"/>
              <w:jc w:val="right"/>
              <w:rPr>
                <w:rFonts w:ascii="Segoe UI" w:eastAsia="Times New Roman" w:hAnsi="Segoe UI" w:cs="Segoe UI"/>
                <w:color w:val="262626" w:themeColor="text1" w:themeTint="D9"/>
                <w:sz w:val="16"/>
                <w:szCs w:val="16"/>
              </w:rPr>
            </w:pPr>
            <w:r>
              <w:rPr>
                <w:rFonts w:ascii="Segoe UI" w:eastAsia="Times New Roman" w:hAnsi="Segoe UI" w:cs="Segoe UI"/>
                <w:color w:val="262626" w:themeColor="text1" w:themeTint="D9"/>
                <w:sz w:val="16"/>
                <w:szCs w:val="16"/>
              </w:rPr>
              <w:t>-</w:t>
            </w:r>
          </w:p>
        </w:tc>
        <w:tc>
          <w:tcPr>
            <w:tcW w:w="1152" w:type="dxa"/>
            <w:vAlign w:val="center"/>
          </w:tcPr>
          <w:p w14:paraId="41DCE9FB" w14:textId="448AB7F3" w:rsidR="00165283" w:rsidRPr="00167337" w:rsidRDefault="00165283" w:rsidP="00165283">
            <w:pPr>
              <w:spacing w:after="0"/>
              <w:jc w:val="right"/>
              <w:rPr>
                <w:rFonts w:ascii="Segoe UI" w:eastAsia="Times New Roman" w:hAnsi="Segoe UI" w:cs="Segoe UI"/>
                <w:bCs/>
                <w:color w:val="666666"/>
                <w:sz w:val="16"/>
                <w:szCs w:val="16"/>
              </w:rPr>
            </w:pPr>
            <w:r w:rsidRPr="00D06C7A">
              <w:rPr>
                <w:rFonts w:ascii="Segoe UI" w:eastAsia="Times New Roman" w:hAnsi="Segoe UI" w:cs="Segoe UI"/>
                <w:color w:val="666666"/>
                <w:sz w:val="16"/>
                <w:szCs w:val="16"/>
              </w:rPr>
              <w:t>157</w:t>
            </w:r>
            <w:r>
              <w:rPr>
                <w:rFonts w:ascii="Segoe UI" w:eastAsia="Times New Roman" w:hAnsi="Segoe UI" w:cs="Segoe UI"/>
                <w:b/>
                <w:bCs/>
                <w:color w:val="FFFFFF" w:themeColor="background1"/>
                <w:sz w:val="16"/>
                <w:szCs w:val="16"/>
              </w:rPr>
              <w:t>_</w:t>
            </w:r>
          </w:p>
        </w:tc>
        <w:tc>
          <w:tcPr>
            <w:tcW w:w="1152" w:type="dxa"/>
            <w:gridSpan w:val="2"/>
            <w:vAlign w:val="center"/>
          </w:tcPr>
          <w:p w14:paraId="53092400" w14:textId="18BFC45D" w:rsidR="00165283" w:rsidRDefault="00165283" w:rsidP="00165283">
            <w:pPr>
              <w:spacing w:after="0"/>
              <w:jc w:val="right"/>
              <w:rPr>
                <w:rFonts w:ascii="Segoe UI" w:eastAsia="Times New Roman" w:hAnsi="Segoe UI" w:cs="Segoe UI"/>
                <w:color w:val="666666"/>
                <w:sz w:val="16"/>
                <w:szCs w:val="16"/>
              </w:rPr>
            </w:pPr>
            <w:r w:rsidRPr="00F73A87">
              <w:rPr>
                <w:rFonts w:ascii="Segoe UI" w:eastAsia="Times New Roman" w:hAnsi="Segoe UI" w:cs="Segoe UI"/>
                <w:color w:val="666666"/>
                <w:sz w:val="16"/>
                <w:szCs w:val="16"/>
              </w:rPr>
              <w:t>0.02</w:t>
            </w:r>
            <w:r>
              <w:rPr>
                <w:rFonts w:ascii="Segoe UI" w:eastAsia="Times New Roman" w:hAnsi="Segoe UI" w:cs="Segoe UI"/>
                <w:b/>
                <w:bCs/>
                <w:color w:val="FFFFFF" w:themeColor="background1"/>
                <w:sz w:val="16"/>
                <w:szCs w:val="16"/>
              </w:rPr>
              <w:t>_</w:t>
            </w:r>
          </w:p>
        </w:tc>
      </w:tr>
      <w:tr w:rsidR="00165283" w:rsidRPr="00243400" w14:paraId="59F6AB59" w14:textId="77777777" w:rsidTr="00AD4696">
        <w:trPr>
          <w:trHeight w:val="288"/>
        </w:trPr>
        <w:tc>
          <w:tcPr>
            <w:tcW w:w="4950" w:type="dxa"/>
            <w:noWrap/>
            <w:vAlign w:val="center"/>
          </w:tcPr>
          <w:p w14:paraId="05F560F3" w14:textId="291DB5C7" w:rsidR="00165283" w:rsidRPr="00243400" w:rsidRDefault="00165283" w:rsidP="00165283">
            <w:pPr>
              <w:spacing w:after="0"/>
              <w:rPr>
                <w:rFonts w:ascii="Segoe UI" w:eastAsia="Times New Roman" w:hAnsi="Segoe UI" w:cs="Segoe UI"/>
                <w:color w:val="666666"/>
                <w:sz w:val="16"/>
                <w:szCs w:val="16"/>
              </w:rPr>
            </w:pPr>
            <w:r>
              <w:rPr>
                <w:rFonts w:ascii="Segoe UI" w:eastAsia="Times New Roman" w:hAnsi="Segoe UI" w:cs="Segoe UI"/>
                <w:b/>
                <w:bCs/>
                <w:color w:val="666666"/>
                <w:sz w:val="16"/>
                <w:szCs w:val="16"/>
              </w:rPr>
              <w:t>2019 As Adjusted (non-GAAP)</w:t>
            </w:r>
          </w:p>
        </w:tc>
        <w:tc>
          <w:tcPr>
            <w:tcW w:w="1098" w:type="dxa"/>
            <w:vAlign w:val="center"/>
          </w:tcPr>
          <w:p w14:paraId="31950F70" w14:textId="0D7F4C06" w:rsidR="00165283" w:rsidRPr="00243400" w:rsidRDefault="00165283" w:rsidP="00165283">
            <w:pPr>
              <w:spacing w:after="0"/>
              <w:ind w:firstLine="82"/>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$125,843</w:t>
            </w:r>
          </w:p>
        </w:tc>
        <w:tc>
          <w:tcPr>
            <w:tcW w:w="1152" w:type="dxa"/>
            <w:vAlign w:val="center"/>
          </w:tcPr>
          <w:p w14:paraId="3E7E0844" w14:textId="3C1A7CDC" w:rsidR="00165283" w:rsidRPr="00243400" w:rsidRDefault="00165283" w:rsidP="00165283">
            <w:pPr>
              <w:spacing w:after="0"/>
              <w:jc w:val="right"/>
              <w:rPr>
                <w:rFonts w:ascii="Segoe UI" w:eastAsia="Times New Roman" w:hAnsi="Segoe UI" w:cs="Segoe UI"/>
                <w:color w:val="666666"/>
                <w:sz w:val="16"/>
                <w:szCs w:val="16"/>
              </w:rPr>
            </w:pPr>
            <w:r>
              <w:rPr>
                <w:rFonts w:ascii="Segoe UI" w:eastAsia="Times New Roman" w:hAnsi="Segoe UI" w:cs="Segoe UI"/>
                <w:b/>
                <w:bCs/>
                <w:color w:val="666666"/>
                <w:sz w:val="16"/>
                <w:szCs w:val="16"/>
              </w:rPr>
              <w:t>$42,959</w:t>
            </w:r>
          </w:p>
        </w:tc>
        <w:tc>
          <w:tcPr>
            <w:tcW w:w="1152" w:type="dxa"/>
            <w:vAlign w:val="center"/>
          </w:tcPr>
          <w:p w14:paraId="040FE49C" w14:textId="08046C59" w:rsidR="00165283" w:rsidRPr="000D65E7" w:rsidRDefault="00165283" w:rsidP="00165283">
            <w:pPr>
              <w:spacing w:after="0"/>
              <w:jc w:val="right"/>
              <w:rPr>
                <w:rFonts w:ascii="Segoe UI" w:eastAsia="Times New Roman" w:hAnsi="Segoe UI" w:cs="Segoe UI"/>
                <w:b/>
                <w:bCs/>
                <w:color w:val="666666"/>
                <w:sz w:val="16"/>
                <w:szCs w:val="16"/>
              </w:rPr>
            </w:pPr>
            <w:r w:rsidRPr="00BE789B">
              <w:rPr>
                <w:rFonts w:ascii="Segoe UI" w:eastAsia="Times New Roman" w:hAnsi="Segoe UI" w:cs="Segoe UI"/>
                <w:b/>
                <w:color w:val="666666"/>
                <w:sz w:val="16"/>
                <w:szCs w:val="16"/>
              </w:rPr>
              <w:t>$36,830</w:t>
            </w:r>
            <w:r>
              <w:rPr>
                <w:rFonts w:ascii="Segoe UI" w:eastAsia="Times New Roman" w:hAnsi="Segoe UI" w:cs="Segoe UI"/>
                <w:b/>
                <w:bCs/>
                <w:color w:val="FFFFFF" w:themeColor="background1"/>
                <w:sz w:val="16"/>
                <w:szCs w:val="16"/>
              </w:rPr>
              <w:t>_</w:t>
            </w:r>
          </w:p>
        </w:tc>
        <w:tc>
          <w:tcPr>
            <w:tcW w:w="1152" w:type="dxa"/>
            <w:gridSpan w:val="2"/>
            <w:vAlign w:val="center"/>
          </w:tcPr>
          <w:p w14:paraId="70C1E838" w14:textId="029D3F63" w:rsidR="00165283" w:rsidRPr="000D65E7" w:rsidRDefault="00165283" w:rsidP="00165283">
            <w:pPr>
              <w:spacing w:after="0"/>
              <w:jc w:val="right"/>
              <w:rPr>
                <w:rFonts w:ascii="Segoe UI" w:eastAsia="Times New Roman" w:hAnsi="Segoe UI" w:cs="Segoe UI"/>
                <w:b/>
                <w:bCs/>
                <w:color w:val="666666"/>
                <w:sz w:val="16"/>
                <w:szCs w:val="16"/>
              </w:rPr>
            </w:pPr>
            <w:r w:rsidRPr="00004030">
              <w:rPr>
                <w:rFonts w:ascii="Segoe UI" w:eastAsia="Times New Roman" w:hAnsi="Segoe UI" w:cs="Segoe UI"/>
                <w:b/>
                <w:color w:val="666666"/>
                <w:sz w:val="16"/>
                <w:szCs w:val="16"/>
              </w:rPr>
              <w:t>$4.75</w:t>
            </w:r>
            <w:r>
              <w:rPr>
                <w:rFonts w:ascii="Segoe UI" w:eastAsia="Times New Roman" w:hAnsi="Segoe UI" w:cs="Segoe UI"/>
                <w:b/>
                <w:bCs/>
                <w:color w:val="FFFFFF" w:themeColor="background1"/>
                <w:sz w:val="16"/>
                <w:szCs w:val="16"/>
              </w:rPr>
              <w:t>_</w:t>
            </w:r>
          </w:p>
        </w:tc>
      </w:tr>
      <w:tr w:rsidR="003A7347" w:rsidRPr="00243400" w14:paraId="2CF1E25B" w14:textId="77777777" w:rsidTr="00AD4696">
        <w:trPr>
          <w:trHeight w:val="288"/>
        </w:trPr>
        <w:tc>
          <w:tcPr>
            <w:tcW w:w="4950" w:type="dxa"/>
            <w:tcBorders>
              <w:bottom w:val="single" w:sz="4" w:space="0" w:color="auto"/>
            </w:tcBorders>
            <w:noWrap/>
            <w:vAlign w:val="center"/>
          </w:tcPr>
          <w:p w14:paraId="67184AAC" w14:textId="77777777" w:rsidR="003A7347" w:rsidRPr="00243400" w:rsidRDefault="003A7347" w:rsidP="003A734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098" w:type="dxa"/>
            <w:tcBorders>
              <w:bottom w:val="single" w:sz="4" w:space="0" w:color="auto"/>
            </w:tcBorders>
            <w:vAlign w:val="center"/>
          </w:tcPr>
          <w:p w14:paraId="29F5A46B" w14:textId="306D6474" w:rsidR="003A7347" w:rsidRPr="000A02BA" w:rsidRDefault="003A7347" w:rsidP="003A7347">
            <w:pPr>
              <w:spacing w:after="0"/>
              <w:ind w:firstLine="82"/>
              <w:jc w:val="right"/>
              <w:rPr>
                <w:rFonts w:ascii="Segoe UI" w:eastAsia="Times New Roman" w:hAnsi="Segoe UI" w:cs="Segoe UI"/>
                <w:b/>
                <w:bCs/>
                <w:color w:val="FF0000"/>
                <w:sz w:val="16"/>
                <w:szCs w:val="16"/>
              </w:rPr>
            </w:pP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143</w:t>
            </w:r>
            <w:r w:rsidRPr="00CA687B">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015</w:t>
            </w:r>
          </w:p>
        </w:tc>
        <w:tc>
          <w:tcPr>
            <w:tcW w:w="1152" w:type="dxa"/>
            <w:tcBorders>
              <w:bottom w:val="single" w:sz="4" w:space="0" w:color="auto"/>
            </w:tcBorders>
            <w:vAlign w:val="center"/>
          </w:tcPr>
          <w:p w14:paraId="4FB160FB" w14:textId="3723F81B" w:rsidR="003A7347" w:rsidRPr="005C49C2" w:rsidRDefault="003A7347" w:rsidP="003A7347">
            <w:pPr>
              <w:spacing w:after="0"/>
              <w:jc w:val="right"/>
              <w:rPr>
                <w:rFonts w:ascii="Segoe UI" w:eastAsia="Times New Roman" w:hAnsi="Segoe UI" w:cs="Segoe UI"/>
                <w:b/>
                <w:color w:val="666666"/>
                <w:sz w:val="16"/>
                <w:szCs w:val="16"/>
              </w:rPr>
            </w:pPr>
            <w:r w:rsidRPr="005C49C2">
              <w:rPr>
                <w:rFonts w:ascii="Segoe UI" w:eastAsia="Times New Roman" w:hAnsi="Segoe UI" w:cs="Segoe UI"/>
                <w:b/>
                <w:bCs/>
                <w:color w:val="666666"/>
                <w:sz w:val="16"/>
                <w:szCs w:val="16"/>
              </w:rPr>
              <w:t>$5</w:t>
            </w:r>
            <w:r w:rsidR="00FC7D10" w:rsidRPr="005C49C2">
              <w:rPr>
                <w:rFonts w:ascii="Segoe UI" w:eastAsia="Times New Roman" w:hAnsi="Segoe UI" w:cs="Segoe UI"/>
                <w:b/>
                <w:bCs/>
                <w:color w:val="666666"/>
                <w:sz w:val="16"/>
                <w:szCs w:val="16"/>
              </w:rPr>
              <w:t>2</w:t>
            </w:r>
            <w:r w:rsidRPr="005C49C2">
              <w:rPr>
                <w:rFonts w:ascii="Segoe UI" w:eastAsia="Times New Roman" w:hAnsi="Segoe UI" w:cs="Segoe UI"/>
                <w:b/>
                <w:bCs/>
                <w:color w:val="666666"/>
                <w:sz w:val="16"/>
                <w:szCs w:val="16"/>
              </w:rPr>
              <w:t>,</w:t>
            </w:r>
            <w:r w:rsidR="00FC7D10" w:rsidRPr="005C49C2">
              <w:rPr>
                <w:rFonts w:ascii="Segoe UI" w:eastAsia="Times New Roman" w:hAnsi="Segoe UI" w:cs="Segoe UI"/>
                <w:b/>
                <w:bCs/>
                <w:color w:val="666666"/>
                <w:sz w:val="16"/>
                <w:szCs w:val="16"/>
              </w:rPr>
              <w:t>9</w:t>
            </w:r>
            <w:r w:rsidR="005C49C2" w:rsidRPr="005C49C2">
              <w:rPr>
                <w:rFonts w:ascii="Segoe UI" w:eastAsia="Times New Roman" w:hAnsi="Segoe UI" w:cs="Segoe UI"/>
                <w:b/>
                <w:bCs/>
                <w:color w:val="666666"/>
                <w:sz w:val="16"/>
                <w:szCs w:val="16"/>
              </w:rPr>
              <w:t>59</w:t>
            </w:r>
          </w:p>
        </w:tc>
        <w:tc>
          <w:tcPr>
            <w:tcW w:w="1152" w:type="dxa"/>
            <w:tcBorders>
              <w:bottom w:val="single" w:sz="4" w:space="0" w:color="auto"/>
            </w:tcBorders>
            <w:vAlign w:val="center"/>
          </w:tcPr>
          <w:p w14:paraId="62E25B4B" w14:textId="44BE4AB2" w:rsidR="003A7347" w:rsidRPr="00C22645" w:rsidRDefault="003A7347" w:rsidP="00C22645">
            <w:pPr>
              <w:spacing w:after="0"/>
              <w:ind w:firstLine="82"/>
              <w:jc w:val="right"/>
              <w:rPr>
                <w:rFonts w:ascii="Segoe UI" w:eastAsia="Times New Roman" w:hAnsi="Segoe UI" w:cs="Segoe UI"/>
                <w:b/>
                <w:color w:val="666666"/>
                <w:sz w:val="16"/>
                <w:szCs w:val="16"/>
              </w:rPr>
            </w:pPr>
            <w:r w:rsidRPr="00C22645">
              <w:rPr>
                <w:rFonts w:ascii="Segoe UI" w:eastAsia="Times New Roman" w:hAnsi="Segoe UI" w:cs="Segoe UI"/>
                <w:b/>
                <w:bCs/>
                <w:color w:val="666666"/>
                <w:sz w:val="16"/>
                <w:szCs w:val="16"/>
              </w:rPr>
              <w:t>$</w:t>
            </w:r>
            <w:r w:rsidR="000E41FE" w:rsidRPr="00C22645">
              <w:rPr>
                <w:rFonts w:ascii="Segoe UI" w:eastAsia="Times New Roman" w:hAnsi="Segoe UI" w:cs="Segoe UI"/>
                <w:b/>
                <w:bCs/>
                <w:color w:val="666666"/>
                <w:sz w:val="16"/>
                <w:szCs w:val="16"/>
              </w:rPr>
              <w:t>44,281</w:t>
            </w:r>
            <w:r w:rsidR="008D6558">
              <w:rPr>
                <w:rFonts w:ascii="Segoe UI" w:eastAsia="Times New Roman" w:hAnsi="Segoe UI" w:cs="Segoe UI"/>
                <w:b/>
                <w:bCs/>
                <w:color w:val="FFFFFF" w:themeColor="background1"/>
                <w:sz w:val="16"/>
                <w:szCs w:val="16"/>
              </w:rPr>
              <w:t>_</w:t>
            </w:r>
          </w:p>
        </w:tc>
        <w:tc>
          <w:tcPr>
            <w:tcW w:w="1152" w:type="dxa"/>
            <w:gridSpan w:val="2"/>
            <w:tcBorders>
              <w:bottom w:val="single" w:sz="4" w:space="0" w:color="auto"/>
            </w:tcBorders>
            <w:vAlign w:val="center"/>
          </w:tcPr>
          <w:p w14:paraId="20D52B7B" w14:textId="2F93868E" w:rsidR="003A7347" w:rsidRPr="00C22645" w:rsidRDefault="003A7347" w:rsidP="00C22645">
            <w:pPr>
              <w:spacing w:after="0"/>
              <w:ind w:firstLine="82"/>
              <w:jc w:val="right"/>
              <w:rPr>
                <w:rFonts w:ascii="Segoe UI" w:eastAsia="Times New Roman" w:hAnsi="Segoe UI" w:cs="Segoe UI"/>
                <w:b/>
                <w:color w:val="666666"/>
                <w:sz w:val="16"/>
                <w:szCs w:val="16"/>
              </w:rPr>
            </w:pPr>
            <w:r w:rsidRPr="00CA687B">
              <w:rPr>
                <w:rFonts w:ascii="Segoe UI" w:eastAsia="Times New Roman" w:hAnsi="Segoe UI" w:cs="Segoe UI"/>
                <w:b/>
                <w:bCs/>
                <w:color w:val="666666"/>
                <w:sz w:val="16"/>
                <w:szCs w:val="16"/>
              </w:rPr>
              <w:t>$</w:t>
            </w:r>
            <w:r w:rsidR="000E41FE" w:rsidRPr="00C22645">
              <w:rPr>
                <w:rFonts w:ascii="Segoe UI" w:eastAsia="Times New Roman" w:hAnsi="Segoe UI" w:cs="Segoe UI"/>
                <w:b/>
                <w:bCs/>
                <w:color w:val="666666"/>
                <w:sz w:val="16"/>
                <w:szCs w:val="16"/>
              </w:rPr>
              <w:t>5</w:t>
            </w:r>
            <w:r w:rsidR="00165283" w:rsidRPr="00C22645">
              <w:rPr>
                <w:rFonts w:ascii="Segoe UI" w:eastAsia="Times New Roman" w:hAnsi="Segoe UI" w:cs="Segoe UI"/>
                <w:b/>
                <w:bCs/>
                <w:color w:val="666666"/>
                <w:sz w:val="16"/>
                <w:szCs w:val="16"/>
              </w:rPr>
              <w:t>.</w:t>
            </w:r>
            <w:r w:rsidR="000E41FE" w:rsidRPr="00C22645">
              <w:rPr>
                <w:rFonts w:ascii="Segoe UI" w:eastAsia="Times New Roman" w:hAnsi="Segoe UI" w:cs="Segoe UI"/>
                <w:b/>
                <w:bCs/>
                <w:color w:val="666666"/>
                <w:sz w:val="16"/>
                <w:szCs w:val="16"/>
              </w:rPr>
              <w:t>76</w:t>
            </w:r>
            <w:r>
              <w:rPr>
                <w:rFonts w:ascii="Segoe UI" w:eastAsia="Times New Roman" w:hAnsi="Segoe UI" w:cs="Segoe UI"/>
                <w:b/>
                <w:bCs/>
                <w:color w:val="FFFFFF" w:themeColor="background1"/>
                <w:sz w:val="16"/>
                <w:szCs w:val="16"/>
              </w:rPr>
              <w:t>_</w:t>
            </w:r>
          </w:p>
        </w:tc>
      </w:tr>
      <w:tr w:rsidR="00852EC5" w:rsidRPr="00243400" w14:paraId="1792A5F6" w14:textId="77777777" w:rsidTr="00AD4696">
        <w:trPr>
          <w:trHeight w:val="288"/>
        </w:trPr>
        <w:tc>
          <w:tcPr>
            <w:tcW w:w="4950" w:type="dxa"/>
            <w:tcBorders>
              <w:bottom w:val="nil"/>
            </w:tcBorders>
            <w:noWrap/>
            <w:vAlign w:val="center"/>
          </w:tcPr>
          <w:p w14:paraId="798F1078" w14:textId="77777777" w:rsidR="00852EC5" w:rsidRPr="45064EBB" w:rsidRDefault="00852EC5" w:rsidP="00852EC5">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98" w:type="dxa"/>
            <w:tcBorders>
              <w:bottom w:val="nil"/>
            </w:tcBorders>
          </w:tcPr>
          <w:p w14:paraId="0077B732" w14:textId="17C7FABA" w:rsidR="00852EC5" w:rsidRPr="00C637D5" w:rsidRDefault="00852EC5" w:rsidP="00852EC5">
            <w:pPr>
              <w:spacing w:after="0"/>
              <w:ind w:firstLine="82"/>
              <w:jc w:val="right"/>
              <w:rPr>
                <w:rFonts w:ascii="Segoe UI" w:eastAsia="Times New Roman" w:hAnsi="Segoe UI" w:cs="Segoe UI"/>
                <w:color w:val="262626" w:themeColor="text1" w:themeTint="D9"/>
                <w:sz w:val="16"/>
                <w:szCs w:val="16"/>
              </w:rPr>
            </w:pPr>
            <w:r w:rsidRPr="00966F3F">
              <w:rPr>
                <w:rFonts w:ascii="Segoe UI" w:eastAsia="Times New Roman" w:hAnsi="Segoe UI" w:cs="Segoe UI"/>
                <w:color w:val="666666"/>
                <w:sz w:val="16"/>
                <w:szCs w:val="16"/>
              </w:rPr>
              <w:t>14%</w:t>
            </w:r>
          </w:p>
        </w:tc>
        <w:tc>
          <w:tcPr>
            <w:tcW w:w="1152" w:type="dxa"/>
            <w:tcBorders>
              <w:bottom w:val="nil"/>
            </w:tcBorders>
          </w:tcPr>
          <w:p w14:paraId="0BBBA659" w14:textId="51474BC2" w:rsidR="00852EC5" w:rsidRPr="005C49C2" w:rsidRDefault="00852EC5" w:rsidP="00852EC5">
            <w:pPr>
              <w:spacing w:after="0"/>
              <w:jc w:val="right"/>
              <w:rPr>
                <w:rFonts w:ascii="Segoe UI" w:eastAsia="Times New Roman" w:hAnsi="Segoe UI" w:cs="Segoe UI"/>
                <w:color w:val="666666"/>
                <w:sz w:val="16"/>
                <w:szCs w:val="16"/>
              </w:rPr>
            </w:pPr>
            <w:r w:rsidRPr="005C49C2">
              <w:rPr>
                <w:rFonts w:ascii="Segoe UI" w:eastAsia="Times New Roman" w:hAnsi="Segoe UI" w:cs="Segoe UI"/>
                <w:color w:val="666666"/>
                <w:sz w:val="16"/>
                <w:szCs w:val="16"/>
              </w:rPr>
              <w:t>2</w:t>
            </w:r>
            <w:r w:rsidR="00FC096E" w:rsidRPr="005C49C2">
              <w:rPr>
                <w:rFonts w:ascii="Segoe UI" w:eastAsia="Times New Roman" w:hAnsi="Segoe UI" w:cs="Segoe UI"/>
                <w:color w:val="666666"/>
                <w:sz w:val="16"/>
                <w:szCs w:val="16"/>
              </w:rPr>
              <w:t>3</w:t>
            </w:r>
            <w:r w:rsidRPr="00966F3F">
              <w:rPr>
                <w:rFonts w:ascii="Segoe UI" w:eastAsia="Times New Roman" w:hAnsi="Segoe UI" w:cs="Segoe UI"/>
                <w:color w:val="666666"/>
                <w:sz w:val="16"/>
                <w:szCs w:val="16"/>
              </w:rPr>
              <w:t>%</w:t>
            </w:r>
          </w:p>
        </w:tc>
        <w:tc>
          <w:tcPr>
            <w:tcW w:w="1152" w:type="dxa"/>
            <w:tcBorders>
              <w:bottom w:val="nil"/>
            </w:tcBorders>
          </w:tcPr>
          <w:p w14:paraId="38E96C1E" w14:textId="004AA6FB" w:rsidR="00852EC5" w:rsidRPr="00C22645" w:rsidRDefault="000E41FE" w:rsidP="00C22645">
            <w:pPr>
              <w:spacing w:after="0"/>
              <w:ind w:firstLine="82"/>
              <w:jc w:val="right"/>
              <w:rPr>
                <w:rFonts w:ascii="Segoe UI" w:eastAsia="Times New Roman" w:hAnsi="Segoe UI" w:cs="Segoe UI"/>
                <w:color w:val="666666"/>
                <w:sz w:val="16"/>
                <w:szCs w:val="16"/>
              </w:rPr>
            </w:pPr>
            <w:r w:rsidRPr="00C22645">
              <w:rPr>
                <w:rFonts w:ascii="Segoe UI" w:eastAsia="Times New Roman" w:hAnsi="Segoe UI" w:cs="Segoe UI"/>
                <w:color w:val="666666"/>
                <w:sz w:val="16"/>
                <w:szCs w:val="16"/>
              </w:rPr>
              <w:t>13</w:t>
            </w:r>
            <w:r w:rsidR="00852EC5" w:rsidRPr="00C22645">
              <w:rPr>
                <w:rFonts w:ascii="Segoe UI" w:eastAsia="Times New Roman" w:hAnsi="Segoe UI" w:cs="Segoe UI"/>
                <w:color w:val="666666"/>
                <w:sz w:val="16"/>
                <w:szCs w:val="16"/>
              </w:rPr>
              <w:t>%</w:t>
            </w:r>
            <w:r w:rsidR="00852EC5">
              <w:rPr>
                <w:rFonts w:ascii="Segoe UI" w:eastAsia="Times New Roman" w:hAnsi="Segoe UI" w:cs="Segoe UI"/>
                <w:b/>
                <w:bCs/>
                <w:color w:val="FFFFFF" w:themeColor="background1"/>
                <w:sz w:val="16"/>
                <w:szCs w:val="16"/>
              </w:rPr>
              <w:t>_</w:t>
            </w:r>
          </w:p>
        </w:tc>
        <w:tc>
          <w:tcPr>
            <w:tcW w:w="1152" w:type="dxa"/>
            <w:gridSpan w:val="2"/>
            <w:tcBorders>
              <w:bottom w:val="nil"/>
            </w:tcBorders>
          </w:tcPr>
          <w:p w14:paraId="6DE57A53" w14:textId="42F60B74" w:rsidR="00852EC5" w:rsidRPr="00C22645" w:rsidRDefault="000E41FE" w:rsidP="00C22645">
            <w:pPr>
              <w:spacing w:after="0"/>
              <w:ind w:firstLine="82"/>
              <w:jc w:val="right"/>
              <w:rPr>
                <w:rFonts w:ascii="Segoe UI" w:eastAsia="Times New Roman" w:hAnsi="Segoe UI" w:cs="Segoe UI"/>
                <w:color w:val="666666"/>
                <w:sz w:val="16"/>
                <w:szCs w:val="16"/>
              </w:rPr>
            </w:pPr>
            <w:r w:rsidRPr="00C22645">
              <w:rPr>
                <w:rFonts w:ascii="Segoe UI" w:eastAsia="Times New Roman" w:hAnsi="Segoe UI" w:cs="Segoe UI"/>
                <w:color w:val="666666"/>
                <w:sz w:val="16"/>
                <w:szCs w:val="16"/>
              </w:rPr>
              <w:t>14</w:t>
            </w:r>
            <w:r w:rsidR="00852EC5" w:rsidRPr="00C22645">
              <w:rPr>
                <w:rFonts w:ascii="Segoe UI" w:eastAsia="Times New Roman" w:hAnsi="Segoe UI" w:cs="Segoe UI"/>
                <w:color w:val="666666"/>
                <w:sz w:val="16"/>
                <w:szCs w:val="16"/>
              </w:rPr>
              <w:t>%</w:t>
            </w:r>
            <w:r w:rsidR="00852EC5">
              <w:rPr>
                <w:rFonts w:ascii="Segoe UI" w:eastAsia="Times New Roman" w:hAnsi="Segoe UI" w:cs="Segoe UI"/>
                <w:b/>
                <w:bCs/>
                <w:color w:val="FFFFFF" w:themeColor="background1"/>
                <w:sz w:val="16"/>
                <w:szCs w:val="16"/>
              </w:rPr>
              <w:t>_</w:t>
            </w:r>
          </w:p>
        </w:tc>
      </w:tr>
      <w:tr w:rsidR="00393311" w:rsidRPr="00243400" w14:paraId="03391901" w14:textId="77777777" w:rsidTr="00AD4696">
        <w:trPr>
          <w:trHeight w:val="288"/>
        </w:trPr>
        <w:tc>
          <w:tcPr>
            <w:tcW w:w="4950" w:type="dxa"/>
            <w:tcBorders>
              <w:top w:val="nil"/>
              <w:bottom w:val="nil"/>
            </w:tcBorders>
            <w:noWrap/>
            <w:vAlign w:val="center"/>
          </w:tcPr>
          <w:p w14:paraId="6FF57FBE" w14:textId="77777777" w:rsidR="00393311" w:rsidRPr="00243400" w:rsidRDefault="00393311" w:rsidP="00393311">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Percentage Change Y/Y (non-GAAP)</w:t>
            </w:r>
          </w:p>
        </w:tc>
        <w:tc>
          <w:tcPr>
            <w:tcW w:w="1098" w:type="dxa"/>
            <w:tcBorders>
              <w:top w:val="nil"/>
              <w:bottom w:val="nil"/>
            </w:tcBorders>
          </w:tcPr>
          <w:p w14:paraId="383290C3" w14:textId="016BCAC7" w:rsidR="00393311" w:rsidRPr="00176D85" w:rsidRDefault="005C49C2" w:rsidP="00393311">
            <w:pPr>
              <w:spacing w:after="0"/>
              <w:ind w:firstLine="82"/>
              <w:jc w:val="right"/>
              <w:rPr>
                <w:rFonts w:ascii="Segoe UI" w:eastAsia="Times New Roman" w:hAnsi="Segoe UI" w:cs="Segoe UI"/>
                <w:color w:val="666666"/>
                <w:sz w:val="16"/>
                <w:szCs w:val="16"/>
              </w:rPr>
            </w:pPr>
            <w:r w:rsidRPr="005C49C2">
              <w:rPr>
                <w:rFonts w:ascii="Segoe UI" w:eastAsia="Times New Roman" w:hAnsi="Segoe UI" w:cs="Segoe UI"/>
                <w:color w:val="666666"/>
                <w:sz w:val="16"/>
                <w:szCs w:val="16"/>
              </w:rPr>
              <w:t>14</w:t>
            </w:r>
            <w:r w:rsidR="00393311" w:rsidRPr="005C49C2">
              <w:rPr>
                <w:rFonts w:ascii="Segoe UI" w:eastAsia="Times New Roman" w:hAnsi="Segoe UI" w:cs="Segoe UI"/>
                <w:color w:val="666666"/>
                <w:sz w:val="16"/>
                <w:szCs w:val="16"/>
              </w:rPr>
              <w:t>%</w:t>
            </w:r>
          </w:p>
        </w:tc>
        <w:tc>
          <w:tcPr>
            <w:tcW w:w="1152" w:type="dxa"/>
            <w:tcBorders>
              <w:top w:val="nil"/>
              <w:bottom w:val="nil"/>
            </w:tcBorders>
          </w:tcPr>
          <w:p w14:paraId="06E862AF" w14:textId="5CB6ADEE" w:rsidR="00393311" w:rsidRPr="00176D85" w:rsidRDefault="005C49C2" w:rsidP="00393311">
            <w:pPr>
              <w:spacing w:after="0"/>
              <w:jc w:val="right"/>
              <w:rPr>
                <w:rFonts w:ascii="Segoe UI" w:eastAsia="Times New Roman" w:hAnsi="Segoe UI" w:cs="Segoe UI"/>
                <w:color w:val="666666"/>
                <w:sz w:val="16"/>
                <w:szCs w:val="16"/>
              </w:rPr>
            </w:pPr>
            <w:r w:rsidRPr="005C49C2">
              <w:rPr>
                <w:rFonts w:ascii="Segoe UI" w:eastAsia="Times New Roman" w:hAnsi="Segoe UI" w:cs="Segoe UI"/>
                <w:color w:val="666666"/>
                <w:sz w:val="16"/>
                <w:szCs w:val="16"/>
              </w:rPr>
              <w:t>23</w:t>
            </w:r>
            <w:r w:rsidR="00393311" w:rsidRPr="005C49C2">
              <w:rPr>
                <w:rFonts w:ascii="Segoe UI" w:eastAsia="Times New Roman" w:hAnsi="Segoe UI" w:cs="Segoe UI"/>
                <w:color w:val="666666"/>
                <w:sz w:val="16"/>
                <w:szCs w:val="16"/>
              </w:rPr>
              <w:t>%</w:t>
            </w:r>
          </w:p>
        </w:tc>
        <w:tc>
          <w:tcPr>
            <w:tcW w:w="1152" w:type="dxa"/>
            <w:tcBorders>
              <w:top w:val="nil"/>
              <w:bottom w:val="nil"/>
            </w:tcBorders>
          </w:tcPr>
          <w:p w14:paraId="1C1E7EE3" w14:textId="2723D7CD" w:rsidR="00393311" w:rsidRPr="00C22645" w:rsidRDefault="000E41FE" w:rsidP="00C22645">
            <w:pPr>
              <w:spacing w:after="0"/>
              <w:ind w:firstLine="82"/>
              <w:jc w:val="right"/>
              <w:rPr>
                <w:rFonts w:ascii="Segoe UI" w:eastAsia="Times New Roman" w:hAnsi="Segoe UI" w:cs="Segoe UI"/>
                <w:color w:val="666666"/>
                <w:sz w:val="16"/>
                <w:szCs w:val="16"/>
              </w:rPr>
            </w:pPr>
            <w:r w:rsidRPr="00C22645">
              <w:rPr>
                <w:rFonts w:ascii="Segoe UI" w:eastAsia="Times New Roman" w:hAnsi="Segoe UI" w:cs="Segoe UI"/>
                <w:color w:val="666666"/>
                <w:sz w:val="16"/>
                <w:szCs w:val="16"/>
              </w:rPr>
              <w:t>20</w:t>
            </w:r>
            <w:r w:rsidR="00393311" w:rsidRPr="00C22645">
              <w:rPr>
                <w:rFonts w:ascii="Segoe UI" w:eastAsia="Times New Roman" w:hAnsi="Segoe UI" w:cs="Segoe UI"/>
                <w:color w:val="666666"/>
                <w:sz w:val="16"/>
                <w:szCs w:val="16"/>
              </w:rPr>
              <w:t>%</w:t>
            </w:r>
            <w:r w:rsidR="00393311">
              <w:rPr>
                <w:rFonts w:ascii="Segoe UI" w:eastAsia="Times New Roman" w:hAnsi="Segoe UI" w:cs="Segoe UI"/>
                <w:b/>
                <w:bCs/>
                <w:color w:val="FFFFFF" w:themeColor="background1"/>
                <w:sz w:val="16"/>
                <w:szCs w:val="16"/>
              </w:rPr>
              <w:t>_</w:t>
            </w:r>
          </w:p>
        </w:tc>
        <w:tc>
          <w:tcPr>
            <w:tcW w:w="1152" w:type="dxa"/>
            <w:gridSpan w:val="2"/>
            <w:tcBorders>
              <w:top w:val="nil"/>
              <w:bottom w:val="nil"/>
            </w:tcBorders>
          </w:tcPr>
          <w:p w14:paraId="58F67D7D" w14:textId="07C5F249" w:rsidR="00393311" w:rsidRPr="00C22645" w:rsidRDefault="000E41FE" w:rsidP="00C22645">
            <w:pPr>
              <w:spacing w:after="0"/>
              <w:ind w:firstLine="82"/>
              <w:jc w:val="right"/>
              <w:rPr>
                <w:rFonts w:ascii="Segoe UI" w:eastAsia="Times New Roman" w:hAnsi="Segoe UI" w:cs="Segoe UI"/>
                <w:color w:val="666666"/>
                <w:sz w:val="16"/>
                <w:szCs w:val="16"/>
              </w:rPr>
            </w:pPr>
            <w:r w:rsidRPr="00C22645">
              <w:rPr>
                <w:rFonts w:ascii="Segoe UI" w:eastAsia="Times New Roman" w:hAnsi="Segoe UI" w:cs="Segoe UI"/>
                <w:color w:val="666666"/>
                <w:sz w:val="16"/>
                <w:szCs w:val="16"/>
              </w:rPr>
              <w:t>21</w:t>
            </w:r>
            <w:r w:rsidR="00393311" w:rsidRPr="00C22645">
              <w:rPr>
                <w:rFonts w:ascii="Segoe UI" w:eastAsia="Times New Roman" w:hAnsi="Segoe UI" w:cs="Segoe UI"/>
                <w:color w:val="666666"/>
                <w:sz w:val="16"/>
                <w:szCs w:val="16"/>
              </w:rPr>
              <w:t>%</w:t>
            </w:r>
            <w:r w:rsidR="00393311">
              <w:rPr>
                <w:rFonts w:ascii="Segoe UI" w:eastAsia="Times New Roman" w:hAnsi="Segoe UI" w:cs="Segoe UI"/>
                <w:b/>
                <w:bCs/>
                <w:color w:val="FFFFFF" w:themeColor="background1"/>
                <w:sz w:val="16"/>
                <w:szCs w:val="16"/>
              </w:rPr>
              <w:t>_</w:t>
            </w:r>
          </w:p>
        </w:tc>
      </w:tr>
      <w:tr w:rsidR="00393311" w:rsidRPr="00243400" w14:paraId="7AAC01E2" w14:textId="77777777" w:rsidTr="00AD4696">
        <w:trPr>
          <w:trHeight w:val="288"/>
        </w:trPr>
        <w:tc>
          <w:tcPr>
            <w:tcW w:w="4950" w:type="dxa"/>
            <w:tcBorders>
              <w:top w:val="nil"/>
            </w:tcBorders>
            <w:noWrap/>
            <w:vAlign w:val="center"/>
          </w:tcPr>
          <w:p w14:paraId="4080E0C1" w14:textId="77777777" w:rsidR="00393311" w:rsidRPr="00243400" w:rsidRDefault="00393311" w:rsidP="00393311">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098" w:type="dxa"/>
            <w:tcBorders>
              <w:top w:val="nil"/>
            </w:tcBorders>
          </w:tcPr>
          <w:p w14:paraId="2B3B1818" w14:textId="5C96BCE5" w:rsidR="00393311" w:rsidRPr="00176D85" w:rsidRDefault="00515A42" w:rsidP="00393311">
            <w:pPr>
              <w:spacing w:after="0"/>
              <w:ind w:firstLine="82"/>
              <w:jc w:val="right"/>
              <w:rPr>
                <w:rFonts w:ascii="Segoe UI" w:eastAsia="Times New Roman" w:hAnsi="Segoe UI" w:cs="Segoe UI"/>
                <w:color w:val="666666"/>
                <w:sz w:val="16"/>
                <w:szCs w:val="16"/>
              </w:rPr>
            </w:pPr>
            <w:r w:rsidRPr="00100995">
              <w:rPr>
                <w:rFonts w:ascii="Segoe UI" w:eastAsia="Times New Roman" w:hAnsi="Segoe UI" w:cs="Segoe UI"/>
                <w:color w:val="666666"/>
                <w:sz w:val="16"/>
                <w:szCs w:val="16"/>
              </w:rPr>
              <w:t>15</w:t>
            </w:r>
            <w:r w:rsidR="00393311" w:rsidRPr="00100995">
              <w:rPr>
                <w:rFonts w:ascii="Segoe UI" w:eastAsia="Times New Roman" w:hAnsi="Segoe UI" w:cs="Segoe UI"/>
                <w:color w:val="666666"/>
                <w:sz w:val="16"/>
                <w:szCs w:val="16"/>
              </w:rPr>
              <w:t>%</w:t>
            </w:r>
          </w:p>
        </w:tc>
        <w:tc>
          <w:tcPr>
            <w:tcW w:w="1152" w:type="dxa"/>
            <w:tcBorders>
              <w:top w:val="nil"/>
            </w:tcBorders>
          </w:tcPr>
          <w:p w14:paraId="1518223E" w14:textId="299273BF" w:rsidR="00393311" w:rsidRPr="00176D85" w:rsidRDefault="003E1B42" w:rsidP="00393311">
            <w:pPr>
              <w:spacing w:after="0"/>
              <w:jc w:val="right"/>
              <w:rPr>
                <w:rFonts w:ascii="Segoe UI" w:eastAsia="Times New Roman" w:hAnsi="Segoe UI" w:cs="Segoe UI"/>
                <w:color w:val="666666"/>
                <w:sz w:val="16"/>
                <w:szCs w:val="16"/>
              </w:rPr>
            </w:pPr>
            <w:r w:rsidRPr="00F62A41">
              <w:rPr>
                <w:rFonts w:ascii="Segoe UI" w:eastAsia="Times New Roman" w:hAnsi="Segoe UI" w:cs="Segoe UI"/>
                <w:color w:val="666666"/>
                <w:sz w:val="16"/>
                <w:szCs w:val="16"/>
              </w:rPr>
              <w:t>27</w:t>
            </w:r>
            <w:r w:rsidR="00393311" w:rsidRPr="00F62A41">
              <w:rPr>
                <w:rFonts w:ascii="Segoe UI" w:eastAsia="Times New Roman" w:hAnsi="Segoe UI" w:cs="Segoe UI"/>
                <w:color w:val="666666"/>
                <w:sz w:val="16"/>
                <w:szCs w:val="16"/>
              </w:rPr>
              <w:t>%</w:t>
            </w:r>
          </w:p>
        </w:tc>
        <w:tc>
          <w:tcPr>
            <w:tcW w:w="1152" w:type="dxa"/>
            <w:tcBorders>
              <w:top w:val="nil"/>
            </w:tcBorders>
          </w:tcPr>
          <w:p w14:paraId="59E66FFA" w14:textId="57B108BC" w:rsidR="00393311" w:rsidRPr="00F62A41" w:rsidRDefault="009A11B6" w:rsidP="00393311">
            <w:pPr>
              <w:spacing w:after="0"/>
              <w:jc w:val="right"/>
              <w:rPr>
                <w:rFonts w:ascii="Segoe UI" w:eastAsia="Times New Roman" w:hAnsi="Segoe UI" w:cs="Segoe UI"/>
                <w:color w:val="666666"/>
                <w:sz w:val="16"/>
                <w:szCs w:val="16"/>
              </w:rPr>
            </w:pPr>
            <w:r w:rsidRPr="00F62A41">
              <w:rPr>
                <w:rFonts w:ascii="Segoe UI" w:eastAsia="Times New Roman" w:hAnsi="Segoe UI" w:cs="Segoe UI"/>
                <w:color w:val="666666"/>
                <w:sz w:val="16"/>
                <w:szCs w:val="16"/>
              </w:rPr>
              <w:t>24</w:t>
            </w:r>
            <w:r w:rsidR="00393311" w:rsidRPr="00F62A41">
              <w:rPr>
                <w:rFonts w:ascii="Segoe UI" w:eastAsia="Times New Roman" w:hAnsi="Segoe UI" w:cs="Segoe UI"/>
                <w:color w:val="666666"/>
                <w:sz w:val="16"/>
                <w:szCs w:val="16"/>
              </w:rPr>
              <w:t>%</w:t>
            </w:r>
            <w:r w:rsidR="00393311">
              <w:rPr>
                <w:rFonts w:ascii="Segoe UI" w:eastAsia="Times New Roman" w:hAnsi="Segoe UI" w:cs="Segoe UI"/>
                <w:b/>
                <w:bCs/>
                <w:color w:val="FFFFFF" w:themeColor="background1"/>
                <w:sz w:val="16"/>
                <w:szCs w:val="16"/>
              </w:rPr>
              <w:t>_</w:t>
            </w:r>
          </w:p>
        </w:tc>
        <w:tc>
          <w:tcPr>
            <w:tcW w:w="1152" w:type="dxa"/>
            <w:gridSpan w:val="2"/>
            <w:tcBorders>
              <w:top w:val="nil"/>
            </w:tcBorders>
          </w:tcPr>
          <w:p w14:paraId="7862A049" w14:textId="1895DA6B" w:rsidR="00393311" w:rsidRPr="00F62A41" w:rsidRDefault="009A11B6" w:rsidP="00393311">
            <w:pPr>
              <w:spacing w:after="0"/>
              <w:jc w:val="right"/>
              <w:rPr>
                <w:rFonts w:ascii="Segoe UI" w:eastAsia="Times New Roman" w:hAnsi="Segoe UI" w:cs="Segoe UI"/>
                <w:color w:val="666666"/>
                <w:sz w:val="16"/>
                <w:szCs w:val="16"/>
              </w:rPr>
            </w:pPr>
            <w:r w:rsidRPr="00F62A41">
              <w:rPr>
                <w:rFonts w:ascii="Segoe UI" w:eastAsia="Times New Roman" w:hAnsi="Segoe UI" w:cs="Segoe UI"/>
                <w:color w:val="666666"/>
                <w:sz w:val="16"/>
                <w:szCs w:val="16"/>
              </w:rPr>
              <w:t>25</w:t>
            </w:r>
            <w:r w:rsidR="00393311" w:rsidRPr="00F62A41">
              <w:rPr>
                <w:rFonts w:ascii="Segoe UI" w:eastAsia="Times New Roman" w:hAnsi="Segoe UI" w:cs="Segoe UI"/>
                <w:color w:val="666666"/>
                <w:sz w:val="16"/>
                <w:szCs w:val="16"/>
              </w:rPr>
              <w:t>%</w:t>
            </w:r>
            <w:r w:rsidR="00393311">
              <w:rPr>
                <w:rFonts w:ascii="Segoe UI" w:eastAsia="Times New Roman" w:hAnsi="Segoe UI" w:cs="Segoe UI"/>
                <w:b/>
                <w:bCs/>
                <w:color w:val="FFFFFF" w:themeColor="background1"/>
                <w:sz w:val="16"/>
                <w:szCs w:val="16"/>
              </w:rPr>
              <w:t>_</w:t>
            </w:r>
          </w:p>
        </w:tc>
      </w:tr>
    </w:tbl>
    <w:p w14:paraId="56047101" w14:textId="77777777" w:rsidR="00B143DB" w:rsidRDefault="00B143DB" w:rsidP="000E6695">
      <w:pPr>
        <w:pStyle w:val="NormalWeb"/>
        <w:spacing w:before="240" w:beforeAutospacing="0" w:after="240" w:afterAutospacing="0" w:line="276" w:lineRule="auto"/>
        <w:rPr>
          <w:rFonts w:ascii="Segoe UI" w:eastAsia="Segoe UI" w:hAnsi="Segoe UI" w:cs="Segoe UI"/>
          <w:color w:val="666666"/>
          <w:sz w:val="20"/>
          <w:szCs w:val="20"/>
        </w:rPr>
      </w:pPr>
    </w:p>
    <w:p w14:paraId="7D32EFFF" w14:textId="77777777" w:rsidR="00B143DB" w:rsidRDefault="00B143DB" w:rsidP="000E6695">
      <w:pPr>
        <w:pStyle w:val="NormalWeb"/>
        <w:spacing w:before="240" w:beforeAutospacing="0" w:after="240" w:afterAutospacing="0" w:line="276" w:lineRule="auto"/>
        <w:rPr>
          <w:rFonts w:ascii="Segoe UI" w:eastAsia="Segoe UI" w:hAnsi="Segoe UI" w:cs="Segoe UI"/>
          <w:color w:val="666666"/>
          <w:sz w:val="20"/>
          <w:szCs w:val="20"/>
        </w:rPr>
      </w:pPr>
    </w:p>
    <w:p w14:paraId="515B9656" w14:textId="77777777" w:rsidR="00B143DB" w:rsidRDefault="00B143DB" w:rsidP="000E6695">
      <w:pPr>
        <w:pStyle w:val="NormalWeb"/>
        <w:spacing w:before="240" w:beforeAutospacing="0" w:after="240" w:afterAutospacing="0" w:line="276" w:lineRule="auto"/>
        <w:rPr>
          <w:rFonts w:ascii="Segoe UI" w:eastAsia="Segoe UI" w:hAnsi="Segoe UI" w:cs="Segoe UI"/>
          <w:color w:val="666666"/>
          <w:sz w:val="20"/>
          <w:szCs w:val="20"/>
        </w:rPr>
      </w:pPr>
    </w:p>
    <w:p w14:paraId="2C4F9B20" w14:textId="77777777" w:rsidR="00B143DB" w:rsidRDefault="00B143DB" w:rsidP="000E6695">
      <w:pPr>
        <w:pStyle w:val="NormalWeb"/>
        <w:spacing w:before="240" w:beforeAutospacing="0" w:after="240" w:afterAutospacing="0" w:line="276" w:lineRule="auto"/>
        <w:rPr>
          <w:rFonts w:ascii="Segoe UI" w:eastAsia="Segoe UI" w:hAnsi="Segoe UI" w:cs="Segoe UI"/>
          <w:color w:val="666666"/>
          <w:sz w:val="20"/>
          <w:szCs w:val="20"/>
        </w:rPr>
      </w:pPr>
    </w:p>
    <w:p w14:paraId="3FD65A5E" w14:textId="77777777" w:rsidR="00B143DB" w:rsidRDefault="00B143DB" w:rsidP="000E6695">
      <w:pPr>
        <w:pStyle w:val="NormalWeb"/>
        <w:spacing w:before="240" w:beforeAutospacing="0" w:after="240" w:afterAutospacing="0" w:line="276" w:lineRule="auto"/>
        <w:rPr>
          <w:rFonts w:ascii="Segoe UI" w:eastAsia="Segoe UI" w:hAnsi="Segoe UI" w:cs="Segoe UI"/>
          <w:color w:val="666666"/>
          <w:sz w:val="20"/>
          <w:szCs w:val="20"/>
        </w:rPr>
      </w:pPr>
    </w:p>
    <w:p w14:paraId="2A5D3BDA" w14:textId="77777777" w:rsidR="006465BE" w:rsidRDefault="006465BE" w:rsidP="000E6695">
      <w:pPr>
        <w:pStyle w:val="NormalWeb"/>
        <w:spacing w:before="240" w:beforeAutospacing="0" w:after="240" w:afterAutospacing="0" w:line="276" w:lineRule="auto"/>
        <w:rPr>
          <w:rFonts w:ascii="Segoe UI" w:eastAsia="Segoe UI" w:hAnsi="Segoe UI" w:cs="Segoe UI"/>
          <w:color w:val="666666"/>
          <w:sz w:val="20"/>
          <w:szCs w:val="20"/>
        </w:rPr>
      </w:pPr>
    </w:p>
    <w:p w14:paraId="561B3157" w14:textId="77777777" w:rsidR="006465BE" w:rsidRDefault="006465BE" w:rsidP="000E6695">
      <w:pPr>
        <w:pStyle w:val="NormalWeb"/>
        <w:spacing w:before="240" w:beforeAutospacing="0" w:after="240" w:afterAutospacing="0" w:line="276" w:lineRule="auto"/>
        <w:rPr>
          <w:rFonts w:ascii="Segoe UI" w:eastAsia="Segoe UI" w:hAnsi="Segoe UI" w:cs="Segoe UI"/>
          <w:color w:val="666666"/>
          <w:sz w:val="20"/>
          <w:szCs w:val="20"/>
        </w:rPr>
      </w:pPr>
    </w:p>
    <w:p w14:paraId="602CBD73" w14:textId="55CDE01A" w:rsidR="00A91707" w:rsidRDefault="005F4371" w:rsidP="000E6695">
      <w:pPr>
        <w:pStyle w:val="NormalWeb"/>
        <w:spacing w:before="240" w:beforeAutospacing="0" w:after="240" w:afterAutospacing="0" w:line="276" w:lineRule="auto"/>
        <w:rPr>
          <w:rFonts w:ascii="Segoe UI" w:eastAsia="Segoe UI" w:hAnsi="Segoe UI" w:cs="Segoe UI"/>
          <w:b/>
          <w:color w:val="666666"/>
          <w:sz w:val="20"/>
          <w:szCs w:val="20"/>
        </w:rPr>
      </w:pPr>
      <w:r w:rsidRPr="009425BE">
        <w:rPr>
          <w:rFonts w:ascii="Segoe UI" w:eastAsia="Segoe UI" w:hAnsi="Segoe UI" w:cs="Segoe UI"/>
          <w:color w:val="666666"/>
          <w:sz w:val="20"/>
          <w:szCs w:val="20"/>
        </w:rPr>
        <w:t xml:space="preserve">GAAP results include a net </w:t>
      </w:r>
      <w:r>
        <w:rPr>
          <w:rFonts w:ascii="Segoe UI" w:eastAsia="Segoe UI" w:hAnsi="Segoe UI" w:cs="Segoe UI"/>
          <w:color w:val="666666"/>
          <w:sz w:val="20"/>
          <w:szCs w:val="20"/>
        </w:rPr>
        <w:t xml:space="preserve">income tax </w:t>
      </w:r>
      <w:r w:rsidRPr="009425BE">
        <w:rPr>
          <w:rFonts w:ascii="Segoe UI" w:eastAsia="Segoe UI" w:hAnsi="Segoe UI" w:cs="Segoe UI"/>
          <w:color w:val="666666"/>
          <w:sz w:val="20"/>
          <w:szCs w:val="20"/>
        </w:rPr>
        <w:t>benefit of $</w:t>
      </w:r>
      <w:r w:rsidRPr="00D06C7A">
        <w:rPr>
          <w:rFonts w:ascii="Segoe UI" w:eastAsia="Segoe UI" w:hAnsi="Segoe UI" w:cs="Segoe UI"/>
          <w:color w:val="666666"/>
          <w:sz w:val="20"/>
          <w:szCs w:val="20"/>
        </w:rPr>
        <w:t xml:space="preserve">2.6 </w:t>
      </w:r>
      <w:r w:rsidRPr="009425BE">
        <w:rPr>
          <w:rFonts w:ascii="Segoe UI" w:eastAsia="Segoe UI" w:hAnsi="Segoe UI" w:cs="Segoe UI"/>
          <w:color w:val="666666"/>
          <w:sz w:val="20"/>
          <w:szCs w:val="20"/>
        </w:rPr>
        <w:t xml:space="preserve">billion and a net </w:t>
      </w:r>
      <w:r>
        <w:rPr>
          <w:rFonts w:ascii="Segoe UI" w:eastAsia="Segoe UI" w:hAnsi="Segoe UI" w:cs="Segoe UI"/>
          <w:color w:val="666666"/>
          <w:sz w:val="20"/>
          <w:szCs w:val="20"/>
        </w:rPr>
        <w:t xml:space="preserve">income tax </w:t>
      </w:r>
      <w:r w:rsidRPr="009425BE">
        <w:rPr>
          <w:rFonts w:ascii="Segoe UI" w:eastAsia="Segoe UI" w:hAnsi="Segoe UI" w:cs="Segoe UI"/>
          <w:color w:val="666666"/>
          <w:sz w:val="20"/>
          <w:szCs w:val="20"/>
        </w:rPr>
        <w:t xml:space="preserve">charge </w:t>
      </w:r>
      <w:r>
        <w:rPr>
          <w:rFonts w:ascii="Segoe UI" w:eastAsia="Segoe UI" w:hAnsi="Segoe UI" w:cs="Segoe UI"/>
          <w:color w:val="666666"/>
          <w:sz w:val="20"/>
          <w:szCs w:val="20"/>
        </w:rPr>
        <w:t xml:space="preserve">of $157 million </w:t>
      </w:r>
      <w:r w:rsidRPr="009425BE">
        <w:rPr>
          <w:rFonts w:ascii="Segoe UI" w:eastAsia="Segoe UI" w:hAnsi="Segoe UI" w:cs="Segoe UI"/>
          <w:color w:val="666666"/>
          <w:sz w:val="20"/>
          <w:szCs w:val="20"/>
        </w:rPr>
        <w:t>for the twelve months ended June 30, 2019</w:t>
      </w:r>
      <w:r>
        <w:rPr>
          <w:rFonts w:ascii="Segoe UI" w:eastAsia="Segoe UI" w:hAnsi="Segoe UI" w:cs="Segoe UI"/>
          <w:color w:val="666666"/>
          <w:sz w:val="20"/>
          <w:szCs w:val="20"/>
        </w:rPr>
        <w:t xml:space="preserve">. </w:t>
      </w:r>
      <w:r w:rsidRPr="009425BE">
        <w:rPr>
          <w:rFonts w:ascii="Segoe UI" w:eastAsia="Segoe UI" w:hAnsi="Segoe UI" w:cs="Segoe UI"/>
          <w:color w:val="666666"/>
          <w:sz w:val="20"/>
          <w:szCs w:val="20"/>
        </w:rPr>
        <w:t>These net</w:t>
      </w:r>
      <w:r w:rsidRPr="00876672">
        <w:rPr>
          <w:rFonts w:ascii="Segoe UI" w:eastAsia="Segoe UI" w:hAnsi="Segoe UI" w:cs="Segoe UI"/>
          <w:color w:val="666666"/>
          <w:sz w:val="20"/>
          <w:szCs w:val="20"/>
        </w:rPr>
        <w:t xml:space="preserve"> </w:t>
      </w:r>
      <w:r w:rsidR="00267FD2" w:rsidRPr="00561F00">
        <w:rPr>
          <w:rFonts w:ascii="Segoe UI" w:eastAsia="Segoe UI" w:hAnsi="Segoe UI" w:cs="Segoe UI"/>
          <w:color w:val="666666"/>
          <w:sz w:val="20"/>
          <w:szCs w:val="20"/>
        </w:rPr>
        <w:t xml:space="preserve">tax </w:t>
      </w:r>
      <w:r w:rsidR="00561F00" w:rsidRPr="00561F00">
        <w:rPr>
          <w:rFonts w:ascii="Segoe UI" w:eastAsia="Segoe UI" w:hAnsi="Segoe UI" w:cs="Segoe UI"/>
          <w:color w:val="666666"/>
          <w:sz w:val="20"/>
          <w:szCs w:val="20"/>
        </w:rPr>
        <w:t>impacts</w:t>
      </w:r>
      <w:r w:rsidRPr="009425BE">
        <w:rPr>
          <w:rFonts w:ascii="Segoe UI" w:eastAsia="Segoe UI" w:hAnsi="Segoe UI" w:cs="Segoe UI"/>
          <w:color w:val="666666"/>
          <w:sz w:val="20"/>
          <w:szCs w:val="20"/>
        </w:rPr>
        <w:t xml:space="preserve"> are excluded from our non-GAAP results</w:t>
      </w:r>
      <w:r>
        <w:rPr>
          <w:rFonts w:ascii="Segoe UI" w:eastAsia="Segoe UI" w:hAnsi="Segoe UI" w:cs="Segoe UI"/>
          <w:color w:val="666666"/>
          <w:sz w:val="20"/>
          <w:szCs w:val="20"/>
        </w:rPr>
        <w:t xml:space="preserve"> and explained in the Non-GAAP Definition section below</w:t>
      </w:r>
      <w:r>
        <w:rPr>
          <w:rFonts w:ascii="Segoe UI" w:eastAsia="Segoe UI" w:hAnsi="Segoe UI" w:cs="Segoe UI"/>
          <w:b/>
          <w:color w:val="666666"/>
          <w:sz w:val="20"/>
          <w:szCs w:val="20"/>
        </w:rPr>
        <w:t>.</w:t>
      </w:r>
      <w:r w:rsidR="008B0C12" w:rsidRPr="008B0C12">
        <w:rPr>
          <w:rFonts w:ascii="Segoe UI" w:eastAsia="Segoe UI" w:hAnsi="Segoe UI" w:cs="Segoe UI"/>
          <w:color w:val="FF0000"/>
          <w:sz w:val="20"/>
          <w:szCs w:val="20"/>
        </w:rPr>
        <w:t xml:space="preserve"> </w:t>
      </w:r>
    </w:p>
    <w:p w14:paraId="6565B122" w14:textId="1A0B6880" w:rsidR="00C7044F" w:rsidRDefault="00C7044F" w:rsidP="000E6695">
      <w:pPr>
        <w:pStyle w:val="NormalWeb"/>
        <w:spacing w:before="240" w:beforeAutospacing="0" w:after="240" w:afterAutospacing="0" w:line="276"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1492FCA6" w14:textId="40F337D1" w:rsidR="00FC4D91" w:rsidRDefault="00FC4D91" w:rsidP="00FC4D91">
      <w:pPr>
        <w:rPr>
          <w:rFonts w:ascii="Segoe UI" w:eastAsia="Segoe UI" w:hAnsi="Segoe UI" w:cs="Segoe UI"/>
          <w:b/>
          <w:bCs/>
          <w:color w:val="666666"/>
          <w:sz w:val="20"/>
          <w:szCs w:val="20"/>
        </w:rPr>
      </w:pPr>
      <w:r w:rsidRPr="693DFE27">
        <w:rPr>
          <w:rFonts w:ascii="Segoe UI" w:eastAsia="Segoe UI" w:hAnsi="Segoe UI" w:cs="Segoe UI"/>
          <w:b/>
          <w:bCs/>
          <w:color w:val="666666"/>
          <w:sz w:val="20"/>
          <w:szCs w:val="20"/>
        </w:rPr>
        <w:t>Responding to COVID-19</w:t>
      </w:r>
    </w:p>
    <w:p w14:paraId="6DD16169" w14:textId="0112020E" w:rsidR="00FC4D91" w:rsidRPr="0004157A" w:rsidRDefault="00FC4D91" w:rsidP="0004157A">
      <w:pPr>
        <w:rPr>
          <w:rFonts w:ascii="Segoe UI" w:eastAsiaTheme="minorEastAsia" w:hAnsi="Segoe UI" w:cs="Segoe UI"/>
          <w:b/>
          <w:bCs/>
          <w:color w:val="666666"/>
          <w:sz w:val="26"/>
          <w:szCs w:val="26"/>
        </w:rPr>
      </w:pPr>
      <w:r w:rsidRPr="693DFE27">
        <w:rPr>
          <w:rFonts w:ascii="Segoe UI" w:eastAsia="Segoe UI" w:hAnsi="Segoe UI" w:cs="Segoe UI"/>
          <w:color w:val="666666"/>
          <w:sz w:val="20"/>
          <w:szCs w:val="20"/>
        </w:rPr>
        <w:t>At Microsoft</w:t>
      </w:r>
      <w:r>
        <w:rPr>
          <w:rFonts w:ascii="Segoe UI" w:eastAsia="Segoe UI" w:hAnsi="Segoe UI" w:cs="Segoe UI"/>
          <w:color w:val="666666"/>
          <w:sz w:val="20"/>
          <w:szCs w:val="20"/>
        </w:rPr>
        <w:t>,</w:t>
      </w:r>
      <w:r w:rsidRPr="693DFE27">
        <w:rPr>
          <w:rFonts w:ascii="Segoe UI" w:eastAsia="Segoe UI" w:hAnsi="Segoe UI" w:cs="Segoe UI"/>
          <w:color w:val="666666"/>
          <w:sz w:val="20"/>
          <w:szCs w:val="20"/>
        </w:rPr>
        <w:t xml:space="preserve"> our focus remains on ensuring the safety of our employees, striving to protect the health and well-being of the communities in which we operate, and providing technology and resources to our customers and partners to help them do their best work while remote. Additional information about Microsoft’s COVID-19 response can be found</w:t>
      </w:r>
      <w:r w:rsidRPr="693DFE27">
        <w:rPr>
          <w:rFonts w:ascii="Segoe UI" w:hAnsi="Segoe UI" w:cs="Segoe UI"/>
          <w:color w:val="7F7F7F" w:themeColor="text1" w:themeTint="80"/>
          <w:sz w:val="20"/>
          <w:szCs w:val="20"/>
        </w:rPr>
        <w:t xml:space="preserve"> </w:t>
      </w:r>
      <w:hyperlink r:id="rId8">
        <w:r w:rsidRPr="693DFE27">
          <w:rPr>
            <w:rStyle w:val="Hyperlink"/>
            <w:rFonts w:ascii="Segoe UI" w:hAnsi="Segoe UI" w:cs="Segoe UI"/>
            <w:sz w:val="20"/>
            <w:szCs w:val="20"/>
          </w:rPr>
          <w:t>here</w:t>
        </w:r>
      </w:hyperlink>
      <w:r w:rsidRPr="693DFE27">
        <w:rPr>
          <w:rFonts w:ascii="Segoe UI" w:eastAsia="Segoe UI" w:hAnsi="Segoe UI" w:cs="Segoe UI"/>
          <w:color w:val="666666"/>
          <w:sz w:val="20"/>
          <w:szCs w:val="20"/>
        </w:rPr>
        <w:t>.</w:t>
      </w:r>
    </w:p>
    <w:p w14:paraId="5AB96495" w14:textId="77777777" w:rsidR="00C7044F" w:rsidRPr="00A37F36" w:rsidRDefault="00C7044F" w:rsidP="006F0365">
      <w:pPr>
        <w:spacing w:before="240" w:after="24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6035957E" w:rsidR="00C7044F" w:rsidRPr="00A37F36" w:rsidRDefault="00C7044F" w:rsidP="006F0365">
      <w:pPr>
        <w:pStyle w:val="paragraph"/>
        <w:spacing w:before="240" w:beforeAutospacing="0" w:after="24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9" w:history="1">
        <w:r w:rsidRPr="002C5F8C">
          <w:rPr>
            <w:rStyle w:val="Hyperlink"/>
          </w:rPr>
          <w:t>major product releases and other highlights</w:t>
        </w:r>
      </w:hyperlink>
      <w:r w:rsidRPr="00905451">
        <w:rPr>
          <w:rFonts w:ascii="Segoe UI" w:eastAsia="Segoe UI" w:hAnsi="Segoe UI" w:cs="Segoe UI"/>
          <w:color w:val="0070C0"/>
          <w:sz w:val="20"/>
          <w:szCs w:val="20"/>
        </w:rPr>
        <w:t xml:space="preserve"> </w:t>
      </w:r>
      <w:r w:rsidRPr="00A37F36">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1127E66F" w14:textId="77777777" w:rsidR="00953E8B" w:rsidRPr="00513C0C" w:rsidRDefault="00953E8B" w:rsidP="00953E8B">
      <w:pPr>
        <w:pStyle w:val="NormalWeb"/>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1811C4F" w14:textId="57A19106" w:rsidR="00953E8B" w:rsidRPr="00953E8B" w:rsidRDefault="00953E8B" w:rsidP="00953E8B">
      <w:pPr>
        <w:pStyle w:val="NormalWeb"/>
        <w:spacing w:before="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0">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315D3A3E" w:rsidR="00C7044F" w:rsidRPr="00A138B1" w:rsidRDefault="00C7044F" w:rsidP="006F0365">
      <w:pPr>
        <w:spacing w:before="240" w:after="240"/>
        <w:rPr>
          <w:rFonts w:ascii="Segoe UI" w:eastAsia="Segoe UI" w:hAnsi="Segoe UI" w:cs="Segoe UI"/>
          <w:b/>
          <w:color w:val="666666"/>
          <w:sz w:val="20"/>
          <w:szCs w:val="20"/>
        </w:rPr>
      </w:pPr>
      <w:r w:rsidRPr="31A6BAF1">
        <w:rPr>
          <w:rFonts w:ascii="Segoe UI" w:eastAsia="Segoe UI" w:hAnsi="Segoe UI" w:cs="Segoe UI"/>
          <w:b/>
          <w:color w:val="666666"/>
          <w:sz w:val="20"/>
          <w:szCs w:val="20"/>
        </w:rPr>
        <w:t>Webcast Details</w:t>
      </w:r>
    </w:p>
    <w:p w14:paraId="47989BE8" w14:textId="5E45A89B" w:rsidR="00C7044F" w:rsidRPr="00C74081" w:rsidRDefault="00C7044F" w:rsidP="006F0365">
      <w:pPr>
        <w:spacing w:before="240" w:after="240"/>
        <w:rPr>
          <w:rFonts w:ascii="Segoe UI" w:eastAsia="Segoe UI" w:hAnsi="Segoe UI" w:cs="Segoe UI"/>
          <w:color w:val="666666"/>
          <w:sz w:val="20"/>
          <w:szCs w:val="20"/>
        </w:rPr>
      </w:pPr>
      <w:r w:rsidRPr="5988D9F6">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Pr>
          <w:rFonts w:ascii="Segoe UI" w:eastAsia="Segoe UI" w:hAnsi="Segoe UI" w:cs="Segoe UI"/>
          <w:color w:val="666666"/>
          <w:sz w:val="20"/>
          <w:szCs w:val="20"/>
        </w:rPr>
        <w:t>Keith Dolliver</w:t>
      </w:r>
      <w:r w:rsidRPr="5988D9F6">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1">
        <w:r w:rsidRPr="00890F37">
          <w:rPr>
            <w:rStyle w:val="Hyperlink"/>
            <w:rFonts w:ascii="Segoe UI" w:eastAsia="Segoe UI" w:hAnsi="Segoe UI" w:cs="Segoe UI"/>
            <w:sz w:val="20"/>
            <w:szCs w:val="20"/>
          </w:rPr>
          <w:t>http://www.microsoft.com/en-us/investor</w:t>
        </w:r>
      </w:hyperlink>
      <w:r w:rsidRPr="5988D9F6">
        <w:rPr>
          <w:rFonts w:ascii="Segoe UI" w:eastAsia="Segoe UI" w:hAnsi="Segoe UI" w:cs="Segoe UI"/>
          <w:color w:val="666666"/>
          <w:sz w:val="20"/>
          <w:szCs w:val="20"/>
        </w:rPr>
        <w:t xml:space="preserve">. The webcast will be available for replay through the close of </w:t>
      </w:r>
      <w:r w:rsidRPr="00793EEA">
        <w:rPr>
          <w:rFonts w:ascii="Segoe UI" w:eastAsia="Segoe UI" w:hAnsi="Segoe UI" w:cs="Segoe UI"/>
          <w:color w:val="666666"/>
          <w:sz w:val="20"/>
          <w:szCs w:val="20"/>
        </w:rPr>
        <w:t xml:space="preserve">business on </w:t>
      </w:r>
      <w:r>
        <w:rPr>
          <w:rFonts w:ascii="Segoe UI" w:eastAsia="Segoe UI" w:hAnsi="Segoe UI" w:cs="Segoe UI"/>
          <w:color w:val="666666"/>
          <w:sz w:val="20"/>
          <w:szCs w:val="20"/>
        </w:rPr>
        <w:t>July</w:t>
      </w:r>
      <w:r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22</w:t>
      </w:r>
      <w:r w:rsidRPr="00793EEA">
        <w:rPr>
          <w:rFonts w:ascii="Segoe UI" w:eastAsia="Segoe UI" w:hAnsi="Segoe UI" w:cs="Segoe UI"/>
          <w:color w:val="666666"/>
          <w:sz w:val="20"/>
          <w:szCs w:val="20"/>
        </w:rPr>
        <w:t>, 20</w:t>
      </w:r>
      <w:r>
        <w:rPr>
          <w:rFonts w:ascii="Segoe UI" w:eastAsia="Segoe UI" w:hAnsi="Segoe UI" w:cs="Segoe UI"/>
          <w:color w:val="666666"/>
          <w:sz w:val="20"/>
          <w:szCs w:val="20"/>
        </w:rPr>
        <w:t>2</w:t>
      </w:r>
      <w:r w:rsidR="006B6C74">
        <w:rPr>
          <w:rFonts w:ascii="Segoe UI" w:eastAsia="Segoe UI" w:hAnsi="Segoe UI" w:cs="Segoe UI"/>
          <w:color w:val="666666"/>
          <w:sz w:val="20"/>
          <w:szCs w:val="20"/>
        </w:rPr>
        <w:t>1</w:t>
      </w:r>
      <w:r w:rsidRPr="00793EEA">
        <w:rPr>
          <w:rFonts w:ascii="Segoe UI" w:eastAsia="Segoe UI" w:hAnsi="Segoe UI" w:cs="Segoe UI"/>
          <w:color w:val="666666"/>
          <w:sz w:val="20"/>
          <w:szCs w:val="20"/>
        </w:rPr>
        <w:t>.</w:t>
      </w:r>
    </w:p>
    <w:p w14:paraId="44A2009A" w14:textId="77777777" w:rsidR="00C7044F" w:rsidRPr="00450C66" w:rsidRDefault="00C7044F" w:rsidP="006F0365">
      <w:pPr>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4CF752EB" w14:textId="45082D5C" w:rsidR="00F726BB" w:rsidRPr="00F726BB" w:rsidRDefault="00C7044F" w:rsidP="00F726BB">
      <w:pPr>
        <w:rPr>
          <w:rFonts w:cs="Calibri"/>
        </w:rPr>
      </w:pPr>
      <w:r w:rsidRPr="00890621">
        <w:rPr>
          <w:rFonts w:ascii="Segoe UI" w:eastAsia="Times New Roman" w:hAnsi="Segoe UI" w:cs="Segoe UI"/>
          <w:i/>
          <w:iCs/>
          <w:color w:val="666666"/>
          <w:sz w:val="20"/>
          <w:szCs w:val="20"/>
        </w:rPr>
        <w:t>Transfer of Intangible Properties</w:t>
      </w:r>
      <w:r w:rsidRPr="00890621">
        <w:rPr>
          <w:rFonts w:ascii="Segoe UI" w:eastAsia="Times New Roman" w:hAnsi="Segoe UI" w:cs="Segoe UI"/>
          <w:color w:val="666666"/>
          <w:sz w:val="20"/>
          <w:szCs w:val="20"/>
        </w:rPr>
        <w:t xml:space="preserve">. </w:t>
      </w:r>
      <w:r w:rsidR="00F726BB" w:rsidRPr="00F726BB">
        <w:rPr>
          <w:rFonts w:ascii="Segoe UI" w:hAnsi="Segoe UI" w:cs="Segoe UI"/>
          <w:color w:val="666666"/>
          <w:sz w:val="20"/>
          <w:szCs w:val="20"/>
        </w:rPr>
        <w:t xml:space="preserve">In the fourth quarter of fiscal year 2019, in response to </w:t>
      </w:r>
      <w:r w:rsidR="00C67581">
        <w:rPr>
          <w:rFonts w:ascii="Segoe UI" w:hAnsi="Segoe UI" w:cs="Segoe UI"/>
          <w:color w:val="666666"/>
          <w:sz w:val="20"/>
          <w:szCs w:val="20"/>
        </w:rPr>
        <w:t xml:space="preserve">the </w:t>
      </w:r>
      <w:r w:rsidR="00F726BB" w:rsidRPr="00F726BB">
        <w:rPr>
          <w:rFonts w:ascii="Segoe UI" w:hAnsi="Segoe UI" w:cs="Segoe UI"/>
          <w:color w:val="666666"/>
          <w:sz w:val="20"/>
          <w:szCs w:val="20"/>
        </w:rPr>
        <w:t xml:space="preserve">TCJA and recently issued regulations, </w:t>
      </w:r>
      <w:r w:rsidR="00337D4B">
        <w:rPr>
          <w:rFonts w:ascii="Segoe UI" w:hAnsi="Segoe UI" w:cs="Segoe UI"/>
          <w:color w:val="666666"/>
          <w:sz w:val="20"/>
          <w:szCs w:val="20"/>
        </w:rPr>
        <w:t>Microsoft</w:t>
      </w:r>
      <w:r w:rsidR="00F726BB" w:rsidRPr="00F726BB">
        <w:rPr>
          <w:rFonts w:ascii="Segoe UI" w:hAnsi="Segoe UI" w:cs="Segoe UI"/>
          <w:color w:val="666666"/>
          <w:sz w:val="20"/>
          <w:szCs w:val="20"/>
        </w:rPr>
        <w:t xml:space="preserve"> transferred certain intangible properties held by </w:t>
      </w:r>
      <w:r w:rsidR="00337D4B">
        <w:rPr>
          <w:rFonts w:ascii="Segoe UI" w:hAnsi="Segoe UI" w:cs="Segoe UI"/>
          <w:color w:val="666666"/>
          <w:sz w:val="20"/>
          <w:szCs w:val="20"/>
        </w:rPr>
        <w:t>its</w:t>
      </w:r>
      <w:r w:rsidR="00F726BB" w:rsidRPr="00F726BB">
        <w:rPr>
          <w:rFonts w:ascii="Segoe UI" w:hAnsi="Segoe UI" w:cs="Segoe UI"/>
          <w:color w:val="666666"/>
          <w:sz w:val="20"/>
          <w:szCs w:val="20"/>
        </w:rPr>
        <w:t xml:space="preserve"> foreign subsidiaries to the U</w:t>
      </w:r>
      <w:r w:rsidR="00CB4F68">
        <w:rPr>
          <w:rFonts w:ascii="Segoe UI" w:hAnsi="Segoe UI" w:cs="Segoe UI"/>
          <w:color w:val="666666"/>
          <w:sz w:val="20"/>
          <w:szCs w:val="20"/>
        </w:rPr>
        <w:t>nited States</w:t>
      </w:r>
      <w:r w:rsidR="00F726BB" w:rsidRPr="00F726BB">
        <w:rPr>
          <w:rFonts w:ascii="Segoe UI" w:hAnsi="Segoe UI" w:cs="Segoe UI"/>
          <w:color w:val="666666"/>
          <w:sz w:val="20"/>
          <w:szCs w:val="20"/>
        </w:rPr>
        <w:t xml:space="preserve"> and Ireland. The transfers of intangible properties result</w:t>
      </w:r>
      <w:r w:rsidR="00E40B95">
        <w:rPr>
          <w:rFonts w:ascii="Segoe UI" w:hAnsi="Segoe UI" w:cs="Segoe UI"/>
          <w:color w:val="666666"/>
          <w:sz w:val="20"/>
          <w:szCs w:val="20"/>
        </w:rPr>
        <w:t>ed</w:t>
      </w:r>
      <w:r w:rsidR="00F726BB" w:rsidRPr="00F726BB">
        <w:rPr>
          <w:rFonts w:ascii="Segoe UI" w:hAnsi="Segoe UI" w:cs="Segoe UI"/>
          <w:color w:val="666666"/>
          <w:sz w:val="20"/>
          <w:szCs w:val="20"/>
        </w:rPr>
        <w:t xml:space="preserve"> in a net $</w:t>
      </w:r>
      <w:r w:rsidR="00D416EE" w:rsidRPr="00D416EE">
        <w:rPr>
          <w:rFonts w:ascii="Segoe UI" w:hAnsi="Segoe UI" w:cs="Segoe UI"/>
          <w:color w:val="666666"/>
          <w:sz w:val="20"/>
          <w:szCs w:val="20"/>
        </w:rPr>
        <w:t>2.6</w:t>
      </w:r>
      <w:r w:rsidR="00F726BB" w:rsidRPr="00F726BB">
        <w:rPr>
          <w:rFonts w:ascii="Segoe UI" w:hAnsi="Segoe UI" w:cs="Segoe UI"/>
          <w:color w:val="666666"/>
          <w:sz w:val="20"/>
          <w:szCs w:val="20"/>
        </w:rPr>
        <w:t xml:space="preserve"> billion tax benefit recorded in the fourth quarter of fiscal </w:t>
      </w:r>
      <w:r w:rsidR="006B2090">
        <w:rPr>
          <w:rFonts w:ascii="Segoe UI" w:hAnsi="Segoe UI" w:cs="Segoe UI"/>
          <w:color w:val="666666"/>
          <w:sz w:val="20"/>
          <w:szCs w:val="20"/>
        </w:rPr>
        <w:t xml:space="preserve">year </w:t>
      </w:r>
      <w:r w:rsidR="00F726BB" w:rsidRPr="00F726BB">
        <w:rPr>
          <w:rFonts w:ascii="Segoe UI" w:hAnsi="Segoe UI" w:cs="Segoe UI"/>
          <w:color w:val="666666"/>
          <w:sz w:val="20"/>
          <w:szCs w:val="20"/>
        </w:rPr>
        <w:t>2019, as the value of future tax deductions exceed</w:t>
      </w:r>
      <w:r w:rsidR="00E40B95">
        <w:rPr>
          <w:rFonts w:ascii="Segoe UI" w:hAnsi="Segoe UI" w:cs="Segoe UI"/>
          <w:color w:val="666666"/>
          <w:sz w:val="20"/>
          <w:szCs w:val="20"/>
        </w:rPr>
        <w:t>ed</w:t>
      </w:r>
      <w:r w:rsidR="00F726BB" w:rsidRPr="00F726BB">
        <w:rPr>
          <w:rFonts w:ascii="Segoe UI" w:hAnsi="Segoe UI" w:cs="Segoe UI"/>
          <w:color w:val="666666"/>
          <w:sz w:val="20"/>
          <w:szCs w:val="20"/>
        </w:rPr>
        <w:t xml:space="preserve"> the current tax liability from foreign jurisdictions and </w:t>
      </w:r>
      <w:r w:rsidR="00690C2D">
        <w:rPr>
          <w:rFonts w:ascii="Segoe UI" w:hAnsi="Segoe UI" w:cs="Segoe UI"/>
          <w:color w:val="666666"/>
          <w:sz w:val="20"/>
          <w:szCs w:val="20"/>
        </w:rPr>
        <w:t xml:space="preserve">United </w:t>
      </w:r>
      <w:r w:rsidR="0034622B">
        <w:rPr>
          <w:rFonts w:ascii="Segoe UI" w:hAnsi="Segoe UI" w:cs="Segoe UI"/>
          <w:color w:val="666666"/>
          <w:sz w:val="20"/>
          <w:szCs w:val="20"/>
        </w:rPr>
        <w:t>States</w:t>
      </w:r>
      <w:r w:rsidR="00F726BB" w:rsidRPr="00F726BB">
        <w:rPr>
          <w:rFonts w:ascii="Segoe UI" w:hAnsi="Segoe UI" w:cs="Segoe UI"/>
          <w:color w:val="666666"/>
          <w:sz w:val="20"/>
          <w:szCs w:val="20"/>
        </w:rPr>
        <w:t xml:space="preserve"> </w:t>
      </w:r>
      <w:r w:rsidR="00524B1C">
        <w:rPr>
          <w:rFonts w:ascii="Segoe UI" w:hAnsi="Segoe UI" w:cs="Segoe UI"/>
          <w:color w:val="666666"/>
          <w:sz w:val="20"/>
          <w:szCs w:val="20"/>
        </w:rPr>
        <w:t>Global Intangible Low-Taxed Income (GILTI)</w:t>
      </w:r>
      <w:r w:rsidR="00F726BB" w:rsidRPr="00F726BB">
        <w:rPr>
          <w:rFonts w:ascii="Segoe UI" w:hAnsi="Segoe UI" w:cs="Segoe UI"/>
          <w:color w:val="666666"/>
          <w:sz w:val="20"/>
          <w:szCs w:val="20"/>
        </w:rPr>
        <w:t xml:space="preserve"> tax.</w:t>
      </w:r>
      <w:r w:rsidR="00F726BB" w:rsidRPr="00F726BB">
        <w:rPr>
          <w:rFonts w:cs="Calibri"/>
        </w:rPr>
        <w:t xml:space="preserve"> </w:t>
      </w:r>
    </w:p>
    <w:p w14:paraId="49AC28C9" w14:textId="0F6540D7" w:rsidR="00C7044F" w:rsidRPr="00890621" w:rsidRDefault="00A165DC" w:rsidP="006F0365">
      <w:pPr>
        <w:spacing w:before="240" w:after="240"/>
        <w:rPr>
          <w:rFonts w:ascii="Segoe UI" w:eastAsia="Times New Roman" w:hAnsi="Segoe UI" w:cs="Segoe UI"/>
          <w:color w:val="666666"/>
          <w:sz w:val="20"/>
          <w:szCs w:val="20"/>
        </w:rPr>
      </w:pPr>
      <w:r>
        <w:rPr>
          <w:rFonts w:ascii="Segoe UI" w:eastAsia="Times New Roman" w:hAnsi="Segoe UI" w:cs="Segoe UI"/>
          <w:i/>
          <w:iCs/>
          <w:color w:val="666666"/>
          <w:sz w:val="20"/>
          <w:szCs w:val="20"/>
        </w:rPr>
        <w:t xml:space="preserve">The </w:t>
      </w:r>
      <w:r w:rsidR="00C7044F" w:rsidRPr="00890621">
        <w:rPr>
          <w:rFonts w:ascii="Segoe UI" w:eastAsia="Times New Roman" w:hAnsi="Segoe UI" w:cs="Segoe UI"/>
          <w:i/>
          <w:iCs/>
          <w:color w:val="666666"/>
          <w:sz w:val="20"/>
          <w:szCs w:val="20"/>
        </w:rPr>
        <w:t>TCJA Impact</w:t>
      </w:r>
      <w:r w:rsidR="00C7044F" w:rsidRPr="00890621">
        <w:rPr>
          <w:rFonts w:ascii="Segoe UI" w:eastAsia="Times New Roman" w:hAnsi="Segoe UI" w:cs="Segoe UI"/>
          <w:color w:val="666666"/>
          <w:sz w:val="20"/>
          <w:szCs w:val="20"/>
        </w:rPr>
        <w:t xml:space="preserve">. </w:t>
      </w:r>
      <w:r w:rsidR="00337D4B">
        <w:rPr>
          <w:rFonts w:ascii="Segoe UI" w:eastAsia="Times New Roman" w:hAnsi="Segoe UI" w:cs="Segoe UI"/>
          <w:color w:val="666666"/>
          <w:sz w:val="20"/>
          <w:szCs w:val="20"/>
        </w:rPr>
        <w:t>Microsoft</w:t>
      </w:r>
      <w:r w:rsidR="00C7044F" w:rsidRPr="00890621">
        <w:rPr>
          <w:rFonts w:ascii="Segoe UI" w:eastAsia="Times New Roman" w:hAnsi="Segoe UI" w:cs="Segoe UI"/>
          <w:color w:val="666666"/>
          <w:sz w:val="20"/>
          <w:szCs w:val="20"/>
        </w:rPr>
        <w:t xml:space="preserve"> recorded a net charge of $</w:t>
      </w:r>
      <w:r w:rsidR="00BA6D87" w:rsidRPr="00BA6D87">
        <w:rPr>
          <w:rFonts w:ascii="Segoe UI" w:eastAsia="Times New Roman" w:hAnsi="Segoe UI" w:cs="Segoe UI"/>
          <w:color w:val="666666"/>
          <w:sz w:val="20"/>
          <w:szCs w:val="20"/>
        </w:rPr>
        <w:t>157</w:t>
      </w:r>
      <w:r w:rsidR="00C7044F" w:rsidRPr="00BA6D87">
        <w:rPr>
          <w:rFonts w:ascii="Segoe UI" w:eastAsia="Times New Roman" w:hAnsi="Segoe UI" w:cs="Segoe UI"/>
          <w:color w:val="666666"/>
          <w:sz w:val="20"/>
          <w:szCs w:val="20"/>
        </w:rPr>
        <w:t xml:space="preserve"> </w:t>
      </w:r>
      <w:r w:rsidR="00C7044F" w:rsidRPr="00890621">
        <w:rPr>
          <w:rFonts w:ascii="Segoe UI" w:eastAsia="Times New Roman" w:hAnsi="Segoe UI" w:cs="Segoe UI"/>
          <w:color w:val="666666"/>
          <w:sz w:val="20"/>
          <w:szCs w:val="20"/>
        </w:rPr>
        <w:t xml:space="preserve">million during the twelve months ended June 30, 2019 </w:t>
      </w:r>
      <w:r w:rsidR="001D2D75">
        <w:rPr>
          <w:rFonts w:ascii="Segoe UI" w:eastAsia="Times New Roman" w:hAnsi="Segoe UI" w:cs="Segoe UI"/>
          <w:color w:val="666666"/>
          <w:sz w:val="20"/>
          <w:szCs w:val="20"/>
        </w:rPr>
        <w:t xml:space="preserve">related to </w:t>
      </w:r>
      <w:r w:rsidR="001353BC">
        <w:rPr>
          <w:rFonts w:ascii="Segoe UI" w:eastAsia="Times New Roman" w:hAnsi="Segoe UI" w:cs="Segoe UI"/>
          <w:color w:val="666666"/>
          <w:sz w:val="20"/>
          <w:szCs w:val="20"/>
        </w:rPr>
        <w:t xml:space="preserve">the </w:t>
      </w:r>
      <w:r w:rsidR="001D2D75">
        <w:rPr>
          <w:rFonts w:ascii="Segoe UI" w:eastAsia="Times New Roman" w:hAnsi="Segoe UI" w:cs="Segoe UI"/>
          <w:color w:val="666666"/>
          <w:sz w:val="20"/>
          <w:szCs w:val="20"/>
        </w:rPr>
        <w:t xml:space="preserve">TCJA. </w:t>
      </w:r>
    </w:p>
    <w:p w14:paraId="6CA589EC" w14:textId="744E8626" w:rsidR="00C7044F" w:rsidRPr="00450C66" w:rsidRDefault="00337D4B" w:rsidP="006F0365">
      <w:pPr>
        <w:spacing w:before="240" w:after="240"/>
        <w:rPr>
          <w:rFonts w:ascii="Segoe UI" w:eastAsia="Times New Roman" w:hAnsi="Segoe UI" w:cs="Segoe UI"/>
          <w:color w:val="666666"/>
          <w:sz w:val="20"/>
          <w:szCs w:val="20"/>
        </w:rPr>
      </w:pPr>
      <w:r>
        <w:rPr>
          <w:rFonts w:ascii="Segoe UI" w:eastAsia="Times New Roman" w:hAnsi="Segoe UI" w:cs="Segoe UI"/>
          <w:color w:val="666666"/>
          <w:sz w:val="20"/>
          <w:szCs w:val="20"/>
        </w:rPr>
        <w:t>Microsoft</w:t>
      </w:r>
      <w:r w:rsidR="00C7044F" w:rsidRPr="00890621">
        <w:rPr>
          <w:rFonts w:ascii="Segoe UI" w:eastAsia="Times New Roman" w:hAnsi="Segoe UI" w:cs="Segoe UI"/>
          <w:color w:val="666666"/>
          <w:sz w:val="20"/>
          <w:szCs w:val="20"/>
        </w:rPr>
        <w:t xml:space="preserve"> ha</w:t>
      </w:r>
      <w:r>
        <w:rPr>
          <w:rFonts w:ascii="Segoe UI" w:eastAsia="Times New Roman" w:hAnsi="Segoe UI" w:cs="Segoe UI"/>
          <w:color w:val="666666"/>
          <w:sz w:val="20"/>
          <w:szCs w:val="20"/>
        </w:rPr>
        <w:t>s</w:t>
      </w:r>
      <w:r w:rsidR="00C7044F" w:rsidRPr="00890621">
        <w:rPr>
          <w:rFonts w:ascii="Segoe UI" w:eastAsia="Times New Roman" w:hAnsi="Segoe UI" w:cs="Segoe UI"/>
          <w:color w:val="666666"/>
          <w:sz w:val="20"/>
          <w:szCs w:val="20"/>
        </w:rPr>
        <w:t xml:space="preserve"> provided non-GAAP financial measures related to the </w:t>
      </w:r>
      <w:r w:rsidR="002A680B">
        <w:rPr>
          <w:rFonts w:ascii="Segoe UI" w:eastAsia="Times New Roman" w:hAnsi="Segoe UI" w:cs="Segoe UI"/>
          <w:color w:val="666666"/>
          <w:sz w:val="20"/>
          <w:szCs w:val="20"/>
        </w:rPr>
        <w:t>t</w:t>
      </w:r>
      <w:r w:rsidR="00C7044F" w:rsidRPr="00890621">
        <w:rPr>
          <w:rFonts w:ascii="Segoe UI" w:eastAsia="Times New Roman" w:hAnsi="Segoe UI" w:cs="Segoe UI"/>
          <w:color w:val="666666"/>
          <w:sz w:val="20"/>
          <w:szCs w:val="20"/>
        </w:rPr>
        <w:t xml:space="preserve">ransfer of intangible properties and </w:t>
      </w:r>
      <w:r w:rsidR="00D154D8">
        <w:rPr>
          <w:rFonts w:ascii="Segoe UI" w:eastAsia="Times New Roman" w:hAnsi="Segoe UI" w:cs="Segoe UI"/>
          <w:color w:val="666666"/>
          <w:sz w:val="20"/>
          <w:szCs w:val="20"/>
        </w:rPr>
        <w:t xml:space="preserve">the </w:t>
      </w:r>
      <w:r w:rsidR="00C7044F" w:rsidRPr="00890621">
        <w:rPr>
          <w:rFonts w:ascii="Segoe UI" w:eastAsia="Times New Roman" w:hAnsi="Segoe UI" w:cs="Segoe UI"/>
          <w:color w:val="666666"/>
          <w:sz w:val="20"/>
          <w:szCs w:val="20"/>
        </w:rPr>
        <w:t>TCJA to aid investors in better understanding our performanc</w:t>
      </w:r>
      <w:r w:rsidR="00C7044F" w:rsidRPr="00450C66">
        <w:rPr>
          <w:rFonts w:ascii="Segoe UI" w:eastAsia="Times New Roman" w:hAnsi="Segoe UI" w:cs="Segoe UI"/>
          <w:color w:val="666666"/>
          <w:sz w:val="20"/>
          <w:szCs w:val="20"/>
        </w:rPr>
        <w:t xml:space="preserve">e. </w:t>
      </w:r>
      <w:r w:rsidR="006E1467">
        <w:rPr>
          <w:rFonts w:ascii="Segoe UI" w:eastAsia="Times New Roman" w:hAnsi="Segoe UI" w:cs="Segoe UI"/>
          <w:color w:val="666666"/>
          <w:sz w:val="20"/>
          <w:szCs w:val="20"/>
        </w:rPr>
        <w:t>Microsoft</w:t>
      </w:r>
      <w:r w:rsidR="00C7044F" w:rsidRPr="00450C66">
        <w:rPr>
          <w:rFonts w:ascii="Segoe UI" w:eastAsia="Times New Roman" w:hAnsi="Segoe UI" w:cs="Segoe UI"/>
          <w:color w:val="666666"/>
          <w:sz w:val="20"/>
          <w:szCs w:val="20"/>
        </w:rPr>
        <w:t xml:space="preserve"> believe</w:t>
      </w:r>
      <w:r w:rsidR="006E1467">
        <w:rPr>
          <w:rFonts w:ascii="Segoe UI" w:eastAsia="Times New Roman" w:hAnsi="Segoe UI" w:cs="Segoe UI"/>
          <w:color w:val="666666"/>
          <w:sz w:val="20"/>
          <w:szCs w:val="20"/>
        </w:rPr>
        <w:t>s</w:t>
      </w:r>
      <w:r w:rsidR="00C7044F" w:rsidRPr="00450C66">
        <w:rPr>
          <w:rFonts w:ascii="Segoe UI" w:eastAsia="Times New Roman" w:hAnsi="Segoe UI" w:cs="Segoe UI"/>
          <w:color w:val="666666"/>
          <w:sz w:val="20"/>
          <w:szCs w:val="20"/>
        </w:rPr>
        <w:t xml:space="preserve"> these non-GAAP measures </w:t>
      </w:r>
      <w:r w:rsidR="00F25A36">
        <w:rPr>
          <w:rFonts w:ascii="Segoe UI" w:eastAsia="Times New Roman" w:hAnsi="Segoe UI" w:cs="Segoe UI"/>
          <w:color w:val="666666"/>
          <w:sz w:val="20"/>
          <w:szCs w:val="20"/>
        </w:rPr>
        <w:t>assist</w:t>
      </w:r>
      <w:r w:rsidR="00C7044F" w:rsidRPr="00450C66">
        <w:rPr>
          <w:rFonts w:ascii="Segoe UI" w:eastAsia="Times New Roman" w:hAnsi="Segoe UI" w:cs="Segoe UI"/>
          <w:color w:val="666666"/>
          <w:sz w:val="20"/>
          <w:szCs w:val="20"/>
        </w:rPr>
        <w:t xml:space="preserve"> investors by providing additional insight into </w:t>
      </w:r>
      <w:r w:rsidR="00D97E7D">
        <w:rPr>
          <w:rFonts w:ascii="Segoe UI" w:eastAsia="Times New Roman" w:hAnsi="Segoe UI" w:cs="Segoe UI"/>
          <w:color w:val="666666"/>
          <w:sz w:val="20"/>
          <w:szCs w:val="20"/>
        </w:rPr>
        <w:t>its</w:t>
      </w:r>
      <w:r w:rsidR="00C7044F" w:rsidRPr="00450C66">
        <w:rPr>
          <w:rFonts w:ascii="Segoe UI" w:eastAsia="Times New Roman" w:hAnsi="Segoe UI" w:cs="Segoe UI"/>
          <w:color w:val="666666"/>
          <w:sz w:val="20"/>
          <w:szCs w:val="20"/>
        </w:rPr>
        <w:t xml:space="preserve"> operational performance and help clarify trends affecting </w:t>
      </w:r>
      <w:r w:rsidR="00D97E7D">
        <w:rPr>
          <w:rFonts w:ascii="Segoe UI" w:eastAsia="Times New Roman" w:hAnsi="Segoe UI" w:cs="Segoe UI"/>
          <w:color w:val="666666"/>
          <w:sz w:val="20"/>
          <w:szCs w:val="20"/>
        </w:rPr>
        <w:t>its</w:t>
      </w:r>
      <w:r w:rsidR="00C7044F" w:rsidRPr="00450C66">
        <w:rPr>
          <w:rFonts w:ascii="Segoe UI" w:eastAsia="Times New Roman" w:hAnsi="Segoe UI" w:cs="Segoe UI"/>
          <w:color w:val="666666"/>
          <w:sz w:val="20"/>
          <w:szCs w:val="20"/>
        </w:rPr>
        <w:t xml:space="preserve">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25A919F2" w14:textId="77777777" w:rsidR="00C7044F" w:rsidRPr="00243400" w:rsidRDefault="00C7044F" w:rsidP="006F0365">
      <w:pPr>
        <w:spacing w:before="240" w:after="24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3553274" w14:textId="25E44E57" w:rsidR="00C7044F" w:rsidRPr="00243400" w:rsidRDefault="00C7044F" w:rsidP="006F0365">
      <w:pPr>
        <w:spacing w:before="240" w:after="240"/>
        <w:rPr>
          <w:rFonts w:ascii="Segoe UI,游明朝" w:eastAsia="Segoe UI,游明朝" w:hAnsi="Segoe UI,游明朝" w:cs="Segoe UI,游明朝"/>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7777777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br w:type="page"/>
        <w:t>Financial Performance Constant Currency Reconciliation</w:t>
      </w:r>
    </w:p>
    <w:tbl>
      <w:tblPr>
        <w:tblW w:w="5078" w:type="pct"/>
        <w:tblLayout w:type="fixed"/>
        <w:tblLook w:val="04A0" w:firstRow="1" w:lastRow="0" w:firstColumn="1" w:lastColumn="0" w:noHBand="0" w:noVBand="1"/>
      </w:tblPr>
      <w:tblGrid>
        <w:gridCol w:w="6127"/>
        <w:gridCol w:w="1352"/>
        <w:gridCol w:w="1163"/>
        <w:gridCol w:w="1119"/>
        <w:gridCol w:w="1207"/>
      </w:tblGrid>
      <w:tr w:rsidR="00C7044F" w:rsidRPr="00243400" w14:paraId="366B07CA" w14:textId="77777777" w:rsidTr="008D14D0">
        <w:trPr>
          <w:trHeight w:val="340"/>
        </w:trPr>
        <w:tc>
          <w:tcPr>
            <w:tcW w:w="5310"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196" w:type="dxa"/>
            <w:gridSpan w:val="4"/>
            <w:tcBorders>
              <w:top w:val="nil"/>
              <w:left w:val="nil"/>
              <w:bottom w:val="single" w:sz="8" w:space="0" w:color="auto"/>
            </w:tcBorders>
          </w:tcPr>
          <w:p w14:paraId="2A5FC08F" w14:textId="7777777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June 30</w:t>
            </w:r>
            <w:r w:rsidRPr="3A42354A">
              <w:rPr>
                <w:rFonts w:ascii="Segoe UI" w:eastAsia="Times New Roman" w:hAnsi="Segoe UI" w:cs="Segoe UI"/>
                <w:b/>
                <w:bCs/>
                <w:color w:val="666666"/>
                <w:sz w:val="16"/>
                <w:szCs w:val="16"/>
              </w:rPr>
              <w:t>,</w:t>
            </w:r>
          </w:p>
        </w:tc>
      </w:tr>
      <w:tr w:rsidR="00C7044F" w:rsidRPr="00243400" w14:paraId="768CEB1E" w14:textId="77777777" w:rsidTr="008D14D0">
        <w:trPr>
          <w:trHeight w:val="738"/>
        </w:trPr>
        <w:tc>
          <w:tcPr>
            <w:tcW w:w="5310"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72"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163281" w:rsidRPr="00243400" w14:paraId="1EC8A760" w14:textId="77777777" w:rsidTr="008D14D0">
        <w:trPr>
          <w:trHeight w:val="288"/>
        </w:trPr>
        <w:tc>
          <w:tcPr>
            <w:tcW w:w="5310" w:type="dxa"/>
            <w:tcBorders>
              <w:top w:val="single" w:sz="8" w:space="0" w:color="666666"/>
              <w:left w:val="nil"/>
              <w:bottom w:val="single" w:sz="4" w:space="0" w:color="auto"/>
              <w:right w:val="nil"/>
            </w:tcBorders>
            <w:noWrap/>
            <w:vAlign w:val="center"/>
          </w:tcPr>
          <w:p w14:paraId="1724E6CC" w14:textId="1E819C48" w:rsidR="00163281" w:rsidRPr="00243400" w:rsidRDefault="00163281" w:rsidP="00163281">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72" w:type="dxa"/>
            <w:tcBorders>
              <w:top w:val="single" w:sz="8" w:space="0" w:color="666666"/>
              <w:left w:val="nil"/>
              <w:bottom w:val="single" w:sz="4" w:space="0" w:color="auto"/>
              <w:right w:val="nil"/>
            </w:tcBorders>
            <w:shd w:val="clear" w:color="auto" w:fill="auto"/>
            <w:vAlign w:val="center"/>
          </w:tcPr>
          <w:p w14:paraId="7DB6CE30" w14:textId="77A3B817" w:rsidR="00163281" w:rsidRPr="000C4818" w:rsidRDefault="00163281" w:rsidP="00163281">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bCs/>
                <w:color w:val="666666"/>
                <w:sz w:val="16"/>
                <w:szCs w:val="16"/>
              </w:rPr>
              <w:t>$33,717</w:t>
            </w:r>
            <w:r>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6910FC79" w14:textId="7468C45A" w:rsidR="00163281" w:rsidRPr="00243400" w:rsidRDefault="00163281" w:rsidP="00163281">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$12,405</w:t>
            </w:r>
            <w:r>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4BB2A3AB" w14:textId="5CEFDC17" w:rsidR="00163281" w:rsidRPr="00243400" w:rsidRDefault="00163281" w:rsidP="00163281">
            <w:pPr>
              <w:spacing w:after="40"/>
              <w:jc w:val="right"/>
              <w:rPr>
                <w:rFonts w:ascii="Segoe UI" w:eastAsia="Times New Roman" w:hAnsi="Segoe UI" w:cs="Segoe UI"/>
                <w:b/>
                <w:bCs/>
                <w:color w:val="666666"/>
                <w:sz w:val="16"/>
                <w:szCs w:val="16"/>
              </w:rPr>
            </w:pPr>
            <w:r w:rsidRPr="00FB54B9">
              <w:rPr>
                <w:rFonts w:ascii="Segoe UI" w:eastAsia="Times New Roman" w:hAnsi="Segoe UI" w:cs="Segoe UI"/>
                <w:b/>
                <w:color w:val="666666"/>
                <w:sz w:val="16"/>
                <w:szCs w:val="16"/>
              </w:rPr>
              <w:t>$13,187</w:t>
            </w:r>
            <w:r>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1F3DBEAD" w14:textId="10887F7D" w:rsidR="00163281" w:rsidRPr="00243400" w:rsidRDefault="00163281" w:rsidP="00163281">
            <w:pPr>
              <w:spacing w:after="40"/>
              <w:jc w:val="right"/>
              <w:rPr>
                <w:rFonts w:ascii="Segoe UI" w:eastAsia="Times New Roman" w:hAnsi="Segoe UI" w:cs="Segoe UI"/>
                <w:b/>
                <w:bCs/>
                <w:color w:val="666666"/>
                <w:sz w:val="16"/>
                <w:szCs w:val="16"/>
              </w:rPr>
            </w:pPr>
            <w:r w:rsidRPr="00FB54B9">
              <w:rPr>
                <w:rFonts w:ascii="Segoe UI" w:eastAsia="Times New Roman" w:hAnsi="Segoe UI" w:cs="Segoe UI"/>
                <w:b/>
                <w:color w:val="666666"/>
                <w:sz w:val="16"/>
                <w:szCs w:val="16"/>
              </w:rPr>
              <w:t>$1.71</w:t>
            </w:r>
            <w:r>
              <w:rPr>
                <w:rFonts w:ascii="Segoe UI" w:eastAsia="Times New Roman" w:hAnsi="Segoe UI" w:cs="Segoe UI"/>
                <w:b/>
                <w:bCs/>
                <w:color w:val="FFFFFF" w:themeColor="background1"/>
                <w:sz w:val="16"/>
                <w:szCs w:val="16"/>
              </w:rPr>
              <w:t>_</w:t>
            </w:r>
          </w:p>
        </w:tc>
      </w:tr>
      <w:tr w:rsidR="00163281" w:rsidRPr="00243400" w14:paraId="7CD03883" w14:textId="77777777" w:rsidTr="008D14D0">
        <w:trPr>
          <w:trHeight w:val="288"/>
        </w:trPr>
        <w:tc>
          <w:tcPr>
            <w:tcW w:w="5310" w:type="dxa"/>
            <w:tcBorders>
              <w:top w:val="single" w:sz="8" w:space="0" w:color="666666"/>
              <w:left w:val="nil"/>
              <w:bottom w:val="single" w:sz="4" w:space="0" w:color="auto"/>
              <w:right w:val="nil"/>
            </w:tcBorders>
            <w:noWrap/>
            <w:vAlign w:val="center"/>
          </w:tcPr>
          <w:p w14:paraId="12C9CE04" w14:textId="2499E395" w:rsidR="00163281" w:rsidRPr="3A42354A" w:rsidRDefault="00163281" w:rsidP="00163281">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8" w:space="0" w:color="666666"/>
              <w:left w:val="nil"/>
              <w:bottom w:val="single" w:sz="4" w:space="0" w:color="auto"/>
              <w:right w:val="nil"/>
            </w:tcBorders>
            <w:shd w:val="clear" w:color="auto" w:fill="auto"/>
            <w:vAlign w:val="center"/>
          </w:tcPr>
          <w:p w14:paraId="62F13582" w14:textId="64C9DE82" w:rsidR="00163281" w:rsidRDefault="00163281" w:rsidP="00163281">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$33,717</w:t>
            </w:r>
            <w:r>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5A9EB60F" w14:textId="112A7D55" w:rsidR="00163281" w:rsidRDefault="00163281" w:rsidP="00163281">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$12,405</w:t>
            </w:r>
            <w:r>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15BB44A1" w14:textId="562D0343" w:rsidR="00163281" w:rsidRDefault="00163281" w:rsidP="00163281">
            <w:pPr>
              <w:spacing w:after="40"/>
              <w:jc w:val="right"/>
              <w:rPr>
                <w:rFonts w:ascii="Segoe UI" w:eastAsia="Times New Roman" w:hAnsi="Segoe UI" w:cs="Segoe UI"/>
                <w:b/>
                <w:color w:val="666666"/>
                <w:sz w:val="16"/>
                <w:szCs w:val="16"/>
              </w:rPr>
            </w:pPr>
            <w:r w:rsidRPr="00FB54B9">
              <w:rPr>
                <w:rFonts w:ascii="Segoe UI" w:eastAsia="Times New Roman" w:hAnsi="Segoe UI" w:cs="Segoe UI"/>
                <w:b/>
                <w:color w:val="666666"/>
                <w:sz w:val="16"/>
                <w:szCs w:val="16"/>
              </w:rPr>
              <w:t>$10,620</w:t>
            </w:r>
            <w:r>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4C448C89" w14:textId="7D573C83" w:rsidR="00163281" w:rsidRDefault="00163281" w:rsidP="00163281">
            <w:pPr>
              <w:spacing w:after="40"/>
              <w:jc w:val="right"/>
              <w:rPr>
                <w:rFonts w:ascii="Segoe UI" w:eastAsia="Times New Roman" w:hAnsi="Segoe UI" w:cs="Segoe UI"/>
                <w:b/>
                <w:color w:val="666666"/>
                <w:sz w:val="16"/>
                <w:szCs w:val="16"/>
              </w:rPr>
            </w:pPr>
            <w:r w:rsidRPr="00FB54B9">
              <w:rPr>
                <w:rFonts w:ascii="Segoe UI" w:eastAsia="Times New Roman" w:hAnsi="Segoe UI" w:cs="Segoe UI"/>
                <w:b/>
                <w:color w:val="666666"/>
                <w:sz w:val="16"/>
                <w:szCs w:val="16"/>
              </w:rPr>
              <w:t>$1.37</w:t>
            </w:r>
            <w:r>
              <w:rPr>
                <w:rFonts w:ascii="Segoe UI" w:eastAsia="Times New Roman" w:hAnsi="Segoe UI" w:cs="Segoe UI"/>
                <w:b/>
                <w:bCs/>
                <w:color w:val="FFFFFF" w:themeColor="background1"/>
                <w:sz w:val="16"/>
                <w:szCs w:val="16"/>
              </w:rPr>
              <w:t>_</w:t>
            </w:r>
          </w:p>
        </w:tc>
      </w:tr>
      <w:tr w:rsidR="0012364D" w:rsidRPr="00243400" w14:paraId="3C0270B7" w14:textId="77777777" w:rsidTr="008D14D0">
        <w:trPr>
          <w:trHeight w:val="288"/>
        </w:trPr>
        <w:tc>
          <w:tcPr>
            <w:tcW w:w="5310" w:type="dxa"/>
            <w:tcBorders>
              <w:top w:val="single" w:sz="4" w:space="0" w:color="auto"/>
              <w:left w:val="nil"/>
              <w:bottom w:val="single" w:sz="4" w:space="0" w:color="auto"/>
              <w:right w:val="nil"/>
            </w:tcBorders>
            <w:noWrap/>
            <w:vAlign w:val="center"/>
          </w:tcPr>
          <w:p w14:paraId="5B14E423" w14:textId="7A78BB02" w:rsidR="0012364D" w:rsidRPr="00243400" w:rsidRDefault="0012364D" w:rsidP="0012364D">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p>
        </w:tc>
        <w:tc>
          <w:tcPr>
            <w:tcW w:w="1172" w:type="dxa"/>
            <w:tcBorders>
              <w:top w:val="single" w:sz="4" w:space="0" w:color="auto"/>
              <w:left w:val="nil"/>
              <w:bottom w:val="single" w:sz="4" w:space="0" w:color="auto"/>
              <w:right w:val="nil"/>
            </w:tcBorders>
            <w:shd w:val="clear" w:color="auto" w:fill="auto"/>
            <w:vAlign w:val="center"/>
          </w:tcPr>
          <w:p w14:paraId="4B80F7F1" w14:textId="02CA13F4" w:rsidR="0012364D" w:rsidRPr="00F427E6" w:rsidRDefault="0012364D" w:rsidP="0012364D">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$38,033</w:t>
            </w:r>
            <w:r w:rsidR="009D1E5F">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2DB4C19A" w14:textId="5AAD84D6" w:rsidR="0012364D" w:rsidRPr="00F427E6" w:rsidRDefault="0012364D" w:rsidP="0012364D">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$13,</w:t>
            </w:r>
            <w:r w:rsidR="000D1D83" w:rsidRPr="005C49C2">
              <w:rPr>
                <w:rFonts w:ascii="Segoe UI" w:eastAsia="Times New Roman" w:hAnsi="Segoe UI" w:cs="Segoe UI"/>
                <w:b/>
                <w:bCs/>
                <w:color w:val="666666"/>
                <w:sz w:val="16"/>
                <w:szCs w:val="16"/>
              </w:rPr>
              <w:t>4</w:t>
            </w:r>
            <w:r w:rsidR="005C49C2" w:rsidRPr="005C49C2">
              <w:rPr>
                <w:rFonts w:ascii="Segoe UI" w:eastAsia="Times New Roman" w:hAnsi="Segoe UI" w:cs="Segoe UI"/>
                <w:b/>
                <w:bCs/>
                <w:color w:val="666666"/>
                <w:sz w:val="16"/>
                <w:szCs w:val="16"/>
              </w:rPr>
              <w:t>07</w:t>
            </w:r>
            <w:r w:rsidR="009D1E5F">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0A73FDC0" w14:textId="71E3FC4F" w:rsidR="0012364D" w:rsidRPr="00F427E6" w:rsidRDefault="0012364D" w:rsidP="0012364D">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$11,</w:t>
            </w:r>
            <w:r w:rsidR="00462A79" w:rsidRPr="00F427E6">
              <w:rPr>
                <w:rFonts w:ascii="Segoe UI" w:eastAsia="Times New Roman" w:hAnsi="Segoe UI" w:cs="Segoe UI"/>
                <w:b/>
                <w:bCs/>
                <w:color w:val="666666"/>
                <w:sz w:val="16"/>
                <w:szCs w:val="16"/>
              </w:rPr>
              <w:t>202</w:t>
            </w:r>
            <w:r>
              <w:rPr>
                <w:rFonts w:ascii="Segoe UI" w:eastAsia="Times New Roman" w:hAnsi="Segoe UI" w:cs="Segoe UI"/>
                <w:b/>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EDA6932" w14:textId="6439C756" w:rsidR="0012364D" w:rsidRPr="00F427E6" w:rsidRDefault="0012364D" w:rsidP="0012364D">
            <w:pPr>
              <w:spacing w:after="40"/>
              <w:ind w:firstLine="82"/>
              <w:jc w:val="right"/>
              <w:rPr>
                <w:rFonts w:ascii="Segoe UI" w:eastAsia="Times New Roman" w:hAnsi="Segoe UI" w:cs="Segoe UI"/>
                <w:b/>
                <w:color w:val="666666"/>
                <w:sz w:val="16"/>
                <w:szCs w:val="16"/>
              </w:rPr>
            </w:pPr>
            <w:r w:rsidRPr="00BD75D0">
              <w:rPr>
                <w:rFonts w:ascii="Segoe UI" w:eastAsia="Times New Roman" w:hAnsi="Segoe UI" w:cs="Segoe UI"/>
                <w:b/>
                <w:bCs/>
                <w:color w:val="666666"/>
                <w:sz w:val="16"/>
                <w:szCs w:val="16"/>
              </w:rPr>
              <w:t>$1.46</w:t>
            </w:r>
            <w:r>
              <w:rPr>
                <w:rFonts w:ascii="Segoe UI" w:eastAsia="Times New Roman" w:hAnsi="Segoe UI" w:cs="Segoe UI"/>
                <w:b/>
                <w:color w:val="FFFFFF" w:themeColor="background1"/>
                <w:sz w:val="16"/>
                <w:szCs w:val="16"/>
              </w:rPr>
              <w:t>_</w:t>
            </w:r>
            <w:r w:rsidRPr="00BD75D0">
              <w:rPr>
                <w:rFonts w:ascii="Segoe UI" w:eastAsia="Times New Roman" w:hAnsi="Segoe UI" w:cs="Segoe UI"/>
                <w:b/>
                <w:bCs/>
                <w:color w:val="666666"/>
                <w:sz w:val="16"/>
                <w:szCs w:val="16"/>
              </w:rPr>
              <w:t xml:space="preserve"> </w:t>
            </w:r>
          </w:p>
        </w:tc>
      </w:tr>
      <w:tr w:rsidR="0012364D" w:rsidRPr="00243400" w14:paraId="52EA562D" w14:textId="77777777" w:rsidTr="008D14D0">
        <w:trPr>
          <w:trHeight w:val="288"/>
        </w:trPr>
        <w:tc>
          <w:tcPr>
            <w:tcW w:w="5310" w:type="dxa"/>
            <w:tcBorders>
              <w:top w:val="single" w:sz="4" w:space="0" w:color="666666"/>
              <w:left w:val="nil"/>
              <w:right w:val="nil"/>
            </w:tcBorders>
            <w:noWrap/>
            <w:vAlign w:val="center"/>
          </w:tcPr>
          <w:p w14:paraId="0C735FFE" w14:textId="77777777" w:rsidR="0012364D" w:rsidRPr="00243400" w:rsidRDefault="0012364D" w:rsidP="0012364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72" w:type="dxa"/>
            <w:tcBorders>
              <w:top w:val="single" w:sz="4" w:space="0" w:color="666666"/>
              <w:left w:val="nil"/>
              <w:right w:val="nil"/>
            </w:tcBorders>
            <w:shd w:val="clear" w:color="auto" w:fill="auto"/>
            <w:vAlign w:val="center"/>
          </w:tcPr>
          <w:p w14:paraId="4136537D" w14:textId="7891A5A7" w:rsidR="0012364D" w:rsidRPr="00D65DCB"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r w:rsidRPr="00E239B7">
              <w:rPr>
                <w:rFonts w:ascii="Segoe UI" w:eastAsia="Times New Roman" w:hAnsi="Segoe UI" w:cs="Segoe UI"/>
                <w:color w:val="666666"/>
                <w:sz w:val="16"/>
                <w:szCs w:val="16"/>
              </w:rPr>
              <w:t>%</w:t>
            </w:r>
          </w:p>
        </w:tc>
        <w:tc>
          <w:tcPr>
            <w:tcW w:w="1008" w:type="dxa"/>
            <w:tcBorders>
              <w:top w:val="single" w:sz="4" w:space="0" w:color="666666"/>
              <w:left w:val="nil"/>
              <w:right w:val="nil"/>
            </w:tcBorders>
            <w:shd w:val="clear" w:color="auto" w:fill="auto"/>
            <w:vAlign w:val="center"/>
          </w:tcPr>
          <w:p w14:paraId="5C2DAF6F" w14:textId="191BAFA8" w:rsidR="0012364D" w:rsidRPr="00F427E6" w:rsidRDefault="000D1D83" w:rsidP="00F427E6">
            <w:pPr>
              <w:spacing w:after="40"/>
              <w:ind w:firstLine="82"/>
              <w:jc w:val="right"/>
              <w:rPr>
                <w:rFonts w:ascii="Segoe UI" w:eastAsia="Times New Roman" w:hAnsi="Segoe UI" w:cs="Segoe UI"/>
                <w:color w:val="666666"/>
                <w:sz w:val="16"/>
                <w:szCs w:val="16"/>
              </w:rPr>
            </w:pPr>
            <w:r w:rsidRPr="00F427E6">
              <w:rPr>
                <w:rFonts w:ascii="Segoe UI" w:eastAsia="Times New Roman" w:hAnsi="Segoe UI" w:cs="Segoe UI"/>
                <w:color w:val="666666"/>
                <w:sz w:val="16"/>
                <w:szCs w:val="16"/>
              </w:rPr>
              <w:t>8</w:t>
            </w:r>
            <w:r w:rsidR="0012364D" w:rsidRPr="00F427E6">
              <w:rPr>
                <w:rFonts w:ascii="Segoe UI" w:eastAsia="Times New Roman" w:hAnsi="Segoe UI" w:cs="Segoe UI"/>
                <w:color w:val="666666"/>
                <w:sz w:val="16"/>
                <w:szCs w:val="16"/>
              </w:rPr>
              <w:t>%</w:t>
            </w:r>
            <w:r w:rsidR="002F02D9">
              <w:rPr>
                <w:rFonts w:ascii="Segoe UI" w:eastAsia="Times New Roman" w:hAnsi="Segoe UI" w:cs="Segoe UI"/>
                <w:b/>
                <w:bCs/>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5FB02B09" w14:textId="7A9079A1" w:rsidR="0012364D" w:rsidRPr="00F427E6"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Pr="00A66CA6">
              <w:rPr>
                <w:rFonts w:ascii="Segoe UI" w:eastAsia="Times New Roman" w:hAnsi="Segoe UI" w:cs="Segoe UI"/>
                <w:color w:val="666666"/>
                <w:sz w:val="16"/>
                <w:szCs w:val="16"/>
              </w:rPr>
              <w:t>%</w:t>
            </w:r>
            <w:r>
              <w:rPr>
                <w:rFonts w:ascii="Segoe UI" w:eastAsia="Times New Roman" w:hAnsi="Segoe UI" w:cs="Segoe UI"/>
                <w:color w:val="666666"/>
                <w:sz w:val="16"/>
                <w:szCs w:val="16"/>
              </w:rPr>
              <w:t>)</w:t>
            </w:r>
          </w:p>
        </w:tc>
        <w:tc>
          <w:tcPr>
            <w:tcW w:w="1046" w:type="dxa"/>
            <w:tcBorders>
              <w:top w:val="single" w:sz="4" w:space="0" w:color="666666"/>
              <w:left w:val="nil"/>
              <w:right w:val="nil"/>
            </w:tcBorders>
            <w:shd w:val="clear" w:color="auto" w:fill="auto"/>
            <w:vAlign w:val="center"/>
          </w:tcPr>
          <w:p w14:paraId="046FDFD3" w14:textId="0A6BCF27" w:rsidR="0012364D" w:rsidRPr="00F427E6"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Pr="00A66CA6">
              <w:rPr>
                <w:rFonts w:ascii="Segoe UI" w:eastAsia="Times New Roman" w:hAnsi="Segoe UI" w:cs="Segoe UI"/>
                <w:color w:val="666666"/>
                <w:sz w:val="16"/>
                <w:szCs w:val="16"/>
              </w:rPr>
              <w:t>%</w:t>
            </w:r>
            <w:r>
              <w:rPr>
                <w:rFonts w:ascii="Segoe UI" w:eastAsia="Times New Roman" w:hAnsi="Segoe UI" w:cs="Segoe UI"/>
                <w:color w:val="666666"/>
                <w:sz w:val="16"/>
                <w:szCs w:val="16"/>
              </w:rPr>
              <w:t>)</w:t>
            </w:r>
          </w:p>
        </w:tc>
      </w:tr>
      <w:tr w:rsidR="0012364D" w:rsidRPr="00243400" w14:paraId="2998A711" w14:textId="77777777" w:rsidTr="008D14D0">
        <w:trPr>
          <w:trHeight w:val="288"/>
        </w:trPr>
        <w:tc>
          <w:tcPr>
            <w:tcW w:w="5310" w:type="dxa"/>
            <w:tcBorders>
              <w:top w:val="single" w:sz="4" w:space="0" w:color="666666"/>
              <w:left w:val="nil"/>
              <w:right w:val="nil"/>
            </w:tcBorders>
            <w:noWrap/>
            <w:vAlign w:val="center"/>
          </w:tcPr>
          <w:p w14:paraId="02F8E2DB" w14:textId="77777777" w:rsidR="0012364D" w:rsidRPr="3A42354A" w:rsidRDefault="0012364D" w:rsidP="0012364D">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w:t>
            </w:r>
          </w:p>
        </w:tc>
        <w:tc>
          <w:tcPr>
            <w:tcW w:w="1172" w:type="dxa"/>
            <w:tcBorders>
              <w:top w:val="single" w:sz="4" w:space="0" w:color="666666"/>
              <w:left w:val="nil"/>
              <w:right w:val="nil"/>
            </w:tcBorders>
            <w:shd w:val="clear" w:color="auto" w:fill="auto"/>
            <w:vAlign w:val="center"/>
          </w:tcPr>
          <w:p w14:paraId="21238B41" w14:textId="74A834D6" w:rsidR="0012364D" w:rsidRPr="00F427E6"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13</w:t>
            </w:r>
            <w:r w:rsidRPr="00E239B7">
              <w:rPr>
                <w:rFonts w:ascii="Segoe UI" w:eastAsia="Times New Roman" w:hAnsi="Segoe UI" w:cs="Segoe UI"/>
                <w:color w:val="666666"/>
                <w:sz w:val="16"/>
                <w:szCs w:val="16"/>
              </w:rPr>
              <w:t>%</w:t>
            </w:r>
          </w:p>
        </w:tc>
        <w:tc>
          <w:tcPr>
            <w:tcW w:w="1008" w:type="dxa"/>
            <w:tcBorders>
              <w:top w:val="single" w:sz="4" w:space="0" w:color="666666"/>
              <w:left w:val="nil"/>
              <w:right w:val="nil"/>
            </w:tcBorders>
            <w:shd w:val="clear" w:color="auto" w:fill="auto"/>
            <w:vAlign w:val="center"/>
          </w:tcPr>
          <w:p w14:paraId="6BA21015" w14:textId="4F03B48B" w:rsidR="0012364D" w:rsidRPr="00F427E6" w:rsidRDefault="000D1D83" w:rsidP="00F427E6">
            <w:pPr>
              <w:spacing w:after="40"/>
              <w:ind w:firstLine="82"/>
              <w:jc w:val="right"/>
              <w:rPr>
                <w:rFonts w:ascii="Segoe UI" w:eastAsia="Times New Roman" w:hAnsi="Segoe UI" w:cs="Segoe UI"/>
                <w:color w:val="666666"/>
                <w:sz w:val="16"/>
                <w:szCs w:val="16"/>
              </w:rPr>
            </w:pPr>
            <w:r w:rsidRPr="00F427E6">
              <w:rPr>
                <w:rFonts w:ascii="Segoe UI" w:eastAsia="Times New Roman" w:hAnsi="Segoe UI" w:cs="Segoe UI"/>
                <w:color w:val="666666"/>
                <w:sz w:val="16"/>
                <w:szCs w:val="16"/>
              </w:rPr>
              <w:t>8</w:t>
            </w:r>
            <w:r w:rsidR="0012364D" w:rsidRPr="00F427E6">
              <w:rPr>
                <w:rFonts w:ascii="Segoe UI" w:eastAsia="Times New Roman" w:hAnsi="Segoe UI" w:cs="Segoe UI"/>
                <w:color w:val="666666"/>
                <w:sz w:val="16"/>
                <w:szCs w:val="16"/>
              </w:rPr>
              <w:t>%</w:t>
            </w:r>
            <w:r w:rsidR="002F02D9">
              <w:rPr>
                <w:rFonts w:ascii="Segoe UI" w:eastAsia="Times New Roman" w:hAnsi="Segoe UI" w:cs="Segoe UI"/>
                <w:b/>
                <w:bCs/>
                <w:color w:val="FFFFFF" w:themeColor="background1"/>
                <w:sz w:val="16"/>
                <w:szCs w:val="16"/>
              </w:rPr>
              <w:t>_</w:t>
            </w:r>
          </w:p>
        </w:tc>
        <w:tc>
          <w:tcPr>
            <w:tcW w:w="970" w:type="dxa"/>
            <w:tcBorders>
              <w:top w:val="single" w:sz="4" w:space="0" w:color="666666"/>
              <w:left w:val="nil"/>
              <w:right w:val="nil"/>
            </w:tcBorders>
            <w:shd w:val="clear" w:color="auto" w:fill="auto"/>
            <w:vAlign w:val="center"/>
          </w:tcPr>
          <w:p w14:paraId="434FF3CF" w14:textId="0AFB7C21" w:rsidR="0012364D" w:rsidRPr="00F427E6"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5</w:t>
            </w:r>
            <w:r w:rsidRPr="00A66CA6">
              <w:rPr>
                <w:rFonts w:ascii="Segoe UI" w:eastAsia="Times New Roman" w:hAnsi="Segoe UI" w:cs="Segoe UI"/>
                <w:color w:val="666666"/>
                <w:sz w:val="16"/>
                <w:szCs w:val="16"/>
              </w:rPr>
              <w:t>%</w:t>
            </w:r>
            <w:r>
              <w:rPr>
                <w:rFonts w:ascii="Segoe UI" w:eastAsia="Times New Roman" w:hAnsi="Segoe UI" w:cs="Segoe UI"/>
                <w:b/>
                <w:color w:val="FFFFFF" w:themeColor="background1"/>
                <w:sz w:val="16"/>
                <w:szCs w:val="16"/>
              </w:rPr>
              <w:t>_</w:t>
            </w:r>
          </w:p>
        </w:tc>
        <w:tc>
          <w:tcPr>
            <w:tcW w:w="1046" w:type="dxa"/>
            <w:tcBorders>
              <w:top w:val="single" w:sz="4" w:space="0" w:color="666666"/>
              <w:left w:val="nil"/>
              <w:right w:val="nil"/>
            </w:tcBorders>
            <w:shd w:val="clear" w:color="auto" w:fill="auto"/>
            <w:vAlign w:val="center"/>
          </w:tcPr>
          <w:p w14:paraId="6D49218A" w14:textId="5D8AA2C8" w:rsidR="0012364D" w:rsidRPr="00F427E6" w:rsidRDefault="0012364D"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7</w:t>
            </w:r>
            <w:r w:rsidRPr="00A66CA6">
              <w:rPr>
                <w:rFonts w:ascii="Segoe UI" w:eastAsia="Times New Roman" w:hAnsi="Segoe UI" w:cs="Segoe UI"/>
                <w:color w:val="666666"/>
                <w:sz w:val="16"/>
                <w:szCs w:val="16"/>
              </w:rPr>
              <w:t>%</w:t>
            </w:r>
            <w:r>
              <w:rPr>
                <w:rFonts w:ascii="Segoe UI" w:eastAsia="Times New Roman" w:hAnsi="Segoe UI" w:cs="Segoe UI"/>
                <w:b/>
                <w:color w:val="FFFFFF" w:themeColor="background1"/>
                <w:sz w:val="16"/>
                <w:szCs w:val="16"/>
              </w:rPr>
              <w:t>_</w:t>
            </w:r>
          </w:p>
        </w:tc>
      </w:tr>
      <w:tr w:rsidR="00C7044F" w:rsidRPr="00243400" w14:paraId="7BCD60A6" w14:textId="77777777" w:rsidTr="008D14D0">
        <w:trPr>
          <w:trHeight w:val="288"/>
        </w:trPr>
        <w:tc>
          <w:tcPr>
            <w:tcW w:w="5310" w:type="dxa"/>
            <w:tcBorders>
              <w:top w:val="single" w:sz="4" w:space="0" w:color="auto"/>
              <w:left w:val="nil"/>
              <w:bottom w:val="single" w:sz="4" w:space="0" w:color="auto"/>
              <w:right w:val="nil"/>
            </w:tcBorders>
            <w:noWrap/>
            <w:vAlign w:val="center"/>
          </w:tcPr>
          <w:p w14:paraId="604DFB6F"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72" w:type="dxa"/>
            <w:tcBorders>
              <w:top w:val="single" w:sz="4" w:space="0" w:color="auto"/>
              <w:left w:val="nil"/>
              <w:bottom w:val="single" w:sz="4" w:space="0" w:color="auto"/>
              <w:right w:val="nil"/>
            </w:tcBorders>
            <w:shd w:val="clear" w:color="auto" w:fill="auto"/>
            <w:vAlign w:val="center"/>
          </w:tcPr>
          <w:p w14:paraId="2AB3BD5F" w14:textId="5C02D2D3" w:rsidR="00C7044F" w:rsidRPr="005D0C6C" w:rsidRDefault="00C7044F" w:rsidP="008D14D0">
            <w:pPr>
              <w:spacing w:after="40"/>
              <w:ind w:firstLine="82"/>
              <w:jc w:val="right"/>
              <w:rPr>
                <w:rFonts w:ascii="Segoe UI" w:eastAsia="Times New Roman" w:hAnsi="Segoe UI" w:cs="Segoe UI"/>
                <w:b/>
                <w:color w:val="666666"/>
                <w:sz w:val="16"/>
                <w:szCs w:val="16"/>
              </w:rPr>
            </w:pPr>
            <w:r w:rsidRPr="005D0C6C">
              <w:rPr>
                <w:rFonts w:ascii="Segoe UI" w:eastAsia="Times New Roman" w:hAnsi="Segoe UI" w:cs="Segoe UI"/>
                <w:b/>
                <w:color w:val="666666"/>
                <w:sz w:val="16"/>
                <w:szCs w:val="16"/>
              </w:rPr>
              <w:t>$(</w:t>
            </w:r>
            <w:r w:rsidR="00DB5988" w:rsidRPr="005D0C6C">
              <w:rPr>
                <w:rFonts w:ascii="Segoe UI" w:eastAsia="Times New Roman" w:hAnsi="Segoe UI" w:cs="Segoe UI"/>
                <w:b/>
                <w:bCs/>
                <w:color w:val="666666"/>
                <w:sz w:val="16"/>
                <w:szCs w:val="16"/>
              </w:rPr>
              <w:t>598</w:t>
            </w:r>
            <w:r w:rsidRPr="005D0C6C">
              <w:rPr>
                <w:rFonts w:ascii="Segoe UI" w:eastAsia="Times New Roman" w:hAnsi="Segoe UI" w:cs="Segoe UI"/>
                <w:b/>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4C74BC81" w14:textId="357BFE14" w:rsidR="00C7044F" w:rsidRPr="005D0C6C" w:rsidRDefault="00C7044F" w:rsidP="008D14D0">
            <w:pPr>
              <w:spacing w:after="40"/>
              <w:ind w:firstLine="82"/>
              <w:jc w:val="right"/>
              <w:rPr>
                <w:rFonts w:ascii="Segoe UI" w:eastAsia="Times New Roman" w:hAnsi="Segoe UI" w:cs="Segoe UI"/>
                <w:b/>
                <w:color w:val="666666"/>
                <w:sz w:val="16"/>
                <w:szCs w:val="16"/>
              </w:rPr>
            </w:pPr>
            <w:r w:rsidRPr="005D0C6C">
              <w:rPr>
                <w:rFonts w:ascii="Segoe UI" w:eastAsia="Times New Roman" w:hAnsi="Segoe UI" w:cs="Segoe UI"/>
                <w:b/>
                <w:color w:val="666666"/>
                <w:sz w:val="16"/>
                <w:szCs w:val="16"/>
              </w:rPr>
              <w:t>$(</w:t>
            </w:r>
            <w:r w:rsidRPr="00F43528">
              <w:rPr>
                <w:rFonts w:ascii="Segoe UI" w:eastAsia="Times New Roman" w:hAnsi="Segoe UI" w:cs="Segoe UI"/>
                <w:b/>
                <w:bCs/>
                <w:color w:val="666666"/>
                <w:sz w:val="16"/>
                <w:szCs w:val="16"/>
              </w:rPr>
              <w:t>4</w:t>
            </w:r>
            <w:r w:rsidR="001E1DAE" w:rsidRPr="00F43528">
              <w:rPr>
                <w:rFonts w:ascii="Segoe UI" w:eastAsia="Times New Roman" w:hAnsi="Segoe UI" w:cs="Segoe UI"/>
                <w:b/>
                <w:bCs/>
                <w:color w:val="666666"/>
                <w:sz w:val="16"/>
                <w:szCs w:val="16"/>
              </w:rPr>
              <w:t>5</w:t>
            </w:r>
            <w:r w:rsidR="00F43528" w:rsidRPr="00F43528">
              <w:rPr>
                <w:rFonts w:ascii="Segoe UI" w:eastAsia="Times New Roman" w:hAnsi="Segoe UI" w:cs="Segoe UI"/>
                <w:b/>
                <w:bCs/>
                <w:color w:val="666666"/>
                <w:sz w:val="16"/>
                <w:szCs w:val="16"/>
              </w:rPr>
              <w:t>4</w:t>
            </w:r>
            <w:r w:rsidRPr="005D0C6C">
              <w:rPr>
                <w:rFonts w:ascii="Segoe UI" w:eastAsia="Times New Roman" w:hAnsi="Segoe UI" w:cs="Segoe UI"/>
                <w:b/>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35707648" w14:textId="38777C9E" w:rsidR="00C7044F" w:rsidRPr="00F427E6" w:rsidRDefault="00C7044F" w:rsidP="008D14D0">
            <w:pPr>
              <w:spacing w:after="40"/>
              <w:ind w:firstLine="82"/>
              <w:jc w:val="right"/>
              <w:rPr>
                <w:rFonts w:ascii="Segoe UI" w:eastAsia="Times New Roman" w:hAnsi="Segoe UI" w:cs="Segoe UI"/>
                <w:b/>
                <w:color w:val="666666"/>
                <w:sz w:val="16"/>
                <w:szCs w:val="16"/>
              </w:rPr>
            </w:pPr>
            <w:r w:rsidRPr="00F427E6">
              <w:rPr>
                <w:rFonts w:ascii="Segoe UI" w:eastAsia="Times New Roman" w:hAnsi="Segoe UI" w:cs="Segoe UI"/>
                <w:b/>
                <w:color w:val="666666"/>
                <w:sz w:val="16"/>
                <w:szCs w:val="16"/>
              </w:rPr>
              <w:t>$(</w:t>
            </w:r>
            <w:r w:rsidR="00E94E16" w:rsidRPr="00F427E6">
              <w:rPr>
                <w:rFonts w:ascii="Segoe UI" w:eastAsia="Times New Roman" w:hAnsi="Segoe UI" w:cs="Segoe UI"/>
                <w:b/>
                <w:bCs/>
                <w:color w:val="666666"/>
                <w:sz w:val="16"/>
                <w:szCs w:val="16"/>
              </w:rPr>
              <w:t>314</w:t>
            </w:r>
            <w:r w:rsidRPr="00F427E6">
              <w:rPr>
                <w:rFonts w:ascii="Segoe UI" w:eastAsia="Times New Roman" w:hAnsi="Segoe UI" w:cs="Segoe UI"/>
                <w:b/>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367684B2" w14:textId="019ECDF0" w:rsidR="00C7044F" w:rsidRPr="00F427E6" w:rsidRDefault="00C7044F" w:rsidP="008D14D0">
            <w:pPr>
              <w:spacing w:after="40"/>
              <w:ind w:firstLine="82"/>
              <w:jc w:val="right"/>
              <w:rPr>
                <w:rFonts w:ascii="Segoe UI" w:eastAsia="Times New Roman" w:hAnsi="Segoe UI" w:cs="Segoe UI"/>
                <w:b/>
                <w:color w:val="666666"/>
                <w:sz w:val="16"/>
                <w:szCs w:val="16"/>
              </w:rPr>
            </w:pPr>
            <w:r w:rsidRPr="00F427E6">
              <w:rPr>
                <w:rFonts w:ascii="Segoe UI" w:eastAsia="Times New Roman" w:hAnsi="Segoe UI" w:cs="Segoe UI"/>
                <w:b/>
                <w:color w:val="666666"/>
                <w:sz w:val="16"/>
                <w:szCs w:val="16"/>
              </w:rPr>
              <w:t>$(0.</w:t>
            </w:r>
            <w:r w:rsidR="00E94E16" w:rsidRPr="00F427E6">
              <w:rPr>
                <w:rFonts w:ascii="Segoe UI" w:eastAsia="Times New Roman" w:hAnsi="Segoe UI" w:cs="Segoe UI"/>
                <w:b/>
                <w:bCs/>
                <w:color w:val="666666"/>
                <w:sz w:val="16"/>
                <w:szCs w:val="16"/>
              </w:rPr>
              <w:t>04</w:t>
            </w:r>
            <w:r w:rsidRPr="00F427E6">
              <w:rPr>
                <w:rFonts w:ascii="Segoe UI" w:eastAsia="Times New Roman" w:hAnsi="Segoe UI" w:cs="Segoe UI"/>
                <w:b/>
                <w:color w:val="666666"/>
                <w:sz w:val="16"/>
                <w:szCs w:val="16"/>
              </w:rPr>
              <w:t xml:space="preserve">) </w:t>
            </w:r>
          </w:p>
        </w:tc>
      </w:tr>
      <w:tr w:rsidR="00CA687B" w:rsidRPr="00E9670A" w14:paraId="4F1BB0ED" w14:textId="77777777" w:rsidTr="008D14D0">
        <w:trPr>
          <w:trHeight w:val="288"/>
        </w:trPr>
        <w:tc>
          <w:tcPr>
            <w:tcW w:w="5310" w:type="dxa"/>
            <w:tcBorders>
              <w:top w:val="single" w:sz="4" w:space="0" w:color="auto"/>
              <w:left w:val="nil"/>
              <w:bottom w:val="single" w:sz="4" w:space="0" w:color="auto"/>
              <w:right w:val="nil"/>
            </w:tcBorders>
            <w:shd w:val="clear" w:color="auto" w:fill="auto"/>
            <w:noWrap/>
            <w:vAlign w:val="center"/>
          </w:tcPr>
          <w:p w14:paraId="1101C528" w14:textId="77777777" w:rsidR="00CA687B" w:rsidRPr="00243400" w:rsidRDefault="00CA687B" w:rsidP="00CA687B">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172" w:type="dxa"/>
            <w:tcBorders>
              <w:top w:val="single" w:sz="4" w:space="0" w:color="auto"/>
              <w:left w:val="nil"/>
              <w:bottom w:val="single" w:sz="4" w:space="0" w:color="auto"/>
              <w:right w:val="nil"/>
            </w:tcBorders>
            <w:shd w:val="clear" w:color="auto" w:fill="auto"/>
            <w:vAlign w:val="center"/>
          </w:tcPr>
          <w:p w14:paraId="0BF544F5" w14:textId="7B6E57FB" w:rsidR="00CA687B" w:rsidRPr="00F427E6" w:rsidRDefault="00CA687B" w:rsidP="00F427E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15</w:t>
            </w:r>
            <w:r w:rsidRPr="00E9670A">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5B633209" w14:textId="12F12952" w:rsidR="00CA687B" w:rsidRPr="00F427E6" w:rsidRDefault="00EF1573" w:rsidP="00F427E6">
            <w:pPr>
              <w:spacing w:after="40"/>
              <w:ind w:firstLine="82"/>
              <w:jc w:val="right"/>
              <w:rPr>
                <w:rFonts w:ascii="Segoe UI" w:eastAsia="Times New Roman" w:hAnsi="Segoe UI" w:cs="Segoe UI"/>
                <w:color w:val="666666"/>
                <w:sz w:val="16"/>
                <w:szCs w:val="16"/>
              </w:rPr>
            </w:pPr>
            <w:r w:rsidRPr="00F427E6">
              <w:rPr>
                <w:rFonts w:ascii="Segoe UI" w:eastAsia="Times New Roman" w:hAnsi="Segoe UI" w:cs="Segoe UI"/>
                <w:color w:val="666666"/>
                <w:sz w:val="16"/>
                <w:szCs w:val="16"/>
              </w:rPr>
              <w:t>12</w:t>
            </w:r>
            <w:r w:rsidR="00CA687B" w:rsidRPr="00E9670A">
              <w:rPr>
                <w:rFonts w:ascii="Segoe UI" w:eastAsia="Times New Roman"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0783649B" w14:textId="227B8946" w:rsidR="00CA687B" w:rsidRPr="00F427E6" w:rsidRDefault="00C53245" w:rsidP="00F427E6">
            <w:pPr>
              <w:spacing w:after="40"/>
              <w:ind w:firstLine="82"/>
              <w:jc w:val="right"/>
              <w:rPr>
                <w:rFonts w:ascii="Segoe UI" w:eastAsia="Times New Roman" w:hAnsi="Segoe UI" w:cs="Segoe UI"/>
                <w:color w:val="666666"/>
                <w:sz w:val="16"/>
                <w:szCs w:val="16"/>
              </w:rPr>
            </w:pPr>
            <w:r w:rsidRPr="00F427E6">
              <w:rPr>
                <w:rFonts w:ascii="Segoe UI" w:eastAsia="Times New Roman" w:hAnsi="Segoe UI" w:cs="Segoe UI"/>
                <w:color w:val="666666"/>
                <w:sz w:val="16"/>
                <w:szCs w:val="16"/>
              </w:rPr>
              <w:t>8</w:t>
            </w:r>
            <w:r w:rsidR="00CA687B" w:rsidRPr="00A66CA6">
              <w:rPr>
                <w:rFonts w:ascii="Segoe UI" w:eastAsia="Times New Roman" w:hAnsi="Segoe UI" w:cs="Segoe UI"/>
                <w:color w:val="666666"/>
                <w:sz w:val="16"/>
                <w:szCs w:val="16"/>
              </w:rPr>
              <w:t>%</w:t>
            </w:r>
            <w:r w:rsidR="00CA687B">
              <w:rPr>
                <w:rFonts w:ascii="Segoe UI" w:eastAsia="Times New Roman" w:hAnsi="Segoe UI" w:cs="Segoe UI"/>
                <w:b/>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56B73FE9" w14:textId="7F950710" w:rsidR="00CA687B" w:rsidRPr="00F427E6" w:rsidRDefault="00C53245" w:rsidP="00F427E6">
            <w:pPr>
              <w:spacing w:after="40"/>
              <w:ind w:firstLine="82"/>
              <w:jc w:val="right"/>
              <w:rPr>
                <w:rFonts w:ascii="Segoe UI" w:eastAsia="Times New Roman" w:hAnsi="Segoe UI" w:cs="Segoe UI"/>
                <w:color w:val="666666"/>
                <w:sz w:val="16"/>
                <w:szCs w:val="16"/>
              </w:rPr>
            </w:pPr>
            <w:r w:rsidRPr="00F427E6">
              <w:rPr>
                <w:rFonts w:ascii="Segoe UI" w:eastAsia="Times New Roman" w:hAnsi="Segoe UI" w:cs="Segoe UI"/>
                <w:color w:val="666666"/>
                <w:sz w:val="16"/>
                <w:szCs w:val="16"/>
              </w:rPr>
              <w:t>9</w:t>
            </w:r>
            <w:r w:rsidR="00CA687B" w:rsidRPr="00A66CA6">
              <w:rPr>
                <w:rFonts w:ascii="Segoe UI" w:eastAsia="Times New Roman" w:hAnsi="Segoe UI" w:cs="Segoe UI"/>
                <w:color w:val="666666"/>
                <w:sz w:val="16"/>
                <w:szCs w:val="16"/>
              </w:rPr>
              <w:t>%</w:t>
            </w:r>
            <w:r w:rsidR="00CA687B">
              <w:rPr>
                <w:rFonts w:ascii="Segoe UI" w:eastAsia="Times New Roman" w:hAnsi="Segoe UI" w:cs="Segoe UI"/>
                <w:b/>
                <w:color w:val="FFFFFF" w:themeColor="background1"/>
                <w:sz w:val="16"/>
                <w:szCs w:val="16"/>
              </w:rPr>
              <w:t>_</w:t>
            </w:r>
          </w:p>
        </w:tc>
      </w:tr>
      <w:tr w:rsidR="00C7044F" w:rsidRPr="00243400" w14:paraId="53E9CF04" w14:textId="77777777" w:rsidTr="008D14D0">
        <w:trPr>
          <w:trHeight w:val="340"/>
        </w:trPr>
        <w:tc>
          <w:tcPr>
            <w:tcW w:w="5310" w:type="dxa"/>
            <w:tcBorders>
              <w:top w:val="nil"/>
              <w:left w:val="nil"/>
              <w:bottom w:val="single" w:sz="8" w:space="0" w:color="auto"/>
              <w:right w:val="nil"/>
            </w:tcBorders>
          </w:tcPr>
          <w:p w14:paraId="4D8512DD" w14:textId="77777777" w:rsidR="00C7044F" w:rsidRDefault="00C7044F" w:rsidP="008D14D0">
            <w:pPr>
              <w:spacing w:after="40"/>
              <w:rPr>
                <w:rFonts w:ascii="Segoe UI" w:eastAsia="Times New Roman" w:hAnsi="Segoe UI" w:cs="Segoe UI"/>
                <w:color w:val="666666"/>
                <w:sz w:val="16"/>
                <w:szCs w:val="16"/>
              </w:rPr>
            </w:pPr>
          </w:p>
          <w:p w14:paraId="4EC8F60A" w14:textId="37763968" w:rsidR="003914D1" w:rsidRPr="00243400" w:rsidRDefault="003914D1" w:rsidP="008D14D0">
            <w:pPr>
              <w:spacing w:after="40"/>
              <w:rPr>
                <w:rFonts w:ascii="Segoe UI" w:eastAsia="Times New Roman" w:hAnsi="Segoe UI" w:cs="Segoe UI"/>
                <w:color w:val="666666"/>
                <w:sz w:val="16"/>
                <w:szCs w:val="16"/>
              </w:rPr>
            </w:pPr>
          </w:p>
        </w:tc>
        <w:tc>
          <w:tcPr>
            <w:tcW w:w="4196" w:type="dxa"/>
            <w:gridSpan w:val="4"/>
            <w:tcBorders>
              <w:top w:val="nil"/>
              <w:left w:val="nil"/>
              <w:bottom w:val="single" w:sz="8" w:space="0" w:color="auto"/>
            </w:tcBorders>
          </w:tcPr>
          <w:p w14:paraId="169AC278" w14:textId="77777777" w:rsidR="00CA79AD" w:rsidRDefault="00CA79AD" w:rsidP="008D14D0">
            <w:pPr>
              <w:spacing w:after="40"/>
              <w:rPr>
                <w:rFonts w:ascii="Segoe UI" w:eastAsia="Times New Roman" w:hAnsi="Segoe UI" w:cs="Segoe UI"/>
                <w:b/>
                <w:bCs/>
                <w:color w:val="666666"/>
                <w:sz w:val="16"/>
                <w:szCs w:val="16"/>
              </w:rPr>
            </w:pPr>
          </w:p>
          <w:p w14:paraId="33FFA6E9" w14:textId="77777777" w:rsidR="003914D1" w:rsidRDefault="003914D1" w:rsidP="008D14D0">
            <w:pPr>
              <w:spacing w:after="40"/>
              <w:rPr>
                <w:rFonts w:ascii="Segoe UI" w:eastAsia="Times New Roman" w:hAnsi="Segoe UI" w:cs="Segoe UI"/>
                <w:b/>
                <w:bCs/>
                <w:color w:val="666666"/>
                <w:sz w:val="16"/>
                <w:szCs w:val="16"/>
              </w:rPr>
            </w:pPr>
          </w:p>
          <w:p w14:paraId="0E93B740" w14:textId="24E9AF8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r w:rsidRPr="3A42354A">
              <w:rPr>
                <w:rFonts w:ascii="Segoe UI" w:eastAsia="Times New Roman" w:hAnsi="Segoe UI" w:cs="Segoe UI"/>
                <w:b/>
                <w:bCs/>
                <w:color w:val="666666"/>
                <w:sz w:val="16"/>
                <w:szCs w:val="16"/>
              </w:rPr>
              <w:t>,</w:t>
            </w:r>
          </w:p>
        </w:tc>
      </w:tr>
      <w:tr w:rsidR="00C7044F" w:rsidRPr="00243400" w14:paraId="5DFD8AB6" w14:textId="77777777" w:rsidTr="008D14D0">
        <w:trPr>
          <w:trHeight w:val="738"/>
        </w:trPr>
        <w:tc>
          <w:tcPr>
            <w:tcW w:w="5310" w:type="dxa"/>
            <w:tcBorders>
              <w:top w:val="single" w:sz="8" w:space="0" w:color="666666"/>
              <w:left w:val="nil"/>
              <w:bottom w:val="single" w:sz="8" w:space="0" w:color="666666"/>
              <w:right w:val="nil"/>
            </w:tcBorders>
            <w:vAlign w:val="bottom"/>
            <w:hideMark/>
          </w:tcPr>
          <w:p w14:paraId="4BB7B235"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72" w:type="dxa"/>
            <w:tcBorders>
              <w:top w:val="single" w:sz="8" w:space="0" w:color="666666"/>
              <w:left w:val="nil"/>
              <w:bottom w:val="single" w:sz="8" w:space="0" w:color="666666"/>
              <w:right w:val="nil"/>
            </w:tcBorders>
            <w:vAlign w:val="bottom"/>
          </w:tcPr>
          <w:p w14:paraId="613C685A"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657C4160"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6AE4E34D" w14:textId="6EA96063"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9F10299" w14:textId="77EA32BC"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163281" w:rsidRPr="00243400" w14:paraId="3DE57EF2" w14:textId="77777777" w:rsidTr="008D14D0">
        <w:trPr>
          <w:trHeight w:val="288"/>
        </w:trPr>
        <w:tc>
          <w:tcPr>
            <w:tcW w:w="5310" w:type="dxa"/>
            <w:tcBorders>
              <w:top w:val="single" w:sz="8" w:space="0" w:color="666666"/>
              <w:left w:val="nil"/>
              <w:bottom w:val="single" w:sz="4" w:space="0" w:color="auto"/>
              <w:right w:val="nil"/>
            </w:tcBorders>
            <w:noWrap/>
            <w:vAlign w:val="center"/>
          </w:tcPr>
          <w:p w14:paraId="62BF4DDE" w14:textId="5EE2AB1E" w:rsidR="00163281" w:rsidRPr="00243400" w:rsidRDefault="00163281" w:rsidP="00163281">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172" w:type="dxa"/>
            <w:tcBorders>
              <w:top w:val="single" w:sz="8" w:space="0" w:color="666666"/>
              <w:left w:val="nil"/>
              <w:bottom w:val="single" w:sz="4" w:space="0" w:color="auto"/>
              <w:right w:val="nil"/>
            </w:tcBorders>
            <w:shd w:val="clear" w:color="auto" w:fill="auto"/>
            <w:vAlign w:val="center"/>
          </w:tcPr>
          <w:p w14:paraId="601B311C" w14:textId="73807F84" w:rsidR="00163281" w:rsidRPr="00243400" w:rsidRDefault="00163281" w:rsidP="00163281">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$125,843</w:t>
            </w:r>
            <w:r w:rsidRPr="00E31AAC">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0E37FBDB" w14:textId="1FCE4C40" w:rsidR="00163281" w:rsidRPr="00243400" w:rsidRDefault="00163281" w:rsidP="00163281">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$42,959</w:t>
            </w:r>
            <w:r w:rsidRPr="00E31AAC">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14C5BDA1" w14:textId="3DA94FDA" w:rsidR="00163281" w:rsidRPr="00243400" w:rsidRDefault="00163281" w:rsidP="00163281">
            <w:pPr>
              <w:spacing w:after="40"/>
              <w:jc w:val="right"/>
              <w:rPr>
                <w:rFonts w:ascii="Segoe UI" w:eastAsia="Times New Roman" w:hAnsi="Segoe UI" w:cs="Segoe UI"/>
                <w:b/>
                <w:bCs/>
                <w:color w:val="666666"/>
                <w:sz w:val="16"/>
                <w:szCs w:val="16"/>
              </w:rPr>
            </w:pPr>
            <w:r w:rsidRPr="004012F4">
              <w:rPr>
                <w:rFonts w:ascii="Segoe UI" w:eastAsia="Times New Roman" w:hAnsi="Segoe UI" w:cs="Segoe UI"/>
                <w:b/>
                <w:color w:val="666666"/>
                <w:sz w:val="16"/>
                <w:szCs w:val="16"/>
              </w:rPr>
              <w:t>$39,240</w:t>
            </w:r>
            <w:r w:rsidRPr="00E31AAC">
              <w:rPr>
                <w:rFonts w:ascii="Segoe UI" w:eastAsia="Times New Roman" w:hAnsi="Segoe UI" w:cs="Segoe UI"/>
                <w:b/>
                <w:bCs/>
                <w:color w:val="FFFFFF" w:themeColor="background1"/>
                <w:sz w:val="16"/>
                <w:szCs w:val="16"/>
              </w:rPr>
              <w:t xml:space="preserve">_ </w:t>
            </w:r>
          </w:p>
        </w:tc>
        <w:tc>
          <w:tcPr>
            <w:tcW w:w="1046" w:type="dxa"/>
            <w:tcBorders>
              <w:top w:val="single" w:sz="8" w:space="0" w:color="666666"/>
              <w:left w:val="nil"/>
              <w:bottom w:val="single" w:sz="4" w:space="0" w:color="auto"/>
              <w:right w:val="nil"/>
            </w:tcBorders>
            <w:shd w:val="clear" w:color="auto" w:fill="auto"/>
            <w:vAlign w:val="center"/>
          </w:tcPr>
          <w:p w14:paraId="01087E64" w14:textId="17C5555D" w:rsidR="00163281" w:rsidRPr="00243400" w:rsidRDefault="00163281" w:rsidP="00163281">
            <w:pPr>
              <w:spacing w:after="40"/>
              <w:jc w:val="right"/>
              <w:rPr>
                <w:rFonts w:ascii="Segoe UI" w:eastAsia="Times New Roman" w:hAnsi="Segoe UI" w:cs="Segoe UI"/>
                <w:b/>
                <w:bCs/>
                <w:color w:val="666666"/>
                <w:sz w:val="16"/>
                <w:szCs w:val="16"/>
              </w:rPr>
            </w:pPr>
            <w:r w:rsidRPr="004012F4">
              <w:rPr>
                <w:rFonts w:ascii="Segoe UI" w:eastAsia="Times New Roman" w:hAnsi="Segoe UI" w:cs="Segoe UI"/>
                <w:b/>
                <w:color w:val="666666"/>
                <w:sz w:val="16"/>
                <w:szCs w:val="16"/>
              </w:rPr>
              <w:t>$5.06</w:t>
            </w:r>
            <w:r w:rsidRPr="00E31AAC">
              <w:rPr>
                <w:rFonts w:ascii="Segoe UI" w:eastAsia="Times New Roman" w:hAnsi="Segoe UI" w:cs="Segoe UI"/>
                <w:b/>
                <w:bCs/>
                <w:color w:val="FFFFFF" w:themeColor="background1"/>
                <w:sz w:val="16"/>
                <w:szCs w:val="16"/>
              </w:rPr>
              <w:t>_</w:t>
            </w:r>
          </w:p>
        </w:tc>
      </w:tr>
      <w:tr w:rsidR="00163281" w14:paraId="20FD33BD" w14:textId="77777777" w:rsidTr="008D14D0">
        <w:trPr>
          <w:trHeight w:val="288"/>
        </w:trPr>
        <w:tc>
          <w:tcPr>
            <w:tcW w:w="5310" w:type="dxa"/>
            <w:tcBorders>
              <w:top w:val="single" w:sz="8" w:space="0" w:color="666666"/>
              <w:left w:val="nil"/>
              <w:bottom w:val="single" w:sz="4" w:space="0" w:color="auto"/>
              <w:right w:val="nil"/>
            </w:tcBorders>
            <w:noWrap/>
            <w:vAlign w:val="center"/>
          </w:tcPr>
          <w:p w14:paraId="2843E1BC" w14:textId="30BA4111" w:rsidR="00163281" w:rsidRPr="3A42354A" w:rsidRDefault="00163281" w:rsidP="00163281">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(non-GAAP)</w:t>
            </w:r>
          </w:p>
        </w:tc>
        <w:tc>
          <w:tcPr>
            <w:tcW w:w="1172" w:type="dxa"/>
            <w:tcBorders>
              <w:top w:val="single" w:sz="8" w:space="0" w:color="666666"/>
              <w:left w:val="nil"/>
              <w:bottom w:val="single" w:sz="4" w:space="0" w:color="auto"/>
              <w:right w:val="nil"/>
            </w:tcBorders>
            <w:shd w:val="clear" w:color="auto" w:fill="auto"/>
            <w:vAlign w:val="center"/>
          </w:tcPr>
          <w:p w14:paraId="4F37A3BE" w14:textId="7BFAE282" w:rsidR="00163281" w:rsidRDefault="00163281" w:rsidP="00163281">
            <w:pPr>
              <w:spacing w:after="40"/>
              <w:ind w:firstLine="82"/>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$125,843</w:t>
            </w:r>
            <w:r w:rsidRPr="00E31AAC">
              <w:rPr>
                <w:rFonts w:ascii="Segoe UI" w:eastAsia="Times New Roman" w:hAnsi="Segoe UI" w:cs="Segoe UI"/>
                <w:b/>
                <w:bCs/>
                <w:color w:val="FFFFFF" w:themeColor="background1"/>
                <w:sz w:val="16"/>
                <w:szCs w:val="16"/>
              </w:rPr>
              <w:t>_</w:t>
            </w:r>
          </w:p>
        </w:tc>
        <w:tc>
          <w:tcPr>
            <w:tcW w:w="1008" w:type="dxa"/>
            <w:tcBorders>
              <w:top w:val="single" w:sz="8" w:space="0" w:color="666666"/>
              <w:left w:val="nil"/>
              <w:bottom w:val="single" w:sz="4" w:space="0" w:color="auto"/>
              <w:right w:val="nil"/>
            </w:tcBorders>
            <w:shd w:val="clear" w:color="auto" w:fill="auto"/>
            <w:vAlign w:val="center"/>
          </w:tcPr>
          <w:p w14:paraId="24917D94" w14:textId="78CD5A03" w:rsidR="00163281" w:rsidRDefault="00163281" w:rsidP="00163281">
            <w:pPr>
              <w:spacing w:after="40"/>
              <w:jc w:val="right"/>
              <w:rPr>
                <w:rFonts w:ascii="Segoe UI" w:eastAsia="Times New Roman" w:hAnsi="Segoe UI" w:cs="Segoe UI"/>
                <w:b/>
                <w:color w:val="666666"/>
                <w:sz w:val="16"/>
                <w:szCs w:val="16"/>
              </w:rPr>
            </w:pPr>
            <w:r>
              <w:rPr>
                <w:rFonts w:ascii="Segoe UI" w:eastAsia="Times New Roman" w:hAnsi="Segoe UI" w:cs="Segoe UI"/>
                <w:b/>
                <w:bCs/>
                <w:color w:val="666666"/>
                <w:sz w:val="16"/>
                <w:szCs w:val="16"/>
              </w:rPr>
              <w:t>$42,959</w:t>
            </w:r>
            <w:r w:rsidRPr="00E31AAC">
              <w:rPr>
                <w:rFonts w:ascii="Segoe UI" w:eastAsia="Times New Roman" w:hAnsi="Segoe UI" w:cs="Segoe UI"/>
                <w:b/>
                <w:bCs/>
                <w:color w:val="FFFFFF" w:themeColor="background1"/>
                <w:sz w:val="16"/>
                <w:szCs w:val="16"/>
              </w:rPr>
              <w:t>_</w:t>
            </w:r>
          </w:p>
        </w:tc>
        <w:tc>
          <w:tcPr>
            <w:tcW w:w="970" w:type="dxa"/>
            <w:tcBorders>
              <w:top w:val="single" w:sz="8" w:space="0" w:color="666666"/>
              <w:left w:val="nil"/>
              <w:bottom w:val="single" w:sz="4" w:space="0" w:color="auto"/>
              <w:right w:val="nil"/>
            </w:tcBorders>
            <w:shd w:val="clear" w:color="auto" w:fill="auto"/>
            <w:vAlign w:val="center"/>
          </w:tcPr>
          <w:p w14:paraId="7C8B4A2A" w14:textId="08A0A13C" w:rsidR="00163281" w:rsidRDefault="00163281" w:rsidP="00163281">
            <w:pPr>
              <w:spacing w:after="40"/>
              <w:jc w:val="right"/>
              <w:rPr>
                <w:rFonts w:ascii="Segoe UI" w:eastAsia="Times New Roman" w:hAnsi="Segoe UI" w:cs="Segoe UI"/>
                <w:b/>
                <w:color w:val="666666"/>
                <w:sz w:val="16"/>
                <w:szCs w:val="16"/>
              </w:rPr>
            </w:pPr>
            <w:r w:rsidRPr="004012F4">
              <w:rPr>
                <w:rFonts w:ascii="Segoe UI" w:eastAsia="Times New Roman" w:hAnsi="Segoe UI" w:cs="Segoe UI"/>
                <w:b/>
                <w:color w:val="666666"/>
                <w:sz w:val="16"/>
                <w:szCs w:val="16"/>
              </w:rPr>
              <w:t>$36,830</w:t>
            </w:r>
            <w:r w:rsidRPr="00E31AAC">
              <w:rPr>
                <w:rFonts w:ascii="Segoe UI" w:eastAsia="Times New Roman" w:hAnsi="Segoe UI" w:cs="Segoe UI"/>
                <w:b/>
                <w:bCs/>
                <w:color w:val="FFFFFF" w:themeColor="background1"/>
                <w:sz w:val="16"/>
                <w:szCs w:val="16"/>
              </w:rPr>
              <w:t>_</w:t>
            </w:r>
          </w:p>
        </w:tc>
        <w:tc>
          <w:tcPr>
            <w:tcW w:w="1046" w:type="dxa"/>
            <w:tcBorders>
              <w:top w:val="single" w:sz="8" w:space="0" w:color="666666"/>
              <w:left w:val="nil"/>
              <w:bottom w:val="single" w:sz="4" w:space="0" w:color="auto"/>
              <w:right w:val="nil"/>
            </w:tcBorders>
            <w:shd w:val="clear" w:color="auto" w:fill="auto"/>
            <w:vAlign w:val="center"/>
          </w:tcPr>
          <w:p w14:paraId="06A91E54" w14:textId="28116FE5" w:rsidR="00163281" w:rsidRDefault="00163281" w:rsidP="00163281">
            <w:pPr>
              <w:spacing w:after="40"/>
              <w:jc w:val="right"/>
              <w:rPr>
                <w:rFonts w:ascii="Segoe UI" w:eastAsia="Times New Roman" w:hAnsi="Segoe UI" w:cs="Segoe UI"/>
                <w:b/>
                <w:color w:val="666666"/>
                <w:sz w:val="16"/>
                <w:szCs w:val="16"/>
              </w:rPr>
            </w:pPr>
            <w:r w:rsidRPr="004012F4">
              <w:rPr>
                <w:rFonts w:ascii="Segoe UI" w:eastAsia="Times New Roman" w:hAnsi="Segoe UI" w:cs="Segoe UI"/>
                <w:b/>
                <w:color w:val="666666"/>
                <w:sz w:val="16"/>
                <w:szCs w:val="16"/>
              </w:rPr>
              <w:t>$4.75</w:t>
            </w:r>
            <w:r w:rsidRPr="00E31AAC">
              <w:rPr>
                <w:rFonts w:ascii="Segoe UI" w:eastAsia="Times New Roman" w:hAnsi="Segoe UI" w:cs="Segoe UI"/>
                <w:b/>
                <w:bCs/>
                <w:color w:val="FFFFFF" w:themeColor="background1"/>
                <w:sz w:val="16"/>
                <w:szCs w:val="16"/>
              </w:rPr>
              <w:t>_</w:t>
            </w:r>
          </w:p>
        </w:tc>
      </w:tr>
      <w:tr w:rsidR="00C7044F" w:rsidRPr="009240F6" w14:paraId="591B738E" w14:textId="77777777" w:rsidTr="008D14D0">
        <w:trPr>
          <w:trHeight w:val="288"/>
        </w:trPr>
        <w:tc>
          <w:tcPr>
            <w:tcW w:w="5310" w:type="dxa"/>
            <w:tcBorders>
              <w:top w:val="single" w:sz="4" w:space="0" w:color="auto"/>
              <w:left w:val="nil"/>
              <w:bottom w:val="single" w:sz="4" w:space="0" w:color="auto"/>
              <w:right w:val="nil"/>
            </w:tcBorders>
            <w:noWrap/>
            <w:vAlign w:val="center"/>
          </w:tcPr>
          <w:p w14:paraId="2CB6AE7B" w14:textId="211BABE6" w:rsidR="00C7044F" w:rsidRPr="00CA687B" w:rsidRDefault="00C7044F" w:rsidP="008D14D0">
            <w:pPr>
              <w:spacing w:after="40"/>
              <w:rPr>
                <w:rFonts w:ascii="Segoe UI" w:eastAsia="Times New Roman" w:hAnsi="Segoe UI" w:cs="Segoe UI"/>
                <w:b/>
                <w:bCs/>
                <w:color w:val="666666"/>
                <w:sz w:val="16"/>
                <w:szCs w:val="16"/>
              </w:rPr>
            </w:pPr>
            <w:r w:rsidRPr="00CA687B">
              <w:rPr>
                <w:rFonts w:ascii="Segoe UI" w:eastAsia="Times New Roman" w:hAnsi="Segoe UI" w:cs="Segoe UI"/>
                <w:b/>
                <w:bCs/>
                <w:color w:val="666666"/>
                <w:sz w:val="16"/>
                <w:szCs w:val="16"/>
              </w:rPr>
              <w:t>20</w:t>
            </w:r>
            <w:r w:rsidR="00163281" w:rsidRPr="00CA687B">
              <w:rPr>
                <w:rFonts w:ascii="Segoe UI" w:eastAsia="Times New Roman" w:hAnsi="Segoe UI" w:cs="Segoe UI"/>
                <w:b/>
                <w:bCs/>
                <w:color w:val="666666"/>
                <w:sz w:val="16"/>
                <w:szCs w:val="16"/>
              </w:rPr>
              <w:t>20</w:t>
            </w:r>
            <w:r w:rsidRPr="00CA687B">
              <w:rPr>
                <w:rFonts w:ascii="Segoe UI" w:eastAsia="Times New Roman" w:hAnsi="Segoe UI" w:cs="Segoe UI"/>
                <w:b/>
                <w:bCs/>
                <w:color w:val="666666"/>
                <w:sz w:val="16"/>
                <w:szCs w:val="16"/>
              </w:rPr>
              <w:t xml:space="preserve"> As Reported </w:t>
            </w:r>
          </w:p>
        </w:tc>
        <w:tc>
          <w:tcPr>
            <w:tcW w:w="1172" w:type="dxa"/>
            <w:tcBorders>
              <w:top w:val="single" w:sz="4" w:space="0" w:color="auto"/>
              <w:left w:val="nil"/>
              <w:bottom w:val="single" w:sz="4" w:space="0" w:color="auto"/>
              <w:right w:val="nil"/>
            </w:tcBorders>
            <w:shd w:val="clear" w:color="auto" w:fill="auto"/>
            <w:vAlign w:val="center"/>
          </w:tcPr>
          <w:p w14:paraId="77506FD5" w14:textId="2C9C1551" w:rsidR="00C7044F" w:rsidRPr="00CA687B" w:rsidRDefault="00C7044F" w:rsidP="008D14D0">
            <w:pPr>
              <w:spacing w:after="40"/>
              <w:ind w:firstLine="82"/>
              <w:jc w:val="right"/>
              <w:rPr>
                <w:rFonts w:ascii="Segoe UI" w:eastAsia="Times New Roman" w:hAnsi="Segoe UI" w:cs="Segoe UI"/>
                <w:b/>
                <w:bCs/>
                <w:color w:val="666666"/>
                <w:sz w:val="16"/>
                <w:szCs w:val="16"/>
              </w:rPr>
            </w:pPr>
            <w:r w:rsidRPr="00CA687B">
              <w:rPr>
                <w:rFonts w:ascii="Segoe UI" w:eastAsia="Times New Roman" w:hAnsi="Segoe UI" w:cs="Segoe UI"/>
                <w:b/>
                <w:bCs/>
                <w:color w:val="666666"/>
                <w:sz w:val="16"/>
                <w:szCs w:val="16"/>
              </w:rPr>
              <w:t>$</w:t>
            </w:r>
            <w:r w:rsidR="00945ADF">
              <w:rPr>
                <w:rFonts w:ascii="Segoe UI" w:eastAsia="Times New Roman" w:hAnsi="Segoe UI" w:cs="Segoe UI"/>
                <w:b/>
                <w:bCs/>
                <w:color w:val="666666"/>
                <w:sz w:val="16"/>
                <w:szCs w:val="16"/>
              </w:rPr>
              <w:t>143</w:t>
            </w:r>
            <w:r w:rsidRPr="00CA687B">
              <w:rPr>
                <w:rFonts w:ascii="Segoe UI" w:eastAsia="Times New Roman" w:hAnsi="Segoe UI" w:cs="Segoe UI"/>
                <w:b/>
                <w:bCs/>
                <w:color w:val="666666"/>
                <w:sz w:val="16"/>
                <w:szCs w:val="16"/>
              </w:rPr>
              <w:t>,</w:t>
            </w:r>
            <w:r w:rsidR="00945ADF">
              <w:rPr>
                <w:rFonts w:ascii="Segoe UI" w:eastAsia="Times New Roman" w:hAnsi="Segoe UI" w:cs="Segoe UI"/>
                <w:b/>
                <w:bCs/>
                <w:color w:val="666666"/>
                <w:sz w:val="16"/>
                <w:szCs w:val="16"/>
              </w:rPr>
              <w:t>01</w:t>
            </w:r>
            <w:r w:rsidR="00492AEE">
              <w:rPr>
                <w:rFonts w:ascii="Segoe UI" w:eastAsia="Times New Roman" w:hAnsi="Segoe UI" w:cs="Segoe UI"/>
                <w:b/>
                <w:bCs/>
                <w:color w:val="666666"/>
                <w:sz w:val="16"/>
                <w:szCs w:val="16"/>
              </w:rPr>
              <w:t>5</w:t>
            </w:r>
            <w:r w:rsidR="003A7347">
              <w:rPr>
                <w:rFonts w:ascii="Segoe UI" w:eastAsia="Times New Roman" w:hAnsi="Segoe UI" w:cs="Segoe UI"/>
                <w:b/>
                <w:bCs/>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vAlign w:val="center"/>
          </w:tcPr>
          <w:p w14:paraId="63DF45B3" w14:textId="15DA8779" w:rsidR="00C7044F" w:rsidRPr="00CA687B" w:rsidRDefault="00C7044F" w:rsidP="008D14D0">
            <w:pPr>
              <w:spacing w:after="40"/>
              <w:ind w:firstLine="82"/>
              <w:jc w:val="right"/>
              <w:rPr>
                <w:rFonts w:ascii="Segoe UI" w:eastAsia="Times New Roman" w:hAnsi="Segoe UI" w:cs="Segoe UI"/>
                <w:b/>
                <w:bCs/>
                <w:color w:val="666666"/>
                <w:sz w:val="16"/>
                <w:szCs w:val="16"/>
              </w:rPr>
            </w:pPr>
            <w:r w:rsidRPr="005C49C2">
              <w:rPr>
                <w:rFonts w:ascii="Segoe UI" w:eastAsia="Times New Roman" w:hAnsi="Segoe UI" w:cs="Segoe UI"/>
                <w:b/>
                <w:bCs/>
                <w:color w:val="666666"/>
                <w:sz w:val="16"/>
                <w:szCs w:val="16"/>
              </w:rPr>
              <w:t>$</w:t>
            </w:r>
            <w:r w:rsidR="00492AEE" w:rsidRPr="005C49C2">
              <w:rPr>
                <w:rFonts w:ascii="Segoe UI" w:eastAsia="Times New Roman" w:hAnsi="Segoe UI" w:cs="Segoe UI"/>
                <w:b/>
                <w:bCs/>
                <w:color w:val="666666"/>
                <w:sz w:val="16"/>
                <w:szCs w:val="16"/>
              </w:rPr>
              <w:t>5</w:t>
            </w:r>
            <w:r w:rsidR="005C49C2" w:rsidRPr="005C49C2">
              <w:rPr>
                <w:rFonts w:ascii="Segoe UI" w:eastAsia="Times New Roman" w:hAnsi="Segoe UI" w:cs="Segoe UI"/>
                <w:b/>
                <w:bCs/>
                <w:color w:val="666666"/>
                <w:sz w:val="16"/>
                <w:szCs w:val="16"/>
              </w:rPr>
              <w:t>2</w:t>
            </w:r>
            <w:r w:rsidRPr="005C49C2">
              <w:rPr>
                <w:rFonts w:ascii="Segoe UI" w:eastAsia="Times New Roman" w:hAnsi="Segoe UI" w:cs="Segoe UI"/>
                <w:b/>
                <w:bCs/>
                <w:color w:val="666666"/>
                <w:sz w:val="16"/>
                <w:szCs w:val="16"/>
              </w:rPr>
              <w:t>,</w:t>
            </w:r>
            <w:r w:rsidR="005C49C2" w:rsidRPr="005C49C2">
              <w:rPr>
                <w:rFonts w:ascii="Segoe UI" w:eastAsia="Times New Roman" w:hAnsi="Segoe UI" w:cs="Segoe UI"/>
                <w:b/>
                <w:bCs/>
                <w:color w:val="666666"/>
                <w:sz w:val="16"/>
                <w:szCs w:val="16"/>
              </w:rPr>
              <w:t>959</w:t>
            </w:r>
            <w:r w:rsidR="00E777DF" w:rsidRPr="00E31AAC">
              <w:rPr>
                <w:rFonts w:ascii="Segoe UI" w:eastAsia="Times New Roman" w:hAnsi="Segoe UI" w:cs="Segoe UI"/>
                <w:b/>
                <w:bCs/>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vAlign w:val="center"/>
          </w:tcPr>
          <w:p w14:paraId="0781BFAB" w14:textId="418C8438" w:rsidR="00C7044F" w:rsidRPr="00CA687B" w:rsidRDefault="00D900C8" w:rsidP="008D14D0">
            <w:pPr>
              <w:spacing w:after="40"/>
              <w:ind w:firstLine="82"/>
              <w:jc w:val="right"/>
              <w:rPr>
                <w:rFonts w:ascii="Segoe UI" w:eastAsia="Times New Roman" w:hAnsi="Segoe UI" w:cs="Segoe UI"/>
                <w:b/>
                <w:bCs/>
                <w:color w:val="666666"/>
                <w:sz w:val="16"/>
                <w:szCs w:val="16"/>
              </w:rPr>
            </w:pPr>
            <w:r w:rsidRPr="00E777DF">
              <w:rPr>
                <w:rFonts w:ascii="Segoe UI" w:eastAsia="Times New Roman" w:hAnsi="Segoe UI" w:cs="Segoe UI"/>
                <w:b/>
                <w:bCs/>
                <w:color w:val="666666"/>
                <w:sz w:val="16"/>
                <w:szCs w:val="16"/>
              </w:rPr>
              <w:t>$</w:t>
            </w:r>
            <w:r w:rsidR="00725488" w:rsidRPr="00E777DF">
              <w:rPr>
                <w:rFonts w:ascii="Segoe UI" w:eastAsia="Times New Roman" w:hAnsi="Segoe UI" w:cs="Segoe UI"/>
                <w:b/>
                <w:bCs/>
                <w:color w:val="666666"/>
                <w:sz w:val="16"/>
                <w:szCs w:val="16"/>
              </w:rPr>
              <w:t>44,281</w:t>
            </w:r>
            <w:r w:rsidR="00E777DF" w:rsidRPr="00E31AAC">
              <w:rPr>
                <w:rFonts w:ascii="Segoe UI" w:eastAsia="Times New Roman" w:hAnsi="Segoe UI" w:cs="Segoe UI"/>
                <w:b/>
                <w:bCs/>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vAlign w:val="center"/>
          </w:tcPr>
          <w:p w14:paraId="17A2BC38" w14:textId="491A8E81" w:rsidR="00C7044F" w:rsidRPr="00CA687B" w:rsidRDefault="008F6F33" w:rsidP="008D14D0">
            <w:pPr>
              <w:spacing w:after="40"/>
              <w:ind w:firstLine="82"/>
              <w:jc w:val="right"/>
              <w:rPr>
                <w:rFonts w:ascii="Segoe UI" w:eastAsia="Times New Roman" w:hAnsi="Segoe UI" w:cs="Segoe UI"/>
                <w:b/>
                <w:bCs/>
                <w:color w:val="666666"/>
                <w:sz w:val="16"/>
                <w:szCs w:val="16"/>
              </w:rPr>
            </w:pPr>
            <w:r w:rsidRPr="00CA687B">
              <w:rPr>
                <w:rFonts w:ascii="Segoe UI" w:eastAsia="Times New Roman" w:hAnsi="Segoe UI" w:cs="Segoe UI"/>
                <w:b/>
                <w:bCs/>
                <w:color w:val="666666"/>
                <w:sz w:val="16"/>
                <w:szCs w:val="16"/>
              </w:rPr>
              <w:t>$</w:t>
            </w:r>
            <w:r w:rsidR="00F77088" w:rsidRPr="00E777DF">
              <w:rPr>
                <w:rFonts w:ascii="Segoe UI" w:eastAsia="Times New Roman" w:hAnsi="Segoe UI" w:cs="Segoe UI"/>
                <w:b/>
                <w:bCs/>
                <w:color w:val="666666"/>
                <w:sz w:val="16"/>
                <w:szCs w:val="16"/>
              </w:rPr>
              <w:t>5</w:t>
            </w:r>
            <w:r w:rsidRPr="00E777DF">
              <w:rPr>
                <w:rFonts w:ascii="Segoe UI" w:eastAsia="Times New Roman" w:hAnsi="Segoe UI" w:cs="Segoe UI"/>
                <w:b/>
                <w:bCs/>
                <w:color w:val="666666"/>
                <w:sz w:val="16"/>
                <w:szCs w:val="16"/>
              </w:rPr>
              <w:t>.</w:t>
            </w:r>
            <w:r w:rsidR="00F77088" w:rsidRPr="00E777DF">
              <w:rPr>
                <w:rFonts w:ascii="Segoe UI" w:eastAsia="Times New Roman" w:hAnsi="Segoe UI" w:cs="Segoe UI"/>
                <w:b/>
                <w:bCs/>
                <w:color w:val="666666"/>
                <w:sz w:val="16"/>
                <w:szCs w:val="16"/>
              </w:rPr>
              <w:t>76</w:t>
            </w:r>
            <w:r w:rsidR="003A7347">
              <w:rPr>
                <w:rFonts w:ascii="Segoe UI" w:eastAsia="Times New Roman" w:hAnsi="Segoe UI" w:cs="Segoe UI"/>
                <w:b/>
                <w:bCs/>
                <w:color w:val="FFFFFF" w:themeColor="background1"/>
                <w:sz w:val="16"/>
                <w:szCs w:val="16"/>
              </w:rPr>
              <w:t>_</w:t>
            </w:r>
          </w:p>
        </w:tc>
      </w:tr>
      <w:tr w:rsidR="00C7044F" w:rsidRPr="00243400" w14:paraId="4530D426" w14:textId="77777777" w:rsidTr="008D14D0">
        <w:trPr>
          <w:trHeight w:val="288"/>
        </w:trPr>
        <w:tc>
          <w:tcPr>
            <w:tcW w:w="5310" w:type="dxa"/>
            <w:tcBorders>
              <w:top w:val="single" w:sz="4" w:space="0" w:color="666666"/>
              <w:left w:val="nil"/>
              <w:right w:val="nil"/>
            </w:tcBorders>
            <w:noWrap/>
            <w:vAlign w:val="center"/>
          </w:tcPr>
          <w:p w14:paraId="3AD9057C" w14:textId="77777777" w:rsidR="00C7044F" w:rsidRPr="00DB0EFC" w:rsidRDefault="00C7044F" w:rsidP="008D14D0">
            <w:pPr>
              <w:spacing w:after="40"/>
              <w:rPr>
                <w:rFonts w:ascii="Segoe UI" w:eastAsia="Times New Roman" w:hAnsi="Segoe UI" w:cs="Segoe UI"/>
                <w:color w:val="666666"/>
                <w:sz w:val="16"/>
                <w:szCs w:val="16"/>
              </w:rPr>
            </w:pPr>
            <w:r w:rsidRPr="00DB0EFC">
              <w:rPr>
                <w:rFonts w:ascii="Segoe UI" w:eastAsia="Times New Roman" w:hAnsi="Segoe UI" w:cs="Segoe UI"/>
                <w:color w:val="666666"/>
                <w:sz w:val="16"/>
                <w:szCs w:val="16"/>
              </w:rPr>
              <w:t>Percentage Change Y/Y (GAAP)</w:t>
            </w:r>
          </w:p>
        </w:tc>
        <w:tc>
          <w:tcPr>
            <w:tcW w:w="1172" w:type="dxa"/>
            <w:tcBorders>
              <w:top w:val="single" w:sz="4" w:space="0" w:color="666666"/>
              <w:left w:val="nil"/>
              <w:right w:val="nil"/>
            </w:tcBorders>
            <w:shd w:val="clear" w:color="auto" w:fill="auto"/>
          </w:tcPr>
          <w:p w14:paraId="32B43D0A" w14:textId="3E12724A" w:rsidR="00C7044F" w:rsidRPr="00966F3F" w:rsidRDefault="00E645AC" w:rsidP="00E777DF">
            <w:pPr>
              <w:spacing w:after="40"/>
              <w:ind w:firstLine="82"/>
              <w:jc w:val="right"/>
              <w:rPr>
                <w:rFonts w:ascii="Segoe UI" w:eastAsia="Times New Roman" w:hAnsi="Segoe UI" w:cs="Segoe UI"/>
                <w:color w:val="666666"/>
                <w:sz w:val="16"/>
                <w:szCs w:val="16"/>
              </w:rPr>
            </w:pPr>
            <w:r w:rsidRPr="00966F3F">
              <w:rPr>
                <w:rFonts w:ascii="Segoe UI" w:eastAsia="Times New Roman" w:hAnsi="Segoe UI" w:cs="Segoe UI"/>
                <w:color w:val="666666"/>
                <w:sz w:val="16"/>
                <w:szCs w:val="16"/>
              </w:rPr>
              <w:t>14</w:t>
            </w:r>
            <w:r w:rsidR="00C7044F" w:rsidRPr="00966F3F">
              <w:rPr>
                <w:rFonts w:ascii="Segoe UI" w:eastAsia="Times New Roman" w:hAnsi="Segoe UI" w:cs="Segoe UI"/>
                <w:color w:val="666666"/>
                <w:sz w:val="16"/>
                <w:szCs w:val="16"/>
              </w:rPr>
              <w:t>%</w:t>
            </w:r>
            <w:r w:rsidR="003A7347">
              <w:rPr>
                <w:rFonts w:ascii="Segoe UI" w:eastAsia="Times New Roman" w:hAnsi="Segoe UI" w:cs="Segoe UI"/>
                <w:b/>
                <w:bCs/>
                <w:color w:val="FFFFFF" w:themeColor="background1"/>
                <w:sz w:val="16"/>
                <w:szCs w:val="16"/>
              </w:rPr>
              <w:t>_</w:t>
            </w:r>
          </w:p>
        </w:tc>
        <w:tc>
          <w:tcPr>
            <w:tcW w:w="1008" w:type="dxa"/>
            <w:tcBorders>
              <w:top w:val="single" w:sz="4" w:space="0" w:color="666666"/>
              <w:left w:val="nil"/>
              <w:right w:val="nil"/>
            </w:tcBorders>
            <w:shd w:val="clear" w:color="auto" w:fill="auto"/>
          </w:tcPr>
          <w:p w14:paraId="47967E0D" w14:textId="6B118681" w:rsidR="00C7044F" w:rsidRPr="00966F3F" w:rsidRDefault="00C7044F"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w:t>
            </w:r>
            <w:r w:rsidR="005C49C2" w:rsidRPr="00E777DF">
              <w:rPr>
                <w:rFonts w:ascii="Segoe UI" w:eastAsia="Times New Roman" w:hAnsi="Segoe UI" w:cs="Segoe UI"/>
                <w:color w:val="666666"/>
                <w:sz w:val="16"/>
                <w:szCs w:val="16"/>
              </w:rPr>
              <w:t>3</w:t>
            </w:r>
            <w:r w:rsidRPr="00966F3F">
              <w:rPr>
                <w:rFonts w:ascii="Segoe UI" w:eastAsia="Times New Roman" w:hAnsi="Segoe UI" w:cs="Segoe UI"/>
                <w:color w:val="666666"/>
                <w:sz w:val="16"/>
                <w:szCs w:val="16"/>
              </w:rPr>
              <w:t>%</w:t>
            </w:r>
            <w:r w:rsidR="003A7347">
              <w:rPr>
                <w:rFonts w:ascii="Segoe UI" w:eastAsia="Times New Roman" w:hAnsi="Segoe UI" w:cs="Segoe UI"/>
                <w:b/>
                <w:bCs/>
                <w:color w:val="FFFFFF" w:themeColor="background1"/>
                <w:sz w:val="16"/>
                <w:szCs w:val="16"/>
              </w:rPr>
              <w:t>_</w:t>
            </w:r>
          </w:p>
        </w:tc>
        <w:tc>
          <w:tcPr>
            <w:tcW w:w="970" w:type="dxa"/>
            <w:tcBorders>
              <w:top w:val="single" w:sz="4" w:space="0" w:color="666666"/>
              <w:left w:val="nil"/>
              <w:right w:val="nil"/>
            </w:tcBorders>
            <w:shd w:val="clear" w:color="auto" w:fill="auto"/>
          </w:tcPr>
          <w:p w14:paraId="736E9542" w14:textId="39AFBC71" w:rsidR="00C7044F" w:rsidRPr="00E777DF" w:rsidRDefault="0072548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1</w:t>
            </w:r>
            <w:r w:rsidR="00F77088" w:rsidRPr="00E777DF">
              <w:rPr>
                <w:rFonts w:ascii="Segoe UI" w:eastAsia="Times New Roman" w:hAnsi="Segoe UI" w:cs="Segoe UI"/>
                <w:color w:val="666666"/>
                <w:sz w:val="16"/>
                <w:szCs w:val="16"/>
              </w:rPr>
              <w:t>3</w:t>
            </w:r>
            <w:r w:rsidR="00996FB0" w:rsidRPr="00E777DF">
              <w:rPr>
                <w:rFonts w:ascii="Segoe UI" w:eastAsia="Times New Roman" w:hAnsi="Segoe UI" w:cs="Segoe UI"/>
                <w:color w:val="666666"/>
                <w:sz w:val="16"/>
                <w:szCs w:val="16"/>
              </w:rPr>
              <w:t>%</w:t>
            </w:r>
            <w:r w:rsidR="003A7347">
              <w:rPr>
                <w:rFonts w:ascii="Segoe UI" w:eastAsia="Times New Roman" w:hAnsi="Segoe UI" w:cs="Segoe UI"/>
                <w:b/>
                <w:bCs/>
                <w:color w:val="FFFFFF" w:themeColor="background1"/>
                <w:sz w:val="16"/>
                <w:szCs w:val="16"/>
              </w:rPr>
              <w:t>_</w:t>
            </w:r>
          </w:p>
        </w:tc>
        <w:tc>
          <w:tcPr>
            <w:tcW w:w="1046" w:type="dxa"/>
            <w:tcBorders>
              <w:top w:val="single" w:sz="4" w:space="0" w:color="666666"/>
              <w:left w:val="nil"/>
              <w:right w:val="nil"/>
            </w:tcBorders>
            <w:shd w:val="clear" w:color="auto" w:fill="auto"/>
          </w:tcPr>
          <w:p w14:paraId="7460EB53" w14:textId="2E20D8DF" w:rsidR="00C7044F" w:rsidRPr="00E777DF" w:rsidRDefault="00F7708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14</w:t>
            </w:r>
            <w:r w:rsidR="00996FB0" w:rsidRPr="00E777DF">
              <w:rPr>
                <w:rFonts w:ascii="Segoe UI" w:eastAsia="Times New Roman" w:hAnsi="Segoe UI" w:cs="Segoe UI"/>
                <w:color w:val="666666"/>
                <w:sz w:val="16"/>
                <w:szCs w:val="16"/>
              </w:rPr>
              <w:t>%</w:t>
            </w:r>
            <w:r w:rsidR="003A7347">
              <w:rPr>
                <w:rFonts w:ascii="Segoe UI" w:eastAsia="Times New Roman" w:hAnsi="Segoe UI" w:cs="Segoe UI"/>
                <w:b/>
                <w:bCs/>
                <w:color w:val="FFFFFF" w:themeColor="background1"/>
                <w:sz w:val="16"/>
                <w:szCs w:val="16"/>
              </w:rPr>
              <w:t>_</w:t>
            </w:r>
          </w:p>
        </w:tc>
      </w:tr>
      <w:tr w:rsidR="00C7044F" w14:paraId="68872554" w14:textId="77777777" w:rsidTr="008D14D0">
        <w:trPr>
          <w:trHeight w:val="288"/>
        </w:trPr>
        <w:tc>
          <w:tcPr>
            <w:tcW w:w="5310" w:type="dxa"/>
            <w:tcBorders>
              <w:top w:val="single" w:sz="4" w:space="0" w:color="666666"/>
              <w:left w:val="nil"/>
              <w:right w:val="nil"/>
            </w:tcBorders>
            <w:noWrap/>
            <w:vAlign w:val="center"/>
          </w:tcPr>
          <w:p w14:paraId="7D479F86" w14:textId="77777777" w:rsidR="00C7044F" w:rsidRPr="00DB0EFC" w:rsidRDefault="00C7044F" w:rsidP="008D14D0">
            <w:pPr>
              <w:spacing w:after="40"/>
              <w:rPr>
                <w:rFonts w:ascii="Segoe UI" w:eastAsia="Times New Roman" w:hAnsi="Segoe UI" w:cs="Segoe UI"/>
                <w:color w:val="666666"/>
                <w:sz w:val="16"/>
                <w:szCs w:val="16"/>
              </w:rPr>
            </w:pPr>
            <w:r w:rsidRPr="00DB0EFC">
              <w:rPr>
                <w:rFonts w:ascii="Segoe UI" w:eastAsia="Times New Roman" w:hAnsi="Segoe UI" w:cs="Segoe UI"/>
                <w:color w:val="666666"/>
                <w:sz w:val="16"/>
                <w:szCs w:val="16"/>
              </w:rPr>
              <w:t>Percentage Change Y/Y (non-GAAP)</w:t>
            </w:r>
          </w:p>
        </w:tc>
        <w:tc>
          <w:tcPr>
            <w:tcW w:w="1172" w:type="dxa"/>
            <w:tcBorders>
              <w:top w:val="single" w:sz="4" w:space="0" w:color="666666"/>
              <w:left w:val="nil"/>
              <w:right w:val="nil"/>
            </w:tcBorders>
            <w:shd w:val="clear" w:color="auto" w:fill="auto"/>
          </w:tcPr>
          <w:p w14:paraId="3FBFE332" w14:textId="187B06FF" w:rsidR="00C7044F" w:rsidRPr="00E777DF" w:rsidRDefault="00E645AC"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14</w:t>
            </w:r>
            <w:r w:rsidR="00C7044F" w:rsidRPr="00E777DF">
              <w:rPr>
                <w:rFonts w:ascii="Segoe UI" w:eastAsia="Times New Roman" w:hAnsi="Segoe UI" w:cs="Segoe UI"/>
                <w:color w:val="666666"/>
                <w:sz w:val="16"/>
                <w:szCs w:val="16"/>
              </w:rPr>
              <w:t>%</w:t>
            </w:r>
            <w:r w:rsidR="00AC464C" w:rsidRPr="00E31AAC">
              <w:rPr>
                <w:rFonts w:ascii="Segoe UI" w:eastAsia="Times New Roman" w:hAnsi="Segoe UI" w:cs="Segoe UI"/>
                <w:b/>
                <w:color w:val="FFFFFF" w:themeColor="background1"/>
                <w:sz w:val="16"/>
                <w:szCs w:val="16"/>
              </w:rPr>
              <w:t>_</w:t>
            </w:r>
          </w:p>
        </w:tc>
        <w:tc>
          <w:tcPr>
            <w:tcW w:w="1008" w:type="dxa"/>
            <w:tcBorders>
              <w:top w:val="single" w:sz="4" w:space="0" w:color="666666"/>
              <w:left w:val="nil"/>
              <w:right w:val="nil"/>
            </w:tcBorders>
            <w:shd w:val="clear" w:color="auto" w:fill="auto"/>
          </w:tcPr>
          <w:p w14:paraId="3F7BD765" w14:textId="4DB1CE39" w:rsidR="00C7044F" w:rsidRPr="00E777DF" w:rsidRDefault="00C7044F"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w:t>
            </w:r>
            <w:r w:rsidR="00D26E1F" w:rsidRPr="00E777DF">
              <w:rPr>
                <w:rFonts w:ascii="Segoe UI" w:eastAsia="Times New Roman" w:hAnsi="Segoe UI" w:cs="Segoe UI"/>
                <w:color w:val="666666"/>
                <w:sz w:val="16"/>
                <w:szCs w:val="16"/>
              </w:rPr>
              <w:t>3</w:t>
            </w:r>
            <w:r w:rsidRPr="00E777DF">
              <w:rPr>
                <w:rFonts w:ascii="Segoe UI" w:eastAsia="Times New Roman" w:hAnsi="Segoe UI" w:cs="Segoe UI"/>
                <w:color w:val="666666"/>
                <w:sz w:val="16"/>
                <w:szCs w:val="16"/>
              </w:rPr>
              <w:t>%</w:t>
            </w:r>
            <w:r w:rsidR="00AC464C" w:rsidRPr="00E31AAC">
              <w:rPr>
                <w:rFonts w:ascii="Segoe UI" w:eastAsia="Times New Roman" w:hAnsi="Segoe UI" w:cs="Segoe UI"/>
                <w:b/>
                <w:color w:val="FFFFFF" w:themeColor="background1"/>
                <w:sz w:val="16"/>
                <w:szCs w:val="16"/>
              </w:rPr>
              <w:t>_</w:t>
            </w:r>
          </w:p>
        </w:tc>
        <w:tc>
          <w:tcPr>
            <w:tcW w:w="970" w:type="dxa"/>
            <w:tcBorders>
              <w:top w:val="single" w:sz="4" w:space="0" w:color="666666"/>
              <w:left w:val="nil"/>
              <w:right w:val="nil"/>
            </w:tcBorders>
            <w:shd w:val="clear" w:color="auto" w:fill="auto"/>
          </w:tcPr>
          <w:p w14:paraId="0D031C8E" w14:textId="0CE927B7" w:rsidR="00C7044F" w:rsidRPr="00E777DF" w:rsidRDefault="00F7708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20</w:t>
            </w:r>
            <w:r w:rsidR="00573E7D" w:rsidRPr="00E777DF">
              <w:rPr>
                <w:rFonts w:ascii="Segoe UI" w:eastAsia="Times New Roman" w:hAnsi="Segoe UI" w:cs="Segoe UI"/>
                <w:color w:val="666666"/>
                <w:sz w:val="16"/>
                <w:szCs w:val="16"/>
              </w:rPr>
              <w:t>%</w:t>
            </w:r>
            <w:r w:rsidR="00E21385" w:rsidRPr="00E31AAC">
              <w:rPr>
                <w:rFonts w:ascii="Segoe UI" w:eastAsia="Times New Roman" w:hAnsi="Segoe UI" w:cs="Segoe UI"/>
                <w:b/>
                <w:color w:val="FFFFFF" w:themeColor="background1"/>
                <w:sz w:val="16"/>
                <w:szCs w:val="16"/>
              </w:rPr>
              <w:t>_</w:t>
            </w:r>
          </w:p>
        </w:tc>
        <w:tc>
          <w:tcPr>
            <w:tcW w:w="1046" w:type="dxa"/>
            <w:tcBorders>
              <w:top w:val="single" w:sz="4" w:space="0" w:color="666666"/>
              <w:left w:val="nil"/>
              <w:right w:val="nil"/>
            </w:tcBorders>
            <w:shd w:val="clear" w:color="auto" w:fill="auto"/>
          </w:tcPr>
          <w:p w14:paraId="4B6B256A" w14:textId="76534003" w:rsidR="00C7044F" w:rsidRPr="00E777DF" w:rsidRDefault="00F7708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21</w:t>
            </w:r>
            <w:r w:rsidR="00573E7D" w:rsidRPr="00E777DF">
              <w:rPr>
                <w:rFonts w:ascii="Segoe UI" w:eastAsia="Times New Roman" w:hAnsi="Segoe UI" w:cs="Segoe UI"/>
                <w:color w:val="666666"/>
                <w:sz w:val="16"/>
                <w:szCs w:val="16"/>
              </w:rPr>
              <w:t>%</w:t>
            </w:r>
            <w:r w:rsidR="00E21385" w:rsidRPr="00E31AAC">
              <w:rPr>
                <w:rFonts w:ascii="Segoe UI" w:eastAsia="Times New Roman" w:hAnsi="Segoe UI" w:cs="Segoe UI"/>
                <w:b/>
                <w:color w:val="FFFFFF" w:themeColor="background1"/>
                <w:sz w:val="16"/>
                <w:szCs w:val="16"/>
              </w:rPr>
              <w:t>_</w:t>
            </w:r>
          </w:p>
        </w:tc>
      </w:tr>
      <w:tr w:rsidR="00C7044F" w:rsidRPr="00E679DD" w14:paraId="3F6F7569" w14:textId="77777777" w:rsidTr="008D14D0">
        <w:trPr>
          <w:trHeight w:val="288"/>
        </w:trPr>
        <w:tc>
          <w:tcPr>
            <w:tcW w:w="5310" w:type="dxa"/>
            <w:tcBorders>
              <w:top w:val="single" w:sz="4" w:space="0" w:color="auto"/>
              <w:left w:val="nil"/>
              <w:bottom w:val="single" w:sz="4" w:space="0" w:color="auto"/>
              <w:right w:val="nil"/>
            </w:tcBorders>
            <w:noWrap/>
            <w:vAlign w:val="center"/>
          </w:tcPr>
          <w:p w14:paraId="23AFEED8" w14:textId="77777777" w:rsidR="00C7044F" w:rsidRPr="00DB0EFC" w:rsidRDefault="00C7044F" w:rsidP="008D14D0">
            <w:pPr>
              <w:spacing w:after="40"/>
              <w:rPr>
                <w:rFonts w:ascii="Segoe UI" w:eastAsia="Times New Roman" w:hAnsi="Segoe UI" w:cs="Segoe UI"/>
                <w:b/>
                <w:bCs/>
                <w:color w:val="FF0000"/>
                <w:sz w:val="16"/>
                <w:szCs w:val="16"/>
              </w:rPr>
            </w:pPr>
            <w:r w:rsidRPr="00DB0EFC">
              <w:rPr>
                <w:rFonts w:ascii="Segoe UI" w:eastAsia="Times New Roman" w:hAnsi="Segoe UI" w:cs="Segoe UI"/>
                <w:b/>
                <w:bCs/>
                <w:color w:val="666666"/>
                <w:sz w:val="16"/>
                <w:szCs w:val="16"/>
              </w:rPr>
              <w:t>Constant Currency Impact</w:t>
            </w:r>
          </w:p>
        </w:tc>
        <w:tc>
          <w:tcPr>
            <w:tcW w:w="1172" w:type="dxa"/>
            <w:tcBorders>
              <w:top w:val="single" w:sz="4" w:space="0" w:color="auto"/>
              <w:left w:val="nil"/>
              <w:bottom w:val="single" w:sz="4" w:space="0" w:color="auto"/>
              <w:right w:val="nil"/>
            </w:tcBorders>
            <w:shd w:val="clear" w:color="auto" w:fill="auto"/>
            <w:vAlign w:val="center"/>
          </w:tcPr>
          <w:p w14:paraId="2F6A9A74" w14:textId="438AD37C" w:rsidR="00C7044F" w:rsidRPr="00E95496" w:rsidRDefault="00C7044F" w:rsidP="008D14D0">
            <w:pPr>
              <w:spacing w:after="40"/>
              <w:ind w:firstLine="82"/>
              <w:jc w:val="right"/>
              <w:rPr>
                <w:rFonts w:ascii="Segoe UI" w:eastAsia="Times New Roman" w:hAnsi="Segoe UI" w:cs="Segoe UI"/>
                <w:b/>
                <w:color w:val="666666"/>
                <w:sz w:val="16"/>
                <w:szCs w:val="16"/>
              </w:rPr>
            </w:pPr>
            <w:r w:rsidRPr="00E95496">
              <w:rPr>
                <w:rFonts w:ascii="Segoe UI" w:eastAsia="Times New Roman" w:hAnsi="Segoe UI" w:cs="Segoe UI"/>
                <w:b/>
                <w:color w:val="666666"/>
                <w:sz w:val="16"/>
                <w:szCs w:val="16"/>
              </w:rPr>
              <w:t>$(1,</w:t>
            </w:r>
            <w:r w:rsidR="000D2E68" w:rsidRPr="00E95496">
              <w:rPr>
                <w:rFonts w:ascii="Segoe UI" w:eastAsia="Times New Roman" w:hAnsi="Segoe UI" w:cs="Segoe UI"/>
                <w:b/>
                <w:bCs/>
                <w:color w:val="666666"/>
                <w:sz w:val="16"/>
                <w:szCs w:val="16"/>
              </w:rPr>
              <w:t>97</w:t>
            </w:r>
            <w:r w:rsidR="007E0877">
              <w:rPr>
                <w:rFonts w:ascii="Segoe UI" w:eastAsia="Times New Roman" w:hAnsi="Segoe UI" w:cs="Segoe UI"/>
                <w:b/>
                <w:bCs/>
                <w:color w:val="666666"/>
                <w:sz w:val="16"/>
                <w:szCs w:val="16"/>
              </w:rPr>
              <w:t>4</w:t>
            </w:r>
            <w:r w:rsidRPr="00E95496">
              <w:rPr>
                <w:rFonts w:ascii="Segoe UI" w:eastAsia="Times New Roman" w:hAnsi="Segoe UI" w:cs="Segoe UI"/>
                <w:b/>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27B420A5" w14:textId="1EE393E9" w:rsidR="00C7044F" w:rsidRPr="00E777DF" w:rsidRDefault="00C7044F" w:rsidP="008D14D0">
            <w:pPr>
              <w:spacing w:after="40"/>
              <w:ind w:firstLine="82"/>
              <w:jc w:val="right"/>
              <w:rPr>
                <w:rFonts w:ascii="Segoe UI" w:eastAsia="Times New Roman" w:hAnsi="Segoe UI" w:cs="Segoe UI"/>
                <w:b/>
                <w:color w:val="666666"/>
                <w:sz w:val="16"/>
                <w:szCs w:val="16"/>
              </w:rPr>
            </w:pPr>
            <w:r w:rsidRPr="00E777DF">
              <w:rPr>
                <w:rFonts w:ascii="Segoe UI" w:eastAsia="Times New Roman" w:hAnsi="Segoe UI" w:cs="Segoe UI"/>
                <w:b/>
                <w:color w:val="666666"/>
                <w:sz w:val="16"/>
                <w:szCs w:val="16"/>
              </w:rPr>
              <w:t>$(</w:t>
            </w:r>
            <w:r w:rsidR="009273C8" w:rsidRPr="00E777DF">
              <w:rPr>
                <w:rFonts w:ascii="Segoe UI" w:eastAsia="Times New Roman" w:hAnsi="Segoe UI" w:cs="Segoe UI"/>
                <w:b/>
                <w:bCs/>
                <w:color w:val="666666"/>
                <w:sz w:val="16"/>
                <w:szCs w:val="16"/>
              </w:rPr>
              <w:t>1,567</w:t>
            </w:r>
            <w:r w:rsidRPr="00E777DF">
              <w:rPr>
                <w:rFonts w:ascii="Segoe UI" w:eastAsia="Times New Roman" w:hAnsi="Segoe UI" w:cs="Segoe UI"/>
                <w:b/>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44551EE0" w14:textId="7E10C7A9" w:rsidR="00C7044F" w:rsidRPr="00E777DF" w:rsidRDefault="00C7044F" w:rsidP="008D14D0">
            <w:pPr>
              <w:spacing w:after="40"/>
              <w:ind w:firstLine="82"/>
              <w:jc w:val="right"/>
              <w:rPr>
                <w:rFonts w:ascii="Segoe UI" w:eastAsia="Times New Roman" w:hAnsi="Segoe UI" w:cs="Segoe UI"/>
                <w:b/>
                <w:color w:val="666666"/>
                <w:sz w:val="16"/>
                <w:szCs w:val="16"/>
              </w:rPr>
            </w:pPr>
            <w:r w:rsidRPr="00E777DF">
              <w:rPr>
                <w:rFonts w:ascii="Segoe UI" w:eastAsia="Times New Roman" w:hAnsi="Segoe UI" w:cs="Segoe UI"/>
                <w:b/>
                <w:color w:val="666666"/>
                <w:sz w:val="16"/>
                <w:szCs w:val="16"/>
              </w:rPr>
              <w:t>$(</w:t>
            </w:r>
            <w:r w:rsidR="00A301DD" w:rsidRPr="00E777DF">
              <w:rPr>
                <w:rFonts w:ascii="Segoe UI" w:eastAsia="Times New Roman" w:hAnsi="Segoe UI" w:cs="Segoe UI"/>
                <w:b/>
                <w:bCs/>
                <w:color w:val="666666"/>
                <w:sz w:val="16"/>
                <w:szCs w:val="16"/>
              </w:rPr>
              <w:t>1,348</w:t>
            </w:r>
            <w:r w:rsidRPr="00E777DF">
              <w:rPr>
                <w:rFonts w:ascii="Segoe UI" w:eastAsia="Times New Roman" w:hAnsi="Segoe UI" w:cs="Segoe UI"/>
                <w:b/>
                <w:color w:val="666666"/>
                <w:sz w:val="16"/>
                <w:szCs w:val="16"/>
              </w:rPr>
              <w:t>)</w:t>
            </w:r>
          </w:p>
        </w:tc>
        <w:tc>
          <w:tcPr>
            <w:tcW w:w="1046" w:type="dxa"/>
            <w:tcBorders>
              <w:top w:val="single" w:sz="4" w:space="0" w:color="auto"/>
              <w:left w:val="nil"/>
              <w:bottom w:val="single" w:sz="4" w:space="0" w:color="auto"/>
              <w:right w:val="nil"/>
            </w:tcBorders>
            <w:shd w:val="clear" w:color="auto" w:fill="auto"/>
            <w:vAlign w:val="center"/>
          </w:tcPr>
          <w:p w14:paraId="108E556A" w14:textId="06AC54C5" w:rsidR="00C7044F" w:rsidRPr="00E777DF" w:rsidRDefault="00C7044F" w:rsidP="008D14D0">
            <w:pPr>
              <w:spacing w:after="40"/>
              <w:ind w:firstLine="82"/>
              <w:jc w:val="right"/>
              <w:rPr>
                <w:rFonts w:ascii="Segoe UI" w:eastAsia="Times New Roman" w:hAnsi="Segoe UI" w:cs="Segoe UI"/>
                <w:b/>
                <w:color w:val="666666"/>
                <w:sz w:val="16"/>
                <w:szCs w:val="16"/>
              </w:rPr>
            </w:pPr>
            <w:r w:rsidRPr="00E777DF">
              <w:rPr>
                <w:rFonts w:ascii="Segoe UI" w:eastAsia="Times New Roman" w:hAnsi="Segoe UI" w:cs="Segoe UI"/>
                <w:b/>
                <w:color w:val="666666"/>
                <w:sz w:val="16"/>
                <w:szCs w:val="16"/>
              </w:rPr>
              <w:t>$(0.</w:t>
            </w:r>
            <w:r w:rsidR="005A4BA8" w:rsidRPr="00E777DF">
              <w:rPr>
                <w:rFonts w:ascii="Segoe UI" w:eastAsia="Times New Roman" w:hAnsi="Segoe UI" w:cs="Segoe UI"/>
                <w:b/>
                <w:bCs/>
                <w:color w:val="666666"/>
                <w:sz w:val="16"/>
                <w:szCs w:val="16"/>
              </w:rPr>
              <w:t>18</w:t>
            </w:r>
            <w:r w:rsidRPr="00E777DF">
              <w:rPr>
                <w:rFonts w:ascii="Segoe UI" w:eastAsia="Times New Roman" w:hAnsi="Segoe UI" w:cs="Segoe UI"/>
                <w:b/>
                <w:color w:val="666666"/>
                <w:sz w:val="16"/>
                <w:szCs w:val="16"/>
              </w:rPr>
              <w:t>)</w:t>
            </w:r>
          </w:p>
        </w:tc>
      </w:tr>
      <w:tr w:rsidR="00C7044F" w:rsidRPr="00E9670A" w14:paraId="769AA39C" w14:textId="77777777" w:rsidTr="008D14D0">
        <w:trPr>
          <w:trHeight w:val="288"/>
        </w:trPr>
        <w:tc>
          <w:tcPr>
            <w:tcW w:w="5310" w:type="dxa"/>
            <w:tcBorders>
              <w:top w:val="single" w:sz="4" w:space="0" w:color="auto"/>
              <w:left w:val="nil"/>
              <w:bottom w:val="single" w:sz="4" w:space="0" w:color="auto"/>
              <w:right w:val="nil"/>
            </w:tcBorders>
            <w:shd w:val="clear" w:color="auto" w:fill="auto"/>
            <w:noWrap/>
            <w:vAlign w:val="center"/>
          </w:tcPr>
          <w:p w14:paraId="31F815F0" w14:textId="77777777" w:rsidR="00C7044F" w:rsidRPr="00163281" w:rsidRDefault="00C7044F" w:rsidP="008D14D0">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 (non-GAAP) Constant Currency</w:t>
            </w:r>
          </w:p>
        </w:tc>
        <w:tc>
          <w:tcPr>
            <w:tcW w:w="1172" w:type="dxa"/>
            <w:tcBorders>
              <w:top w:val="single" w:sz="4" w:space="0" w:color="auto"/>
              <w:left w:val="nil"/>
              <w:bottom w:val="single" w:sz="4" w:space="0" w:color="auto"/>
              <w:right w:val="nil"/>
            </w:tcBorders>
            <w:shd w:val="clear" w:color="auto" w:fill="auto"/>
          </w:tcPr>
          <w:p w14:paraId="156E5508" w14:textId="13D5C53E" w:rsidR="00C7044F" w:rsidRPr="00E777DF" w:rsidRDefault="00C7044F"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15%</w:t>
            </w:r>
            <w:r w:rsidR="00AC464C" w:rsidRPr="00E31AAC">
              <w:rPr>
                <w:rFonts w:ascii="Segoe UI" w:eastAsia="Times New Roman" w:hAnsi="Segoe UI" w:cs="Segoe UI"/>
                <w:b/>
                <w:color w:val="FFFFFF" w:themeColor="background1"/>
                <w:sz w:val="16"/>
                <w:szCs w:val="16"/>
              </w:rPr>
              <w:t>_</w:t>
            </w:r>
          </w:p>
        </w:tc>
        <w:tc>
          <w:tcPr>
            <w:tcW w:w="1008" w:type="dxa"/>
            <w:tcBorders>
              <w:top w:val="single" w:sz="4" w:space="0" w:color="auto"/>
              <w:left w:val="nil"/>
              <w:bottom w:val="single" w:sz="4" w:space="0" w:color="auto"/>
              <w:right w:val="nil"/>
            </w:tcBorders>
            <w:shd w:val="clear" w:color="auto" w:fill="auto"/>
          </w:tcPr>
          <w:p w14:paraId="44C0DA44" w14:textId="15998997" w:rsidR="00C7044F" w:rsidRPr="00E777DF" w:rsidRDefault="009273C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27</w:t>
            </w:r>
            <w:r w:rsidR="00C7044F" w:rsidRPr="00E777DF">
              <w:rPr>
                <w:rFonts w:ascii="Segoe UI" w:eastAsia="Times New Roman" w:hAnsi="Segoe UI" w:cs="Segoe UI"/>
                <w:color w:val="666666"/>
                <w:sz w:val="16"/>
                <w:szCs w:val="16"/>
              </w:rPr>
              <w:t>%</w:t>
            </w:r>
            <w:r w:rsidR="00AC464C" w:rsidRPr="00E31AAC">
              <w:rPr>
                <w:rFonts w:ascii="Segoe UI" w:eastAsia="Times New Roman" w:hAnsi="Segoe UI" w:cs="Segoe UI"/>
                <w:b/>
                <w:color w:val="FFFFFF" w:themeColor="background1"/>
                <w:sz w:val="16"/>
                <w:szCs w:val="16"/>
              </w:rPr>
              <w:t>_</w:t>
            </w:r>
          </w:p>
        </w:tc>
        <w:tc>
          <w:tcPr>
            <w:tcW w:w="970" w:type="dxa"/>
            <w:tcBorders>
              <w:top w:val="single" w:sz="4" w:space="0" w:color="auto"/>
              <w:left w:val="nil"/>
              <w:bottom w:val="single" w:sz="4" w:space="0" w:color="auto"/>
              <w:right w:val="nil"/>
            </w:tcBorders>
            <w:shd w:val="clear" w:color="auto" w:fill="auto"/>
          </w:tcPr>
          <w:p w14:paraId="35822BAF" w14:textId="3C801EE5" w:rsidR="00C7044F" w:rsidRPr="00E777DF" w:rsidRDefault="00E8069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 xml:space="preserve"> </w:t>
            </w:r>
            <w:r w:rsidR="00F77088" w:rsidRPr="00E777DF">
              <w:rPr>
                <w:rFonts w:ascii="Segoe UI" w:eastAsia="Times New Roman" w:hAnsi="Segoe UI" w:cs="Segoe UI"/>
                <w:color w:val="666666"/>
                <w:sz w:val="16"/>
                <w:szCs w:val="16"/>
              </w:rPr>
              <w:t>24</w:t>
            </w:r>
            <w:r w:rsidR="00573E7D" w:rsidRPr="00E777DF">
              <w:rPr>
                <w:rFonts w:ascii="Segoe UI" w:eastAsia="Times New Roman" w:hAnsi="Segoe UI" w:cs="Segoe UI"/>
                <w:color w:val="666666"/>
                <w:sz w:val="16"/>
                <w:szCs w:val="16"/>
              </w:rPr>
              <w:t>%</w:t>
            </w:r>
            <w:r w:rsidR="004E4D0C" w:rsidRPr="00E31AAC">
              <w:rPr>
                <w:rFonts w:ascii="Segoe UI" w:eastAsia="Times New Roman" w:hAnsi="Segoe UI" w:cs="Segoe UI"/>
                <w:b/>
                <w:color w:val="FFFFFF" w:themeColor="background1"/>
                <w:sz w:val="16"/>
                <w:szCs w:val="16"/>
              </w:rPr>
              <w:t>_</w:t>
            </w:r>
          </w:p>
        </w:tc>
        <w:tc>
          <w:tcPr>
            <w:tcW w:w="1046" w:type="dxa"/>
            <w:tcBorders>
              <w:top w:val="single" w:sz="4" w:space="0" w:color="auto"/>
              <w:left w:val="nil"/>
              <w:bottom w:val="single" w:sz="4" w:space="0" w:color="auto"/>
              <w:right w:val="nil"/>
            </w:tcBorders>
            <w:shd w:val="clear" w:color="auto" w:fill="auto"/>
          </w:tcPr>
          <w:p w14:paraId="5DD2AF44" w14:textId="7502698F" w:rsidR="00C7044F" w:rsidRPr="00E777DF" w:rsidRDefault="00F77088" w:rsidP="00E777DF">
            <w:pPr>
              <w:spacing w:after="40"/>
              <w:ind w:firstLine="82"/>
              <w:jc w:val="right"/>
              <w:rPr>
                <w:rFonts w:ascii="Segoe UI" w:eastAsia="Times New Roman" w:hAnsi="Segoe UI" w:cs="Segoe UI"/>
                <w:color w:val="666666"/>
                <w:sz w:val="16"/>
                <w:szCs w:val="16"/>
              </w:rPr>
            </w:pPr>
            <w:r w:rsidRPr="00E777DF">
              <w:rPr>
                <w:rFonts w:ascii="Segoe UI" w:eastAsia="Times New Roman" w:hAnsi="Segoe UI" w:cs="Segoe UI"/>
                <w:color w:val="666666"/>
                <w:sz w:val="16"/>
                <w:szCs w:val="16"/>
              </w:rPr>
              <w:t>25</w:t>
            </w:r>
            <w:r w:rsidR="00573E7D" w:rsidRPr="00E777DF">
              <w:rPr>
                <w:rFonts w:ascii="Segoe UI" w:eastAsia="Times New Roman" w:hAnsi="Segoe UI" w:cs="Segoe UI"/>
                <w:color w:val="666666"/>
                <w:sz w:val="16"/>
                <w:szCs w:val="16"/>
              </w:rPr>
              <w:t>%</w:t>
            </w:r>
            <w:r w:rsidR="00864091" w:rsidRPr="00E31AAC">
              <w:rPr>
                <w:rFonts w:ascii="Segoe UI" w:eastAsia="Times New Roman" w:hAnsi="Segoe UI" w:cs="Segoe UI"/>
                <w:b/>
                <w:color w:val="FFFFFF" w:themeColor="background1"/>
                <w:sz w:val="16"/>
                <w:szCs w:val="16"/>
              </w:rPr>
              <w:t>_</w:t>
            </w:r>
          </w:p>
        </w:tc>
      </w:tr>
    </w:tbl>
    <w:p w14:paraId="1C82D6AD" w14:textId="77777777" w:rsidR="0079525F" w:rsidRDefault="0079525F" w:rsidP="00C7044F">
      <w:pPr>
        <w:spacing w:before="240" w:after="40"/>
        <w:rPr>
          <w:rFonts w:ascii="Segoe UI" w:eastAsia="Times New Roman" w:hAnsi="Segoe UI" w:cs="Segoe UI"/>
          <w:b/>
          <w:bCs/>
          <w:color w:val="666666"/>
          <w:sz w:val="20"/>
          <w:szCs w:val="20"/>
        </w:rPr>
      </w:pPr>
    </w:p>
    <w:p w14:paraId="4501A229" w14:textId="25F0A8A7"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5316"/>
        <w:gridCol w:w="1887"/>
        <w:gridCol w:w="1880"/>
        <w:gridCol w:w="1883"/>
      </w:tblGrid>
      <w:tr w:rsidR="00C7044F" w:rsidRPr="00243400" w14:paraId="62313FD7" w14:textId="77777777" w:rsidTr="008D14D0">
        <w:trPr>
          <w:trHeight w:val="340"/>
        </w:trPr>
        <w:tc>
          <w:tcPr>
            <w:tcW w:w="4608"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03189C4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w:t>
            </w:r>
            <w:r w:rsidRPr="3A42354A">
              <w:rPr>
                <w:rFonts w:ascii="Segoe UI" w:eastAsia="Times New Roman" w:hAnsi="Segoe UI" w:cs="Segoe UI"/>
                <w:b/>
                <w:bCs/>
                <w:color w:val="666666"/>
                <w:sz w:val="16"/>
                <w:szCs w:val="16"/>
              </w:rPr>
              <w:t>,</w:t>
            </w:r>
          </w:p>
        </w:tc>
      </w:tr>
      <w:tr w:rsidR="00C7044F" w:rsidRPr="00243400" w14:paraId="18560DD9"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237454E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40EB2778"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BB04AC" w:rsidRPr="00243400" w14:paraId="273EA805" w14:textId="77777777" w:rsidTr="008D14D0">
        <w:trPr>
          <w:trHeight w:val="288"/>
        </w:trPr>
        <w:tc>
          <w:tcPr>
            <w:tcW w:w="4608" w:type="dxa"/>
            <w:tcBorders>
              <w:top w:val="single" w:sz="8" w:space="0" w:color="666666"/>
              <w:left w:val="nil"/>
              <w:bottom w:val="single" w:sz="4" w:space="0" w:color="auto"/>
              <w:right w:val="nil"/>
            </w:tcBorders>
            <w:noWrap/>
            <w:vAlign w:val="center"/>
          </w:tcPr>
          <w:p w14:paraId="385DFCD9" w14:textId="13C6CAF9" w:rsidR="00BB04AC" w:rsidRPr="00243400" w:rsidRDefault="00BB04AC" w:rsidP="00BB04AC">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08B9E175" w14:textId="681E5DD7" w:rsidR="00BB04AC" w:rsidRPr="007A1488" w:rsidRDefault="00BB04AC" w:rsidP="00BB04AC">
            <w:pPr>
              <w:spacing w:after="40"/>
              <w:ind w:firstLine="82"/>
              <w:jc w:val="right"/>
              <w:rPr>
                <w:rFonts w:ascii="Segoe UI" w:eastAsia="Times New Roman" w:hAnsi="Segoe UI" w:cs="Segoe UI"/>
                <w:b/>
                <w:bCs/>
                <w:color w:val="FFFFFF" w:themeColor="background1"/>
                <w:sz w:val="16"/>
                <w:szCs w:val="16"/>
              </w:rPr>
            </w:pPr>
            <w:r>
              <w:rPr>
                <w:rFonts w:ascii="Segoe UI" w:eastAsia="Times New Roman" w:hAnsi="Segoe UI" w:cs="Segoe UI"/>
                <w:b/>
                <w:color w:val="666666"/>
                <w:sz w:val="16"/>
                <w:szCs w:val="16"/>
              </w:rPr>
              <w:t>$11,047</w:t>
            </w:r>
            <w:r>
              <w:rPr>
                <w:rFonts w:ascii="Segoe UI" w:eastAsia="Times New Roman" w:hAnsi="Segoe UI" w:cs="Segoe UI"/>
                <w:b/>
                <w:color w:val="FFFFFF" w:themeColor="background1"/>
                <w:sz w:val="16"/>
                <w:szCs w:val="16"/>
              </w:rPr>
              <w:t>_</w:t>
            </w:r>
          </w:p>
        </w:tc>
        <w:tc>
          <w:tcPr>
            <w:tcW w:w="1629" w:type="dxa"/>
            <w:tcBorders>
              <w:top w:val="single" w:sz="8" w:space="0" w:color="666666"/>
              <w:left w:val="nil"/>
              <w:bottom w:val="single" w:sz="4" w:space="0" w:color="auto"/>
              <w:right w:val="nil"/>
            </w:tcBorders>
            <w:vAlign w:val="center"/>
          </w:tcPr>
          <w:p w14:paraId="5E0B0A10" w14:textId="3BEEE10C" w:rsidR="00BB04AC" w:rsidRPr="00D60058" w:rsidRDefault="00BB04AC" w:rsidP="00BB04AC">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$11,391</w:t>
            </w:r>
            <w:r>
              <w:rPr>
                <w:rFonts w:ascii="Segoe UI" w:eastAsia="Times New Roman" w:hAnsi="Segoe UI" w:cs="Segoe UI"/>
                <w:b/>
                <w:color w:val="FFFFFF" w:themeColor="background1"/>
                <w:sz w:val="16"/>
                <w:szCs w:val="16"/>
              </w:rPr>
              <w:t>_</w:t>
            </w:r>
          </w:p>
        </w:tc>
        <w:tc>
          <w:tcPr>
            <w:tcW w:w="1632" w:type="dxa"/>
            <w:tcBorders>
              <w:top w:val="single" w:sz="8" w:space="0" w:color="666666"/>
              <w:left w:val="nil"/>
              <w:bottom w:val="single" w:sz="4" w:space="0" w:color="auto"/>
              <w:right w:val="nil"/>
            </w:tcBorders>
            <w:vAlign w:val="center"/>
          </w:tcPr>
          <w:p w14:paraId="688DE95E" w14:textId="6593EEC0" w:rsidR="00BB04AC" w:rsidRPr="00D60058" w:rsidRDefault="00BB04AC" w:rsidP="00BB04AC">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$11,279</w:t>
            </w:r>
            <w:r>
              <w:rPr>
                <w:rFonts w:ascii="Segoe UI" w:eastAsia="Times New Roman" w:hAnsi="Segoe UI" w:cs="Segoe UI"/>
                <w:b/>
                <w:color w:val="FFFFFF" w:themeColor="background1"/>
                <w:sz w:val="16"/>
                <w:szCs w:val="16"/>
              </w:rPr>
              <w:t>_</w:t>
            </w:r>
          </w:p>
        </w:tc>
      </w:tr>
      <w:tr w:rsidR="00C7044F" w:rsidRPr="00243400" w14:paraId="7E221189" w14:textId="77777777" w:rsidTr="008D14D0">
        <w:trPr>
          <w:trHeight w:val="288"/>
        </w:trPr>
        <w:tc>
          <w:tcPr>
            <w:tcW w:w="4608" w:type="dxa"/>
            <w:tcBorders>
              <w:top w:val="single" w:sz="4" w:space="0" w:color="auto"/>
              <w:left w:val="nil"/>
              <w:bottom w:val="single" w:sz="4" w:space="0" w:color="auto"/>
              <w:right w:val="nil"/>
            </w:tcBorders>
            <w:noWrap/>
            <w:vAlign w:val="center"/>
          </w:tcPr>
          <w:p w14:paraId="29C09EBC" w14:textId="358AD02F" w:rsidR="00C7044F" w:rsidRPr="00BB04AC" w:rsidRDefault="00C7044F" w:rsidP="008D14D0">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w:t>
            </w:r>
            <w:r w:rsidR="00BB04AC" w:rsidRPr="00D65DCB">
              <w:rPr>
                <w:rFonts w:ascii="Segoe UI" w:eastAsia="Times New Roman" w:hAnsi="Segoe UI" w:cs="Segoe UI"/>
                <w:b/>
                <w:bCs/>
                <w:color w:val="666666"/>
                <w:sz w:val="16"/>
                <w:szCs w:val="16"/>
              </w:rPr>
              <w:t>20</w:t>
            </w:r>
            <w:r w:rsidRPr="00D65DCB">
              <w:rPr>
                <w:rFonts w:ascii="Segoe UI" w:eastAsia="Times New Roman" w:hAnsi="Segoe UI" w:cs="Segoe UI"/>
                <w:b/>
                <w:bCs/>
                <w:color w:val="666666"/>
                <w:sz w:val="16"/>
                <w:szCs w:val="16"/>
              </w:rPr>
              <w:t xml:space="preserve"> As Reported</w:t>
            </w:r>
            <w:r w:rsidRPr="00BB04AC">
              <w:rPr>
                <w:rFonts w:ascii="Segoe UI" w:eastAsia="Times New Roman" w:hAnsi="Segoe UI" w:cs="Segoe UI"/>
                <w:b/>
                <w:bCs/>
                <w:color w:val="FF0000"/>
                <w:sz w:val="16"/>
                <w:szCs w:val="16"/>
              </w:rPr>
              <w:t xml:space="preserve"> </w:t>
            </w:r>
          </w:p>
        </w:tc>
        <w:tc>
          <w:tcPr>
            <w:tcW w:w="1635" w:type="dxa"/>
            <w:tcBorders>
              <w:top w:val="single" w:sz="4" w:space="0" w:color="auto"/>
              <w:left w:val="nil"/>
              <w:bottom w:val="single" w:sz="4" w:space="0" w:color="auto"/>
              <w:right w:val="nil"/>
            </w:tcBorders>
            <w:vAlign w:val="center"/>
          </w:tcPr>
          <w:p w14:paraId="5D9660BF" w14:textId="206F4F58" w:rsidR="00C7044F" w:rsidRPr="00D65DCB" w:rsidRDefault="00C7044F" w:rsidP="008D14D0">
            <w:pPr>
              <w:spacing w:after="40"/>
              <w:ind w:firstLine="82"/>
              <w:jc w:val="right"/>
              <w:rPr>
                <w:rFonts w:ascii="Segoe UI" w:eastAsia="Times New Roman" w:hAnsi="Segoe UI" w:cs="Segoe UI"/>
                <w:b/>
                <w:color w:val="666666"/>
                <w:sz w:val="16"/>
                <w:szCs w:val="16"/>
              </w:rPr>
            </w:pPr>
            <w:r w:rsidRPr="00D65DCB">
              <w:rPr>
                <w:rFonts w:ascii="Segoe UI" w:eastAsia="Times New Roman" w:hAnsi="Segoe UI" w:cs="Segoe UI"/>
                <w:b/>
                <w:color w:val="666666"/>
                <w:sz w:val="16"/>
                <w:szCs w:val="16"/>
              </w:rPr>
              <w:t>$11,</w:t>
            </w:r>
            <w:r w:rsidR="008E1473" w:rsidRPr="00D65DCB">
              <w:rPr>
                <w:rFonts w:ascii="Segoe UI" w:eastAsia="Times New Roman" w:hAnsi="Segoe UI" w:cs="Segoe UI"/>
                <w:b/>
                <w:color w:val="666666"/>
                <w:sz w:val="16"/>
                <w:szCs w:val="16"/>
              </w:rPr>
              <w:t>752</w:t>
            </w:r>
            <w:r w:rsidRPr="009277BE">
              <w:rPr>
                <w:rFonts w:ascii="Segoe UI" w:eastAsia="Times New Roman" w:hAnsi="Segoe UI" w:cs="Segoe UI"/>
                <w:b/>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6D0A600B" w14:textId="3200DFC3" w:rsidR="00C7044F" w:rsidRPr="00D65DCB" w:rsidRDefault="00C7044F" w:rsidP="008D14D0">
            <w:pPr>
              <w:spacing w:after="40"/>
              <w:ind w:firstLine="82"/>
              <w:jc w:val="right"/>
              <w:rPr>
                <w:rFonts w:ascii="Segoe UI" w:eastAsia="Times New Roman" w:hAnsi="Segoe UI" w:cs="Segoe UI"/>
                <w:b/>
                <w:color w:val="666666"/>
                <w:sz w:val="16"/>
                <w:szCs w:val="16"/>
              </w:rPr>
            </w:pPr>
            <w:r w:rsidRPr="00D65DCB">
              <w:rPr>
                <w:rFonts w:ascii="Segoe UI" w:eastAsia="Times New Roman" w:hAnsi="Segoe UI" w:cs="Segoe UI"/>
                <w:b/>
                <w:color w:val="666666"/>
                <w:sz w:val="16"/>
                <w:szCs w:val="16"/>
              </w:rPr>
              <w:t>$1</w:t>
            </w:r>
            <w:r w:rsidR="00BE525E" w:rsidRPr="00D65DCB">
              <w:rPr>
                <w:rFonts w:ascii="Segoe UI" w:eastAsia="Times New Roman" w:hAnsi="Segoe UI" w:cs="Segoe UI"/>
                <w:b/>
                <w:color w:val="666666"/>
                <w:sz w:val="16"/>
                <w:szCs w:val="16"/>
              </w:rPr>
              <w:t>3</w:t>
            </w:r>
            <w:r w:rsidRPr="00D65DCB">
              <w:rPr>
                <w:rFonts w:ascii="Segoe UI" w:eastAsia="Times New Roman" w:hAnsi="Segoe UI" w:cs="Segoe UI"/>
                <w:b/>
                <w:color w:val="666666"/>
                <w:sz w:val="16"/>
                <w:szCs w:val="16"/>
              </w:rPr>
              <w:t>,3</w:t>
            </w:r>
            <w:r w:rsidR="00BE525E" w:rsidRPr="00D65DCB">
              <w:rPr>
                <w:rFonts w:ascii="Segoe UI" w:eastAsia="Times New Roman" w:hAnsi="Segoe UI" w:cs="Segoe UI"/>
                <w:b/>
                <w:color w:val="666666"/>
                <w:sz w:val="16"/>
                <w:szCs w:val="16"/>
              </w:rPr>
              <w:t>71</w:t>
            </w:r>
            <w:r w:rsidR="009277BE" w:rsidRPr="009277BE">
              <w:rPr>
                <w:rFonts w:ascii="Segoe UI" w:eastAsia="Times New Roman" w:hAnsi="Segoe UI" w:cs="Segoe UI"/>
                <w:b/>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42136BF9" w14:textId="7E905B59" w:rsidR="00C7044F" w:rsidRPr="00D65DCB" w:rsidRDefault="00C7044F" w:rsidP="008D14D0">
            <w:pPr>
              <w:spacing w:after="40"/>
              <w:ind w:firstLine="82"/>
              <w:jc w:val="right"/>
              <w:rPr>
                <w:rFonts w:ascii="Segoe UI" w:eastAsia="Times New Roman" w:hAnsi="Segoe UI" w:cs="Segoe UI"/>
                <w:b/>
                <w:color w:val="666666"/>
                <w:sz w:val="16"/>
                <w:szCs w:val="16"/>
              </w:rPr>
            </w:pPr>
            <w:r w:rsidRPr="00D65DCB">
              <w:rPr>
                <w:rFonts w:ascii="Segoe UI" w:eastAsia="Times New Roman" w:hAnsi="Segoe UI" w:cs="Segoe UI"/>
                <w:b/>
                <w:color w:val="666666"/>
                <w:sz w:val="16"/>
                <w:szCs w:val="16"/>
              </w:rPr>
              <w:t>$1</w:t>
            </w:r>
            <w:r w:rsidR="00BE525E" w:rsidRPr="00D65DCB">
              <w:rPr>
                <w:rFonts w:ascii="Segoe UI" w:eastAsia="Times New Roman" w:hAnsi="Segoe UI" w:cs="Segoe UI"/>
                <w:b/>
                <w:color w:val="666666"/>
                <w:sz w:val="16"/>
                <w:szCs w:val="16"/>
              </w:rPr>
              <w:t>2</w:t>
            </w:r>
            <w:r w:rsidRPr="00D65DCB">
              <w:rPr>
                <w:rFonts w:ascii="Segoe UI" w:eastAsia="Times New Roman" w:hAnsi="Segoe UI" w:cs="Segoe UI"/>
                <w:b/>
                <w:color w:val="666666"/>
                <w:sz w:val="16"/>
                <w:szCs w:val="16"/>
              </w:rPr>
              <w:t>,</w:t>
            </w:r>
            <w:r w:rsidR="00BE525E" w:rsidRPr="00D65DCB">
              <w:rPr>
                <w:rFonts w:ascii="Segoe UI" w:eastAsia="Times New Roman" w:hAnsi="Segoe UI" w:cs="Segoe UI"/>
                <w:b/>
                <w:color w:val="666666"/>
                <w:sz w:val="16"/>
                <w:szCs w:val="16"/>
              </w:rPr>
              <w:t>910</w:t>
            </w:r>
            <w:r w:rsidR="009277BE" w:rsidRPr="009277BE">
              <w:rPr>
                <w:rFonts w:ascii="Segoe UI" w:eastAsia="Times New Roman" w:hAnsi="Segoe UI" w:cs="Segoe UI"/>
                <w:b/>
                <w:color w:val="FFFFFF" w:themeColor="background1"/>
                <w:sz w:val="16"/>
                <w:szCs w:val="16"/>
              </w:rPr>
              <w:t>_</w:t>
            </w:r>
          </w:p>
        </w:tc>
      </w:tr>
      <w:tr w:rsidR="00C7044F" w:rsidRPr="00243400" w14:paraId="499189F7" w14:textId="77777777" w:rsidTr="008D14D0">
        <w:trPr>
          <w:trHeight w:val="288"/>
        </w:trPr>
        <w:tc>
          <w:tcPr>
            <w:tcW w:w="4608" w:type="dxa"/>
            <w:tcBorders>
              <w:top w:val="single" w:sz="4" w:space="0" w:color="auto"/>
              <w:left w:val="nil"/>
              <w:bottom w:val="single" w:sz="4" w:space="0" w:color="auto"/>
              <w:right w:val="nil"/>
            </w:tcBorders>
            <w:noWrap/>
            <w:vAlign w:val="center"/>
          </w:tcPr>
          <w:p w14:paraId="7C07AC0D" w14:textId="77777777" w:rsidR="00C7044F" w:rsidRPr="00BB04AC" w:rsidRDefault="00C7044F" w:rsidP="008D14D0">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BB04AC">
              <w:rPr>
                <w:rFonts w:ascii="Segoe UI" w:eastAsia="Times New Roman" w:hAnsi="Segoe UI" w:cs="Segoe UI"/>
                <w:color w:val="FF0000"/>
                <w:sz w:val="16"/>
                <w:szCs w:val="16"/>
              </w:rPr>
              <w:t xml:space="preserve"> </w:t>
            </w:r>
          </w:p>
        </w:tc>
        <w:tc>
          <w:tcPr>
            <w:tcW w:w="1635" w:type="dxa"/>
            <w:tcBorders>
              <w:top w:val="single" w:sz="4" w:space="0" w:color="auto"/>
              <w:left w:val="nil"/>
              <w:bottom w:val="single" w:sz="4" w:space="0" w:color="auto"/>
              <w:right w:val="nil"/>
            </w:tcBorders>
            <w:vAlign w:val="center"/>
          </w:tcPr>
          <w:p w14:paraId="4D607585" w14:textId="32F4966A"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6</w:t>
            </w:r>
            <w:r w:rsidR="00C7044F" w:rsidRPr="00D65DCB">
              <w:rPr>
                <w:rFonts w:ascii="Segoe UI" w:eastAsia="Times New Roman" w:hAnsi="Segoe UI" w:cs="Segoe UI"/>
                <w:color w:val="666666"/>
                <w:sz w:val="16"/>
                <w:szCs w:val="16"/>
              </w:rPr>
              <w:t>%</w:t>
            </w:r>
            <w:r w:rsidR="009277BE" w:rsidRPr="009277BE">
              <w:rPr>
                <w:rFonts w:ascii="Segoe UI" w:eastAsia="Times New Roman" w:hAnsi="Segoe UI" w:cs="Segoe UI"/>
                <w:b/>
                <w:color w:val="FFFFFF" w:themeColor="background1"/>
                <w:sz w:val="16"/>
                <w:szCs w:val="16"/>
              </w:rPr>
              <w:t>_</w:t>
            </w:r>
          </w:p>
        </w:tc>
        <w:tc>
          <w:tcPr>
            <w:tcW w:w="1629" w:type="dxa"/>
            <w:tcBorders>
              <w:top w:val="single" w:sz="4" w:space="0" w:color="auto"/>
              <w:left w:val="nil"/>
              <w:bottom w:val="single" w:sz="4" w:space="0" w:color="auto"/>
              <w:right w:val="nil"/>
            </w:tcBorders>
            <w:vAlign w:val="center"/>
          </w:tcPr>
          <w:p w14:paraId="08894078" w14:textId="3787ED84"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17</w:t>
            </w:r>
            <w:r w:rsidR="00C7044F" w:rsidRPr="00D65DCB">
              <w:rPr>
                <w:rFonts w:ascii="Segoe UI" w:eastAsia="Times New Roman" w:hAnsi="Segoe UI" w:cs="Segoe UI"/>
                <w:color w:val="666666"/>
                <w:sz w:val="16"/>
                <w:szCs w:val="16"/>
              </w:rPr>
              <w:t>%</w:t>
            </w:r>
            <w:r w:rsidR="009277BE" w:rsidRPr="009277BE">
              <w:rPr>
                <w:rFonts w:ascii="Segoe UI" w:eastAsia="Times New Roman" w:hAnsi="Segoe UI" w:cs="Segoe UI"/>
                <w:b/>
                <w:color w:val="FFFFFF" w:themeColor="background1"/>
                <w:sz w:val="16"/>
                <w:szCs w:val="16"/>
              </w:rPr>
              <w:t>_</w:t>
            </w:r>
          </w:p>
        </w:tc>
        <w:tc>
          <w:tcPr>
            <w:tcW w:w="1632" w:type="dxa"/>
            <w:tcBorders>
              <w:top w:val="single" w:sz="4" w:space="0" w:color="auto"/>
              <w:left w:val="nil"/>
              <w:bottom w:val="single" w:sz="4" w:space="0" w:color="auto"/>
              <w:right w:val="nil"/>
            </w:tcBorders>
            <w:vAlign w:val="center"/>
          </w:tcPr>
          <w:p w14:paraId="147AE435" w14:textId="13C35940"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1</w:t>
            </w:r>
            <w:r w:rsidR="00C7044F" w:rsidRPr="00D65DCB">
              <w:rPr>
                <w:rFonts w:ascii="Segoe UI" w:eastAsia="Times New Roman" w:hAnsi="Segoe UI" w:cs="Segoe UI"/>
                <w:color w:val="666666"/>
                <w:sz w:val="16"/>
                <w:szCs w:val="16"/>
              </w:rPr>
              <w:t>4%</w:t>
            </w:r>
            <w:r w:rsidR="009277BE" w:rsidRPr="009277BE">
              <w:rPr>
                <w:rFonts w:ascii="Segoe UI" w:eastAsia="Times New Roman" w:hAnsi="Segoe UI" w:cs="Segoe UI"/>
                <w:b/>
                <w:color w:val="FFFFFF" w:themeColor="background1"/>
                <w:sz w:val="16"/>
                <w:szCs w:val="16"/>
              </w:rPr>
              <w:t>_</w:t>
            </w:r>
          </w:p>
        </w:tc>
      </w:tr>
      <w:tr w:rsidR="00C7044F" w:rsidRPr="00243400" w14:paraId="51F2947F" w14:textId="77777777" w:rsidTr="008D14D0">
        <w:trPr>
          <w:trHeight w:val="288"/>
        </w:trPr>
        <w:tc>
          <w:tcPr>
            <w:tcW w:w="4608" w:type="dxa"/>
            <w:tcBorders>
              <w:top w:val="single" w:sz="4" w:space="0" w:color="auto"/>
              <w:left w:val="nil"/>
              <w:bottom w:val="single" w:sz="4" w:space="0" w:color="auto"/>
              <w:right w:val="nil"/>
            </w:tcBorders>
            <w:noWrap/>
            <w:vAlign w:val="center"/>
          </w:tcPr>
          <w:p w14:paraId="6F6691DC" w14:textId="77777777" w:rsidR="00C7044F" w:rsidRPr="00BB04AC"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4CF6898D" w14:textId="16403EC6" w:rsidR="00C7044F" w:rsidRPr="00481084" w:rsidRDefault="00C7044F" w:rsidP="008D14D0">
            <w:pPr>
              <w:spacing w:after="40"/>
              <w:ind w:firstLine="82"/>
              <w:jc w:val="right"/>
              <w:rPr>
                <w:rFonts w:ascii="Segoe UI" w:eastAsia="Times New Roman" w:hAnsi="Segoe UI" w:cs="Segoe UI"/>
                <w:b/>
                <w:color w:val="666666"/>
                <w:sz w:val="16"/>
                <w:szCs w:val="16"/>
              </w:rPr>
            </w:pPr>
            <w:r w:rsidRPr="00481084">
              <w:rPr>
                <w:rFonts w:ascii="Segoe UI" w:eastAsia="Times New Roman" w:hAnsi="Segoe UI" w:cs="Segoe UI"/>
                <w:b/>
                <w:color w:val="666666"/>
                <w:sz w:val="16"/>
                <w:szCs w:val="16"/>
              </w:rPr>
              <w:t>$(2</w:t>
            </w:r>
            <w:r w:rsidR="00B11C83" w:rsidRPr="00481084">
              <w:rPr>
                <w:rFonts w:ascii="Segoe UI" w:eastAsia="Times New Roman" w:hAnsi="Segoe UI" w:cs="Segoe UI"/>
                <w:b/>
                <w:color w:val="666666"/>
                <w:sz w:val="16"/>
                <w:szCs w:val="16"/>
              </w:rPr>
              <w:t>09</w:t>
            </w:r>
            <w:r w:rsidRPr="00481084">
              <w:rPr>
                <w:rFonts w:ascii="Segoe UI" w:eastAsia="Times New Roman" w:hAnsi="Segoe UI" w:cs="Segoe UI"/>
                <w:b/>
                <w:color w:val="666666"/>
                <w:sz w:val="16"/>
                <w:szCs w:val="16"/>
              </w:rPr>
              <w:t xml:space="preserve">) </w:t>
            </w:r>
          </w:p>
        </w:tc>
        <w:tc>
          <w:tcPr>
            <w:tcW w:w="1629" w:type="dxa"/>
            <w:tcBorders>
              <w:top w:val="single" w:sz="4" w:space="0" w:color="auto"/>
              <w:left w:val="nil"/>
              <w:bottom w:val="single" w:sz="4" w:space="0" w:color="auto"/>
              <w:right w:val="nil"/>
            </w:tcBorders>
            <w:vAlign w:val="center"/>
          </w:tcPr>
          <w:p w14:paraId="2907BDF7" w14:textId="62D27387" w:rsidR="00C7044F" w:rsidRPr="00481084" w:rsidRDefault="00C7044F" w:rsidP="008D14D0">
            <w:pPr>
              <w:spacing w:after="40"/>
              <w:ind w:firstLine="82"/>
              <w:jc w:val="right"/>
              <w:rPr>
                <w:rFonts w:ascii="Segoe UI" w:eastAsia="Times New Roman" w:hAnsi="Segoe UI" w:cs="Segoe UI"/>
                <w:b/>
                <w:color w:val="666666"/>
                <w:sz w:val="16"/>
                <w:szCs w:val="16"/>
              </w:rPr>
            </w:pPr>
            <w:r w:rsidRPr="00481084">
              <w:rPr>
                <w:rFonts w:ascii="Segoe UI" w:eastAsia="Times New Roman" w:hAnsi="Segoe UI" w:cs="Segoe UI"/>
                <w:b/>
                <w:color w:val="666666"/>
                <w:sz w:val="16"/>
                <w:szCs w:val="16"/>
              </w:rPr>
              <w:t>$(2</w:t>
            </w:r>
            <w:r w:rsidR="00B11C83" w:rsidRPr="00481084">
              <w:rPr>
                <w:rFonts w:ascii="Segoe UI" w:eastAsia="Times New Roman" w:hAnsi="Segoe UI" w:cs="Segoe UI"/>
                <w:b/>
                <w:color w:val="666666"/>
                <w:sz w:val="16"/>
                <w:szCs w:val="16"/>
              </w:rPr>
              <w:t>38</w:t>
            </w:r>
            <w:r w:rsidRPr="00481084">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290F7B1B" w14:textId="2653507A" w:rsidR="00C7044F" w:rsidRPr="00481084" w:rsidRDefault="00C7044F" w:rsidP="008D14D0">
            <w:pPr>
              <w:spacing w:after="40"/>
              <w:ind w:firstLine="82"/>
              <w:jc w:val="right"/>
              <w:rPr>
                <w:rFonts w:ascii="Segoe UI" w:eastAsia="Times New Roman" w:hAnsi="Segoe UI" w:cs="Segoe UI"/>
                <w:b/>
                <w:color w:val="666666"/>
                <w:sz w:val="16"/>
                <w:szCs w:val="16"/>
              </w:rPr>
            </w:pPr>
            <w:r w:rsidRPr="00481084">
              <w:rPr>
                <w:rFonts w:ascii="Segoe UI" w:eastAsia="Times New Roman" w:hAnsi="Segoe UI" w:cs="Segoe UI"/>
                <w:b/>
                <w:color w:val="666666"/>
                <w:sz w:val="16"/>
                <w:szCs w:val="16"/>
              </w:rPr>
              <w:t>$(1</w:t>
            </w:r>
            <w:r w:rsidR="00B11C83" w:rsidRPr="00481084">
              <w:rPr>
                <w:rFonts w:ascii="Segoe UI" w:eastAsia="Times New Roman" w:hAnsi="Segoe UI" w:cs="Segoe UI"/>
                <w:b/>
                <w:color w:val="666666"/>
                <w:sz w:val="16"/>
                <w:szCs w:val="16"/>
              </w:rPr>
              <w:t>5</w:t>
            </w:r>
            <w:r w:rsidRPr="00481084">
              <w:rPr>
                <w:rFonts w:ascii="Segoe UI" w:eastAsia="Times New Roman" w:hAnsi="Segoe UI" w:cs="Segoe UI"/>
                <w:b/>
                <w:color w:val="666666"/>
                <w:sz w:val="16"/>
                <w:szCs w:val="16"/>
              </w:rPr>
              <w:t>1)</w:t>
            </w:r>
          </w:p>
        </w:tc>
      </w:tr>
      <w:tr w:rsidR="00C7044F" w:rsidRPr="00243400" w14:paraId="7E20F4DE" w14:textId="77777777" w:rsidTr="008D14D0">
        <w:trPr>
          <w:trHeight w:val="288"/>
        </w:trPr>
        <w:tc>
          <w:tcPr>
            <w:tcW w:w="4608" w:type="dxa"/>
            <w:tcBorders>
              <w:top w:val="single" w:sz="4" w:space="0" w:color="auto"/>
              <w:left w:val="nil"/>
              <w:bottom w:val="single" w:sz="4" w:space="0" w:color="666666"/>
              <w:right w:val="nil"/>
            </w:tcBorders>
            <w:noWrap/>
            <w:vAlign w:val="center"/>
          </w:tcPr>
          <w:p w14:paraId="6237B63C" w14:textId="77777777" w:rsidR="00C7044F" w:rsidRPr="00D65DCB" w:rsidRDefault="00C7044F" w:rsidP="008D14D0">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vAlign w:val="center"/>
          </w:tcPr>
          <w:p w14:paraId="0E56FD6F" w14:textId="57A454CA"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8</w:t>
            </w:r>
            <w:r w:rsidR="00C7044F" w:rsidRPr="00D65DCB">
              <w:rPr>
                <w:rFonts w:ascii="Segoe UI" w:eastAsia="Times New Roman" w:hAnsi="Segoe UI" w:cs="Segoe UI"/>
                <w:color w:val="666666"/>
                <w:sz w:val="16"/>
                <w:szCs w:val="16"/>
              </w:rPr>
              <w:t>%</w:t>
            </w:r>
            <w:r w:rsidR="009277BE" w:rsidRPr="009277BE">
              <w:rPr>
                <w:rFonts w:ascii="Segoe UI" w:eastAsia="Times New Roman" w:hAnsi="Segoe UI" w:cs="Segoe UI"/>
                <w:b/>
                <w:color w:val="FFFFFF" w:themeColor="background1"/>
                <w:sz w:val="16"/>
                <w:szCs w:val="16"/>
              </w:rPr>
              <w:t>_</w:t>
            </w:r>
          </w:p>
        </w:tc>
        <w:tc>
          <w:tcPr>
            <w:tcW w:w="1629" w:type="dxa"/>
            <w:tcBorders>
              <w:top w:val="single" w:sz="4" w:space="0" w:color="auto"/>
              <w:left w:val="nil"/>
              <w:bottom w:val="single" w:sz="4" w:space="0" w:color="666666"/>
              <w:right w:val="nil"/>
            </w:tcBorders>
            <w:vAlign w:val="center"/>
          </w:tcPr>
          <w:p w14:paraId="3A453270" w14:textId="7A6FBA73"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19</w:t>
            </w:r>
            <w:r w:rsidR="00C7044F" w:rsidRPr="00D65DCB">
              <w:rPr>
                <w:rFonts w:ascii="Segoe UI" w:eastAsia="Times New Roman" w:hAnsi="Segoe UI" w:cs="Segoe UI"/>
                <w:color w:val="666666"/>
                <w:sz w:val="16"/>
                <w:szCs w:val="16"/>
              </w:rPr>
              <w:t>%</w:t>
            </w:r>
            <w:r w:rsidR="009277BE" w:rsidRPr="009277BE">
              <w:rPr>
                <w:rFonts w:ascii="Segoe UI" w:eastAsia="Times New Roman" w:hAnsi="Segoe UI" w:cs="Segoe UI"/>
                <w:b/>
                <w:color w:val="FFFFFF" w:themeColor="background1"/>
                <w:sz w:val="16"/>
                <w:szCs w:val="16"/>
              </w:rPr>
              <w:t>_</w:t>
            </w:r>
          </w:p>
        </w:tc>
        <w:tc>
          <w:tcPr>
            <w:tcW w:w="1632" w:type="dxa"/>
            <w:tcBorders>
              <w:top w:val="single" w:sz="4" w:space="0" w:color="auto"/>
              <w:left w:val="nil"/>
              <w:bottom w:val="single" w:sz="4" w:space="0" w:color="666666"/>
              <w:right w:val="nil"/>
            </w:tcBorders>
            <w:vAlign w:val="center"/>
          </w:tcPr>
          <w:p w14:paraId="0BACC57D" w14:textId="663969E5" w:rsidR="00C7044F" w:rsidRPr="00D65DCB" w:rsidRDefault="00D65DCB" w:rsidP="008D14D0">
            <w:pPr>
              <w:spacing w:after="40"/>
              <w:jc w:val="right"/>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16</w:t>
            </w:r>
            <w:r w:rsidR="00C7044F" w:rsidRPr="00D65DCB">
              <w:rPr>
                <w:rFonts w:ascii="Segoe UI" w:eastAsia="Times New Roman" w:hAnsi="Segoe UI" w:cs="Segoe UI"/>
                <w:color w:val="666666"/>
                <w:sz w:val="16"/>
                <w:szCs w:val="16"/>
              </w:rPr>
              <w:t>%</w:t>
            </w:r>
            <w:r w:rsidR="009277BE" w:rsidRPr="009277BE">
              <w:rPr>
                <w:rFonts w:ascii="Segoe UI" w:eastAsia="Times New Roman" w:hAnsi="Segoe UI" w:cs="Segoe UI"/>
                <w:b/>
                <w:color w:val="FFFFFF" w:themeColor="background1"/>
                <w:sz w:val="16"/>
                <w:szCs w:val="16"/>
              </w:rPr>
              <w:t>_</w:t>
            </w:r>
          </w:p>
        </w:tc>
      </w:tr>
    </w:tbl>
    <w:p w14:paraId="7C72F952" w14:textId="77777777" w:rsidR="0079525F" w:rsidRDefault="0079525F" w:rsidP="00C7044F">
      <w:pPr>
        <w:spacing w:before="240" w:after="40"/>
        <w:rPr>
          <w:rFonts w:ascii="Segoe UI" w:eastAsia="Times New Roman" w:hAnsi="Segoe UI" w:cs="Segoe UI"/>
          <w:b/>
          <w:bCs/>
          <w:color w:val="666666"/>
          <w:sz w:val="20"/>
          <w:szCs w:val="20"/>
        </w:rPr>
      </w:pPr>
    </w:p>
    <w:p w14:paraId="123C14A5" w14:textId="77777777" w:rsidR="0079525F" w:rsidRDefault="0079525F">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36044AAC" w14:textId="61D3B7B9" w:rsidR="00C7044F" w:rsidRPr="00243400" w:rsidRDefault="00C7044F" w:rsidP="00C7044F">
      <w:pPr>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5316"/>
        <w:gridCol w:w="1887"/>
        <w:gridCol w:w="1880"/>
        <w:gridCol w:w="1883"/>
      </w:tblGrid>
      <w:tr w:rsidR="00C7044F" w:rsidRPr="00243400" w14:paraId="5C822F3C" w14:textId="77777777" w:rsidTr="008D14D0">
        <w:trPr>
          <w:trHeight w:val="340"/>
        </w:trPr>
        <w:tc>
          <w:tcPr>
            <w:tcW w:w="4608"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7B99F613" w14:textId="754B92DB"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June 30, 20</w:t>
            </w:r>
            <w:r w:rsidR="009B0047">
              <w:rPr>
                <w:rFonts w:ascii="Segoe UI" w:eastAsia="Times New Roman" w:hAnsi="Segoe UI" w:cs="Segoe UI"/>
                <w:b/>
                <w:bCs/>
                <w:color w:val="666666"/>
                <w:sz w:val="16"/>
                <w:szCs w:val="16"/>
              </w:rPr>
              <w:t>20</w:t>
            </w:r>
          </w:p>
        </w:tc>
      </w:tr>
      <w:tr w:rsidR="00C7044F" w:rsidRPr="00243400" w14:paraId="4D0B0A90" w14:textId="77777777" w:rsidTr="008D14D0">
        <w:trPr>
          <w:trHeight w:val="432"/>
        </w:trPr>
        <w:tc>
          <w:tcPr>
            <w:tcW w:w="4608"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524F7367"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1548A7" w:rsidRPr="00243400" w14:paraId="210A9D4B" w14:textId="77777777" w:rsidTr="008D14D0">
        <w:trPr>
          <w:trHeight w:val="288"/>
        </w:trPr>
        <w:tc>
          <w:tcPr>
            <w:tcW w:w="4608" w:type="dxa"/>
            <w:tcBorders>
              <w:top w:val="single" w:sz="8" w:space="0" w:color="666666"/>
              <w:left w:val="nil"/>
              <w:bottom w:val="single" w:sz="4" w:space="0" w:color="auto"/>
              <w:right w:val="nil"/>
            </w:tcBorders>
            <w:noWrap/>
            <w:vAlign w:val="center"/>
          </w:tcPr>
          <w:p w14:paraId="3BA10F7A" w14:textId="65EFAFA0"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35" w:type="dxa"/>
            <w:tcBorders>
              <w:top w:val="single" w:sz="8" w:space="0" w:color="666666"/>
              <w:left w:val="nil"/>
              <w:bottom w:val="single" w:sz="4" w:space="0" w:color="auto"/>
              <w:right w:val="nil"/>
            </w:tcBorders>
            <w:vAlign w:val="center"/>
          </w:tcPr>
          <w:p w14:paraId="2CDB9B01" w14:textId="0F863077" w:rsidR="001548A7" w:rsidRPr="00343FC8" w:rsidRDefault="00546C1D"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5</w:t>
            </w:r>
            <w:r w:rsidR="001548A7" w:rsidRPr="00343FC8">
              <w:rPr>
                <w:rFonts w:ascii="Segoe UI" w:eastAsia="Times New Roman" w:hAnsi="Segoe UI" w:cs="Segoe UI"/>
                <w:b/>
                <w:bCs/>
                <w:color w:val="666666"/>
                <w:sz w:val="16"/>
                <w:szCs w:val="16"/>
              </w:rPr>
              <w:t>%</w:t>
            </w:r>
          </w:p>
        </w:tc>
        <w:tc>
          <w:tcPr>
            <w:tcW w:w="1629" w:type="dxa"/>
            <w:tcBorders>
              <w:top w:val="single" w:sz="8" w:space="0" w:color="666666"/>
              <w:left w:val="nil"/>
              <w:bottom w:val="single" w:sz="4" w:space="0" w:color="auto"/>
              <w:right w:val="nil"/>
            </w:tcBorders>
            <w:vAlign w:val="center"/>
          </w:tcPr>
          <w:p w14:paraId="7FD64D7A"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p>
        </w:tc>
        <w:tc>
          <w:tcPr>
            <w:tcW w:w="1632" w:type="dxa"/>
            <w:tcBorders>
              <w:top w:val="single" w:sz="8" w:space="0" w:color="666666"/>
              <w:left w:val="nil"/>
              <w:bottom w:val="single" w:sz="4" w:space="0" w:color="auto"/>
              <w:right w:val="nil"/>
            </w:tcBorders>
            <w:vAlign w:val="center"/>
          </w:tcPr>
          <w:p w14:paraId="5B673289" w14:textId="0F5AA802" w:rsidR="001548A7" w:rsidRPr="00343FC8" w:rsidRDefault="00546C1D"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7</w:t>
            </w:r>
            <w:r w:rsidR="001548A7" w:rsidRPr="00343FC8">
              <w:rPr>
                <w:rFonts w:ascii="Segoe UI" w:eastAsia="Times New Roman" w:hAnsi="Segoe UI" w:cs="Segoe UI"/>
                <w:b/>
                <w:bCs/>
                <w:color w:val="666666"/>
                <w:sz w:val="16"/>
                <w:szCs w:val="16"/>
              </w:rPr>
              <w:t>%</w:t>
            </w:r>
          </w:p>
        </w:tc>
      </w:tr>
      <w:tr w:rsidR="001548A7" w:rsidRPr="00243400" w14:paraId="70F37258" w14:textId="77777777" w:rsidTr="008D14D0">
        <w:trPr>
          <w:trHeight w:val="288"/>
        </w:trPr>
        <w:tc>
          <w:tcPr>
            <w:tcW w:w="4608" w:type="dxa"/>
            <w:tcBorders>
              <w:top w:val="single" w:sz="4" w:space="0" w:color="auto"/>
              <w:left w:val="nil"/>
              <w:bottom w:val="single" w:sz="4" w:space="0" w:color="auto"/>
              <w:right w:val="nil"/>
            </w:tcBorders>
            <w:noWrap/>
            <w:vAlign w:val="center"/>
          </w:tcPr>
          <w:p w14:paraId="2F4112D3" w14:textId="027AC787"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35" w:type="dxa"/>
            <w:tcBorders>
              <w:top w:val="single" w:sz="4" w:space="0" w:color="auto"/>
              <w:left w:val="nil"/>
              <w:bottom w:val="single" w:sz="4" w:space="0" w:color="auto"/>
              <w:right w:val="nil"/>
            </w:tcBorders>
            <w:vAlign w:val="center"/>
          </w:tcPr>
          <w:p w14:paraId="6E7BF48D" w14:textId="49C66E87" w:rsidR="001548A7" w:rsidRPr="00343FC8" w:rsidRDefault="00546C1D"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19</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461C580" w14:textId="38677DBE" w:rsidR="001548A7" w:rsidRPr="00343FC8" w:rsidRDefault="005B71DB"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55E29824" w14:textId="09C5064A" w:rsidR="001548A7" w:rsidRPr="00343FC8" w:rsidRDefault="00546C1D"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22</w:t>
            </w:r>
            <w:r w:rsidR="001548A7" w:rsidRPr="00343FC8">
              <w:rPr>
                <w:rFonts w:ascii="Segoe UI" w:eastAsia="Times New Roman" w:hAnsi="Segoe UI" w:cs="Segoe UI"/>
                <w:b/>
                <w:bCs/>
                <w:color w:val="666666"/>
                <w:sz w:val="16"/>
                <w:szCs w:val="16"/>
              </w:rPr>
              <w:t>%</w:t>
            </w:r>
          </w:p>
        </w:tc>
      </w:tr>
      <w:tr w:rsidR="001548A7" w:rsidRPr="00243400" w14:paraId="7BBDFF8B" w14:textId="77777777" w:rsidTr="008D14D0">
        <w:trPr>
          <w:trHeight w:val="288"/>
        </w:trPr>
        <w:tc>
          <w:tcPr>
            <w:tcW w:w="4608" w:type="dxa"/>
            <w:tcBorders>
              <w:top w:val="single" w:sz="4" w:space="0" w:color="auto"/>
              <w:left w:val="nil"/>
              <w:bottom w:val="single" w:sz="4" w:space="0" w:color="auto"/>
              <w:right w:val="nil"/>
            </w:tcBorders>
            <w:noWrap/>
            <w:vAlign w:val="center"/>
          </w:tcPr>
          <w:p w14:paraId="46768EEF" w14:textId="6B2F444E"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35" w:type="dxa"/>
            <w:tcBorders>
              <w:top w:val="single" w:sz="4" w:space="0" w:color="auto"/>
              <w:left w:val="nil"/>
              <w:bottom w:val="single" w:sz="4" w:space="0" w:color="auto"/>
              <w:right w:val="nil"/>
            </w:tcBorders>
            <w:vAlign w:val="center"/>
          </w:tcPr>
          <w:p w14:paraId="4D562F21"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6%</w:t>
            </w:r>
          </w:p>
        </w:tc>
        <w:tc>
          <w:tcPr>
            <w:tcW w:w="1629" w:type="dxa"/>
            <w:tcBorders>
              <w:top w:val="single" w:sz="4" w:space="0" w:color="auto"/>
              <w:left w:val="nil"/>
              <w:bottom w:val="single" w:sz="4" w:space="0" w:color="auto"/>
              <w:right w:val="nil"/>
            </w:tcBorders>
            <w:vAlign w:val="center"/>
          </w:tcPr>
          <w:p w14:paraId="7E5AE9B0" w14:textId="0DB226A3"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00C409F0" w14:textId="1E964857"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7</w:t>
            </w:r>
            <w:r w:rsidR="001548A7" w:rsidRPr="00343FC8">
              <w:rPr>
                <w:rFonts w:ascii="Segoe UI" w:eastAsia="Times New Roman" w:hAnsi="Segoe UI" w:cs="Segoe UI"/>
                <w:b/>
                <w:bCs/>
                <w:color w:val="666666"/>
                <w:sz w:val="16"/>
                <w:szCs w:val="16"/>
              </w:rPr>
              <w:t>%</w:t>
            </w:r>
          </w:p>
        </w:tc>
      </w:tr>
      <w:tr w:rsidR="001548A7" w:rsidRPr="00243400" w14:paraId="685754C7" w14:textId="77777777" w:rsidTr="008D14D0">
        <w:trPr>
          <w:trHeight w:val="288"/>
        </w:trPr>
        <w:tc>
          <w:tcPr>
            <w:tcW w:w="4608" w:type="dxa"/>
            <w:tcBorders>
              <w:top w:val="single" w:sz="4" w:space="0" w:color="auto"/>
              <w:left w:val="nil"/>
              <w:bottom w:val="single" w:sz="4" w:space="0" w:color="auto"/>
              <w:right w:val="nil"/>
            </w:tcBorders>
            <w:noWrap/>
            <w:vAlign w:val="center"/>
          </w:tcPr>
          <w:p w14:paraId="43018304" w14:textId="64FD25BA" w:rsidR="001548A7" w:rsidRPr="3A42354A" w:rsidRDefault="001548A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2C0BF7B6" w14:textId="1F153495"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10</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622AD0FD" w14:textId="06EB5439"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FA06BE1" w14:textId="6842162F"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11</w:t>
            </w:r>
            <w:r w:rsidR="001548A7" w:rsidRPr="00343FC8">
              <w:rPr>
                <w:rFonts w:ascii="Segoe UI" w:eastAsia="Times New Roman" w:hAnsi="Segoe UI" w:cs="Segoe UI"/>
                <w:b/>
                <w:bCs/>
                <w:color w:val="666666"/>
                <w:sz w:val="16"/>
                <w:szCs w:val="16"/>
              </w:rPr>
              <w:t>%</w:t>
            </w:r>
          </w:p>
        </w:tc>
      </w:tr>
      <w:tr w:rsidR="001548A7" w:rsidRPr="00243400" w14:paraId="35EDBB83" w14:textId="77777777" w:rsidTr="008D14D0">
        <w:trPr>
          <w:trHeight w:val="288"/>
        </w:trPr>
        <w:tc>
          <w:tcPr>
            <w:tcW w:w="4608" w:type="dxa"/>
            <w:tcBorders>
              <w:top w:val="single" w:sz="4" w:space="0" w:color="auto"/>
              <w:left w:val="nil"/>
              <w:bottom w:val="single" w:sz="4" w:space="0" w:color="auto"/>
              <w:right w:val="nil"/>
            </w:tcBorders>
            <w:noWrap/>
            <w:vAlign w:val="center"/>
          </w:tcPr>
          <w:p w14:paraId="795C3F6A" w14:textId="4E683034"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62F9BFA4" w14:textId="7603F56F"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w:t>
            </w:r>
            <w:r w:rsidR="00957776" w:rsidRPr="00343FC8">
              <w:rPr>
                <w:rFonts w:ascii="Segoe UI" w:eastAsia="Times New Roman" w:hAnsi="Segoe UI" w:cs="Segoe UI"/>
                <w:b/>
                <w:bCs/>
                <w:color w:val="666666"/>
                <w:sz w:val="16"/>
                <w:szCs w:val="16"/>
              </w:rPr>
              <w:t>3</w:t>
            </w:r>
            <w:r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239D36B" w14:textId="3AC5059A"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F70655F"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15%</w:t>
            </w:r>
          </w:p>
        </w:tc>
      </w:tr>
      <w:tr w:rsidR="001548A7" w:rsidRPr="00243400" w14:paraId="0138BA01" w14:textId="77777777" w:rsidTr="008D14D0">
        <w:trPr>
          <w:trHeight w:val="288"/>
        </w:trPr>
        <w:tc>
          <w:tcPr>
            <w:tcW w:w="4608" w:type="dxa"/>
            <w:tcBorders>
              <w:top w:val="single" w:sz="4" w:space="0" w:color="auto"/>
              <w:left w:val="nil"/>
              <w:bottom w:val="single" w:sz="4" w:space="0" w:color="auto"/>
              <w:right w:val="nil"/>
            </w:tcBorders>
            <w:noWrap/>
            <w:vAlign w:val="center"/>
          </w:tcPr>
          <w:p w14:paraId="7C3F6DCC" w14:textId="4F07270B"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286429D1" w14:textId="4260A9F3" w:rsidR="001548A7" w:rsidRPr="00343FC8" w:rsidRDefault="00957776"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38</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25A4F066" w14:textId="493B0C2C" w:rsidR="001548A7" w:rsidRPr="00343FC8" w:rsidRDefault="003343AD"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2</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43A738BE" w14:textId="077E2FD3" w:rsidR="001548A7" w:rsidRPr="00343FC8" w:rsidRDefault="003343AD" w:rsidP="001548A7">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40</w:t>
            </w:r>
            <w:r w:rsidR="001548A7" w:rsidRPr="00343FC8">
              <w:rPr>
                <w:rFonts w:ascii="Segoe UI" w:eastAsia="Times New Roman" w:hAnsi="Segoe UI" w:cs="Segoe UI"/>
                <w:b/>
                <w:bCs/>
                <w:color w:val="666666"/>
                <w:sz w:val="16"/>
                <w:szCs w:val="16"/>
              </w:rPr>
              <w:t>%</w:t>
            </w:r>
          </w:p>
        </w:tc>
      </w:tr>
      <w:tr w:rsidR="001548A7" w:rsidRPr="00243400" w14:paraId="40D837B4" w14:textId="77777777" w:rsidTr="008D14D0">
        <w:trPr>
          <w:trHeight w:val="288"/>
        </w:trPr>
        <w:tc>
          <w:tcPr>
            <w:tcW w:w="4608" w:type="dxa"/>
            <w:tcBorders>
              <w:top w:val="single" w:sz="4" w:space="0" w:color="auto"/>
              <w:left w:val="nil"/>
              <w:bottom w:val="single" w:sz="4" w:space="0" w:color="auto"/>
              <w:right w:val="nil"/>
            </w:tcBorders>
            <w:noWrap/>
            <w:vAlign w:val="center"/>
          </w:tcPr>
          <w:p w14:paraId="784457D4" w14:textId="032C8B7F"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70EA6B4E" w14:textId="03E9470B" w:rsidR="001548A7" w:rsidRPr="00343FC8" w:rsidRDefault="007C3312"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19</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6C238E7D"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p>
        </w:tc>
        <w:tc>
          <w:tcPr>
            <w:tcW w:w="1632" w:type="dxa"/>
            <w:tcBorders>
              <w:top w:val="single" w:sz="4" w:space="0" w:color="auto"/>
              <w:left w:val="nil"/>
              <w:bottom w:val="single" w:sz="4" w:space="0" w:color="auto"/>
              <w:right w:val="nil"/>
            </w:tcBorders>
            <w:vAlign w:val="center"/>
          </w:tcPr>
          <w:p w14:paraId="2B1E34B1" w14:textId="54A36D30"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r w:rsidR="007C3312" w:rsidRPr="00343FC8">
              <w:rPr>
                <w:rFonts w:ascii="Segoe UI" w:eastAsia="Times New Roman" w:hAnsi="Segoe UI" w:cs="Segoe UI"/>
                <w:b/>
                <w:bCs/>
                <w:color w:val="666666"/>
                <w:sz w:val="16"/>
                <w:szCs w:val="16"/>
              </w:rPr>
              <w:t>1</w:t>
            </w:r>
            <w:r w:rsidRPr="00343FC8">
              <w:rPr>
                <w:rFonts w:ascii="Segoe UI" w:eastAsia="Times New Roman" w:hAnsi="Segoe UI" w:cs="Segoe UI"/>
                <w:b/>
                <w:bCs/>
                <w:color w:val="666666"/>
                <w:sz w:val="16"/>
                <w:szCs w:val="16"/>
              </w:rPr>
              <w:t>%</w:t>
            </w:r>
          </w:p>
        </w:tc>
      </w:tr>
      <w:tr w:rsidR="001548A7" w:rsidRPr="00DB3300" w14:paraId="39CBD79B" w14:textId="77777777" w:rsidTr="008D14D0">
        <w:trPr>
          <w:trHeight w:val="288"/>
        </w:trPr>
        <w:tc>
          <w:tcPr>
            <w:tcW w:w="4608" w:type="dxa"/>
            <w:tcBorders>
              <w:top w:val="single" w:sz="4" w:space="0" w:color="auto"/>
              <w:left w:val="nil"/>
              <w:bottom w:val="single" w:sz="4" w:space="0" w:color="auto"/>
              <w:right w:val="nil"/>
            </w:tcBorders>
            <w:noWrap/>
            <w:vAlign w:val="center"/>
          </w:tcPr>
          <w:p w14:paraId="41DDC038" w14:textId="413C0841"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7323F749" w14:textId="4931B2A0"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47</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45D2AEA5" w14:textId="6713AA3A"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3</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3E82C4FC" w14:textId="04CAC3EB"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50</w:t>
            </w:r>
            <w:r w:rsidR="001548A7" w:rsidRPr="00343FC8">
              <w:rPr>
                <w:rFonts w:ascii="Segoe UI" w:eastAsia="Times New Roman" w:hAnsi="Segoe UI" w:cs="Segoe UI"/>
                <w:b/>
                <w:bCs/>
                <w:color w:val="666666"/>
                <w:sz w:val="16"/>
                <w:szCs w:val="16"/>
              </w:rPr>
              <w:t>%</w:t>
            </w:r>
          </w:p>
        </w:tc>
      </w:tr>
      <w:tr w:rsidR="001548A7" w:rsidRPr="00243400" w14:paraId="7A43330A" w14:textId="77777777" w:rsidTr="008D14D0">
        <w:trPr>
          <w:trHeight w:val="288"/>
        </w:trPr>
        <w:tc>
          <w:tcPr>
            <w:tcW w:w="4608" w:type="dxa"/>
            <w:tcBorders>
              <w:top w:val="single" w:sz="4" w:space="0" w:color="auto"/>
              <w:left w:val="nil"/>
              <w:bottom w:val="single" w:sz="4" w:space="0" w:color="auto"/>
              <w:right w:val="nil"/>
            </w:tcBorders>
            <w:noWrap/>
            <w:vAlign w:val="center"/>
          </w:tcPr>
          <w:p w14:paraId="5C1B29E7" w14:textId="4C2C74D1"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19235F88" w14:textId="09A0FD56"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0</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7D14AB5C"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p>
        </w:tc>
        <w:tc>
          <w:tcPr>
            <w:tcW w:w="1632" w:type="dxa"/>
            <w:tcBorders>
              <w:top w:val="single" w:sz="4" w:space="0" w:color="auto"/>
              <w:left w:val="nil"/>
              <w:bottom w:val="single" w:sz="4" w:space="0" w:color="auto"/>
              <w:right w:val="nil"/>
            </w:tcBorders>
            <w:vAlign w:val="center"/>
          </w:tcPr>
          <w:p w14:paraId="1CFEE927" w14:textId="6DCD7D2B"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r w:rsidR="001548A7" w:rsidRPr="00343FC8">
              <w:rPr>
                <w:rFonts w:ascii="Segoe UI" w:eastAsia="Times New Roman" w:hAnsi="Segoe UI" w:cs="Segoe UI"/>
                <w:b/>
                <w:bCs/>
                <w:color w:val="666666"/>
                <w:sz w:val="16"/>
                <w:szCs w:val="16"/>
              </w:rPr>
              <w:t>%</w:t>
            </w:r>
          </w:p>
        </w:tc>
      </w:tr>
      <w:tr w:rsidR="001548A7" w:rsidRPr="00243400" w14:paraId="5C169136" w14:textId="77777777" w:rsidTr="008D14D0">
        <w:trPr>
          <w:trHeight w:val="288"/>
        </w:trPr>
        <w:tc>
          <w:tcPr>
            <w:tcW w:w="4608" w:type="dxa"/>
            <w:tcBorders>
              <w:top w:val="single" w:sz="4" w:space="0" w:color="auto"/>
              <w:left w:val="nil"/>
              <w:bottom w:val="single" w:sz="4" w:space="0" w:color="auto"/>
              <w:right w:val="nil"/>
            </w:tcBorders>
            <w:noWrap/>
            <w:vAlign w:val="center"/>
          </w:tcPr>
          <w:p w14:paraId="7F09F779" w14:textId="349EA9D3"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3C67CC14" w14:textId="7F2798DF"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7</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750CDD20" w14:textId="77777777" w:rsidR="001548A7" w:rsidRPr="00343FC8" w:rsidRDefault="001548A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0%</w:t>
            </w:r>
          </w:p>
        </w:tc>
        <w:tc>
          <w:tcPr>
            <w:tcW w:w="1632" w:type="dxa"/>
            <w:tcBorders>
              <w:top w:val="single" w:sz="4" w:space="0" w:color="auto"/>
              <w:left w:val="nil"/>
              <w:bottom w:val="single" w:sz="4" w:space="0" w:color="auto"/>
              <w:right w:val="nil"/>
            </w:tcBorders>
            <w:vAlign w:val="center"/>
          </w:tcPr>
          <w:p w14:paraId="098C07DE" w14:textId="5A21EFB5"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7</w:t>
            </w:r>
            <w:r w:rsidR="001548A7" w:rsidRPr="00343FC8">
              <w:rPr>
                <w:rFonts w:ascii="Segoe UI" w:eastAsia="Times New Roman" w:hAnsi="Segoe UI" w:cs="Segoe UI"/>
                <w:b/>
                <w:bCs/>
                <w:color w:val="666666"/>
                <w:sz w:val="16"/>
                <w:szCs w:val="16"/>
              </w:rPr>
              <w:t>%</w:t>
            </w:r>
          </w:p>
        </w:tc>
      </w:tr>
      <w:tr w:rsidR="001548A7" w:rsidRPr="00243400" w14:paraId="1157FC0B" w14:textId="77777777" w:rsidTr="008D14D0">
        <w:trPr>
          <w:trHeight w:val="288"/>
        </w:trPr>
        <w:tc>
          <w:tcPr>
            <w:tcW w:w="4608" w:type="dxa"/>
            <w:tcBorders>
              <w:top w:val="single" w:sz="4" w:space="0" w:color="auto"/>
              <w:left w:val="nil"/>
              <w:bottom w:val="single" w:sz="4" w:space="0" w:color="auto"/>
              <w:right w:val="nil"/>
            </w:tcBorders>
            <w:noWrap/>
            <w:vAlign w:val="center"/>
          </w:tcPr>
          <w:p w14:paraId="68CD9BFB" w14:textId="1E07811A" w:rsidR="001548A7" w:rsidRPr="00243400"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35" w:type="dxa"/>
            <w:tcBorders>
              <w:top w:val="single" w:sz="4" w:space="0" w:color="auto"/>
              <w:left w:val="nil"/>
              <w:bottom w:val="single" w:sz="4" w:space="0" w:color="auto"/>
              <w:right w:val="nil"/>
            </w:tcBorders>
            <w:vAlign w:val="center"/>
          </w:tcPr>
          <w:p w14:paraId="32E5E472" w14:textId="0AFE91A9"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9</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3879B159" w14:textId="608CCFA3"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2F956532" w14:textId="7C0E46F3" w:rsidR="001548A7" w:rsidRPr="00343FC8" w:rsidRDefault="0046204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11</w:t>
            </w:r>
            <w:r w:rsidR="001548A7" w:rsidRPr="00343FC8">
              <w:rPr>
                <w:rFonts w:ascii="Segoe UI" w:eastAsia="Times New Roman" w:hAnsi="Segoe UI" w:cs="Segoe UI"/>
                <w:b/>
                <w:bCs/>
                <w:color w:val="666666"/>
                <w:sz w:val="16"/>
                <w:szCs w:val="16"/>
              </w:rPr>
              <w:t>%</w:t>
            </w:r>
          </w:p>
        </w:tc>
      </w:tr>
      <w:tr w:rsidR="008210D1" w:rsidRPr="00243400" w14:paraId="536F34CA" w14:textId="77777777" w:rsidTr="008D14D0">
        <w:trPr>
          <w:trHeight w:val="288"/>
        </w:trPr>
        <w:tc>
          <w:tcPr>
            <w:tcW w:w="4608" w:type="dxa"/>
            <w:tcBorders>
              <w:top w:val="single" w:sz="4" w:space="0" w:color="auto"/>
              <w:left w:val="nil"/>
              <w:bottom w:val="single" w:sz="4" w:space="0" w:color="auto"/>
              <w:right w:val="nil"/>
            </w:tcBorders>
            <w:noWrap/>
            <w:vAlign w:val="center"/>
          </w:tcPr>
          <w:p w14:paraId="65F3B713" w14:textId="6326F223" w:rsidR="008210D1" w:rsidRDefault="008210D1" w:rsidP="008210D1">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635" w:type="dxa"/>
            <w:tcBorders>
              <w:top w:val="single" w:sz="4" w:space="0" w:color="auto"/>
              <w:left w:val="nil"/>
              <w:bottom w:val="single" w:sz="4" w:space="0" w:color="auto"/>
              <w:right w:val="nil"/>
            </w:tcBorders>
            <w:vAlign w:val="center"/>
          </w:tcPr>
          <w:p w14:paraId="51C3354F" w14:textId="68242325" w:rsidR="008210D1" w:rsidRPr="00343FC8" w:rsidRDefault="008210D1" w:rsidP="008210D1">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65%</w:t>
            </w:r>
          </w:p>
        </w:tc>
        <w:tc>
          <w:tcPr>
            <w:tcW w:w="1629" w:type="dxa"/>
            <w:tcBorders>
              <w:top w:val="single" w:sz="4" w:space="0" w:color="auto"/>
              <w:left w:val="nil"/>
              <w:bottom w:val="single" w:sz="4" w:space="0" w:color="auto"/>
              <w:right w:val="nil"/>
            </w:tcBorders>
            <w:vAlign w:val="center"/>
          </w:tcPr>
          <w:p w14:paraId="48E0F6A2" w14:textId="4D653B00" w:rsidR="008210D1" w:rsidRPr="00343FC8" w:rsidRDefault="008210D1" w:rsidP="008210D1">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3</w:t>
            </w:r>
            <w:r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79628402" w14:textId="3F9552CE" w:rsidR="008210D1" w:rsidRPr="00343FC8" w:rsidRDefault="008210D1" w:rsidP="008210D1">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6</w:t>
            </w:r>
            <w:r>
              <w:rPr>
                <w:rFonts w:ascii="Segoe UI" w:eastAsia="Times New Roman" w:hAnsi="Segoe UI" w:cs="Segoe UI"/>
                <w:b/>
                <w:bCs/>
                <w:color w:val="666666"/>
                <w:sz w:val="16"/>
                <w:szCs w:val="16"/>
              </w:rPr>
              <w:t>8</w:t>
            </w:r>
            <w:r w:rsidRPr="00343FC8">
              <w:rPr>
                <w:rFonts w:ascii="Segoe UI" w:eastAsia="Times New Roman" w:hAnsi="Segoe UI" w:cs="Segoe UI"/>
                <w:b/>
                <w:bCs/>
                <w:color w:val="666666"/>
                <w:sz w:val="16"/>
                <w:szCs w:val="16"/>
              </w:rPr>
              <w:t>%</w:t>
            </w:r>
          </w:p>
        </w:tc>
      </w:tr>
      <w:tr w:rsidR="001548A7" w:rsidRPr="00243400" w14:paraId="22D0A08E" w14:textId="77777777" w:rsidTr="008D14D0">
        <w:trPr>
          <w:trHeight w:val="288"/>
        </w:trPr>
        <w:tc>
          <w:tcPr>
            <w:tcW w:w="4608" w:type="dxa"/>
            <w:tcBorders>
              <w:top w:val="single" w:sz="4" w:space="0" w:color="auto"/>
              <w:left w:val="nil"/>
              <w:bottom w:val="single" w:sz="4" w:space="0" w:color="auto"/>
              <w:right w:val="nil"/>
            </w:tcBorders>
            <w:noWrap/>
            <w:vAlign w:val="center"/>
          </w:tcPr>
          <w:p w14:paraId="313BDEB3" w14:textId="3D152206" w:rsidR="001548A7" w:rsidRPr="45064EBB" w:rsidRDefault="001548A7" w:rsidP="001548A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60DB3DA9" w14:textId="267056FA" w:rsidR="001548A7" w:rsidRPr="00343FC8" w:rsidRDefault="00946B37"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28</w:t>
            </w:r>
            <w:r w:rsidR="001548A7" w:rsidRPr="00343FC8">
              <w:rPr>
                <w:rFonts w:ascii="Segoe UI" w:eastAsia="Times New Roman" w:hAnsi="Segoe UI" w:cs="Segoe UI"/>
                <w:b/>
                <w:bCs/>
                <w:color w:val="666666"/>
                <w:sz w:val="16"/>
                <w:szCs w:val="16"/>
              </w:rPr>
              <w:t>%</w:t>
            </w:r>
          </w:p>
        </w:tc>
        <w:tc>
          <w:tcPr>
            <w:tcW w:w="1629" w:type="dxa"/>
            <w:tcBorders>
              <w:top w:val="single" w:sz="4" w:space="0" w:color="auto"/>
              <w:left w:val="nil"/>
              <w:bottom w:val="single" w:sz="4" w:space="0" w:color="auto"/>
              <w:right w:val="nil"/>
            </w:tcBorders>
            <w:vAlign w:val="center"/>
          </w:tcPr>
          <w:p w14:paraId="55D964EB" w14:textId="7B46157D" w:rsidR="001548A7" w:rsidRPr="00343FC8" w:rsidRDefault="00A64AAF" w:rsidP="001548A7">
            <w:pPr>
              <w:spacing w:after="40"/>
              <w:ind w:firstLine="82"/>
              <w:jc w:val="right"/>
              <w:rPr>
                <w:rFonts w:ascii="Segoe UI" w:eastAsia="Times New Roman" w:hAnsi="Segoe UI" w:cs="Segoe UI"/>
                <w:b/>
                <w:bCs/>
                <w:color w:val="666666"/>
                <w:sz w:val="16"/>
                <w:szCs w:val="16"/>
              </w:rPr>
            </w:pPr>
            <w:r w:rsidRPr="00F516F9">
              <w:rPr>
                <w:rFonts w:ascii="Segoe UI" w:eastAsia="Times New Roman" w:hAnsi="Segoe UI" w:cs="Segoe UI"/>
                <w:b/>
                <w:bCs/>
                <w:color w:val="666666"/>
                <w:sz w:val="16"/>
                <w:szCs w:val="16"/>
              </w:rPr>
              <w:t>2</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10017420" w14:textId="02D4EF88" w:rsidR="001548A7" w:rsidRPr="00343FC8" w:rsidRDefault="00A64AAF" w:rsidP="001548A7">
            <w:pPr>
              <w:spacing w:after="40"/>
              <w:ind w:firstLine="82"/>
              <w:jc w:val="right"/>
              <w:rPr>
                <w:rFonts w:ascii="Segoe UI" w:eastAsia="Times New Roman" w:hAnsi="Segoe UI" w:cs="Segoe UI"/>
                <w:b/>
                <w:bCs/>
                <w:color w:val="666666"/>
                <w:sz w:val="16"/>
                <w:szCs w:val="16"/>
              </w:rPr>
            </w:pPr>
            <w:r w:rsidRPr="00F516F9">
              <w:rPr>
                <w:rFonts w:ascii="Segoe UI" w:eastAsia="Times New Roman" w:hAnsi="Segoe UI" w:cs="Segoe UI"/>
                <w:b/>
                <w:bCs/>
                <w:color w:val="666666"/>
                <w:sz w:val="16"/>
                <w:szCs w:val="16"/>
              </w:rPr>
              <w:t>30</w:t>
            </w:r>
            <w:r w:rsidR="001548A7" w:rsidRPr="00343FC8">
              <w:rPr>
                <w:rFonts w:ascii="Segoe UI" w:eastAsia="Times New Roman" w:hAnsi="Segoe UI" w:cs="Segoe UI"/>
                <w:b/>
                <w:bCs/>
                <w:color w:val="666666"/>
                <w:sz w:val="16"/>
                <w:szCs w:val="16"/>
              </w:rPr>
              <w:t>%</w:t>
            </w:r>
          </w:p>
        </w:tc>
      </w:tr>
      <w:tr w:rsidR="001548A7" w:rsidRPr="00243400" w14:paraId="28612942" w14:textId="77777777" w:rsidTr="008D14D0">
        <w:trPr>
          <w:trHeight w:val="288"/>
        </w:trPr>
        <w:tc>
          <w:tcPr>
            <w:tcW w:w="4608" w:type="dxa"/>
            <w:tcBorders>
              <w:top w:val="single" w:sz="4" w:space="0" w:color="auto"/>
              <w:left w:val="nil"/>
              <w:bottom w:val="single" w:sz="4" w:space="0" w:color="auto"/>
              <w:right w:val="nil"/>
            </w:tcBorders>
            <w:noWrap/>
            <w:vAlign w:val="center"/>
          </w:tcPr>
          <w:p w14:paraId="38AC3284" w14:textId="54599EAF" w:rsidR="001548A7" w:rsidRPr="00243400" w:rsidRDefault="008210D1"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411ABE01" w14:textId="6DB4C970" w:rsidR="001548A7" w:rsidRPr="00343FC8" w:rsidRDefault="008210D1"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(18)%</w:t>
            </w:r>
          </w:p>
        </w:tc>
        <w:tc>
          <w:tcPr>
            <w:tcW w:w="1629" w:type="dxa"/>
            <w:tcBorders>
              <w:top w:val="single" w:sz="4" w:space="0" w:color="auto"/>
              <w:left w:val="nil"/>
              <w:bottom w:val="single" w:sz="4" w:space="0" w:color="auto"/>
              <w:right w:val="nil"/>
            </w:tcBorders>
            <w:vAlign w:val="center"/>
          </w:tcPr>
          <w:p w14:paraId="39F81437" w14:textId="4BA0ADF8" w:rsidR="001548A7" w:rsidRPr="00343FC8" w:rsidRDefault="008210D1"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w:t>
            </w:r>
            <w:r w:rsidR="001548A7" w:rsidRPr="00343FC8">
              <w:rPr>
                <w:rFonts w:ascii="Segoe UI" w:eastAsia="Times New Roman" w:hAnsi="Segoe UI" w:cs="Segoe UI"/>
                <w:b/>
                <w:bCs/>
                <w:color w:val="666666"/>
                <w:sz w:val="16"/>
                <w:szCs w:val="16"/>
              </w:rPr>
              <w:t>%</w:t>
            </w:r>
          </w:p>
        </w:tc>
        <w:tc>
          <w:tcPr>
            <w:tcW w:w="1632" w:type="dxa"/>
            <w:tcBorders>
              <w:top w:val="single" w:sz="4" w:space="0" w:color="auto"/>
              <w:left w:val="nil"/>
              <w:bottom w:val="single" w:sz="4" w:space="0" w:color="auto"/>
              <w:right w:val="nil"/>
            </w:tcBorders>
            <w:vAlign w:val="center"/>
          </w:tcPr>
          <w:p w14:paraId="7D2C5260" w14:textId="6E3EECAA" w:rsidR="001548A7" w:rsidRPr="00343FC8" w:rsidRDefault="008210D1" w:rsidP="001548A7">
            <w:pPr>
              <w:spacing w:after="40"/>
              <w:ind w:firstLine="82"/>
              <w:jc w:val="right"/>
              <w:rPr>
                <w:rFonts w:ascii="Segoe UI" w:eastAsia="Times New Roman" w:hAnsi="Segoe UI" w:cs="Segoe UI"/>
                <w:b/>
                <w:bCs/>
                <w:color w:val="666666"/>
                <w:sz w:val="16"/>
                <w:szCs w:val="16"/>
              </w:rPr>
            </w:pPr>
            <w:r w:rsidRPr="00343FC8">
              <w:rPr>
                <w:rFonts w:ascii="Segoe UI" w:eastAsia="Times New Roman" w:hAnsi="Segoe UI" w:cs="Segoe UI"/>
                <w:b/>
                <w:bCs/>
                <w:color w:val="666666"/>
                <w:sz w:val="16"/>
                <w:szCs w:val="16"/>
              </w:rPr>
              <w:t>(17)%</w:t>
            </w:r>
          </w:p>
        </w:tc>
      </w:tr>
    </w:tbl>
    <w:p w14:paraId="68326765" w14:textId="77777777"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70B578D6" w14:textId="77777777" w:rsidR="00C7044F" w:rsidRPr="00243400" w:rsidRDefault="00C7044F" w:rsidP="00C7044F">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7CE9A033" w14:textId="4F2EBE1A" w:rsidR="00C7044F" w:rsidRPr="00243400" w:rsidRDefault="00C7044F" w:rsidP="00C7044F">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Forward-Looking Statements</w:t>
      </w:r>
    </w:p>
    <w:p w14:paraId="49922E93" w14:textId="77777777" w:rsidR="004B40B2" w:rsidRPr="00513C0C" w:rsidRDefault="004B40B2" w:rsidP="004B40B2">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08119586"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intense competition in all of our markets that may lead to lower revenue or operating margins;</w:t>
      </w:r>
    </w:p>
    <w:p w14:paraId="25A1DA2C"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increasing focus on cloud-based services presenting execution and competitive risks;</w:t>
      </w:r>
    </w:p>
    <w:p w14:paraId="4D3B8F11"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significant investments in products and services that may not achieve expected returns;</w:t>
      </w:r>
    </w:p>
    <w:p w14:paraId="00EC6B27"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acquisitions, joint ventures, and strategic alliances that may have an adverse effect on our business;</w:t>
      </w:r>
    </w:p>
    <w:p w14:paraId="08D760D5"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impairment of goodwill or amortizable intangible assets causing a significant charge to earnings;</w:t>
      </w:r>
    </w:p>
    <w:p w14:paraId="49AA7E8E"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cyberattacks and security vulnerabilities that could lead to reduced revenue, increased costs, liability claims, or harm to our reputation or competitive position;</w:t>
      </w:r>
    </w:p>
    <w:p w14:paraId="2CC5F540"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reputation; </w:t>
      </w:r>
    </w:p>
    <w:p w14:paraId="415E6A5F"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possibility that we may not be able to protect information stored in our products and services from use by others;</w:t>
      </w:r>
    </w:p>
    <w:p w14:paraId="5E239B59"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abuse of our advertising or social platforms that may harm our reputation or user engagement;</w:t>
      </w:r>
    </w:p>
    <w:p w14:paraId="170B8132"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development of the internet of things presenting security, privacy, and execution risks;</w:t>
      </w:r>
    </w:p>
    <w:p w14:paraId="2F68292A"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issues about the use of artificial intelligence in our offerings that may result in competitive harm, legal liability, or reputational harm;</w:t>
      </w:r>
      <w:r w:rsidRPr="00513C0C">
        <w:rPr>
          <w:rFonts w:ascii="Segoe UI" w:hAnsi="Segoe UI" w:cs="Segoe UI"/>
          <w:color w:val="FF0000"/>
          <w:sz w:val="20"/>
          <w:szCs w:val="20"/>
        </w:rPr>
        <w:t xml:space="preserve"> </w:t>
      </w:r>
    </w:p>
    <w:p w14:paraId="4A000D78"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excessive outages, data losses, and disruptions of our online services if we fail to maintain an adequate operations infrastructure;</w:t>
      </w:r>
    </w:p>
    <w:p w14:paraId="7F118CEE"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quality or supply problems;</w:t>
      </w:r>
    </w:p>
    <w:p w14:paraId="5F588C95"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possibility that we may fail to protect our source code;</w:t>
      </w:r>
    </w:p>
    <w:p w14:paraId="63160F5C"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legal changes, our evolving business model, piracy, and other factors may decrease the value of our intellectual property;</w:t>
      </w:r>
    </w:p>
    <w:p w14:paraId="60583774"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claims that Microsoft has infringed the intellectual property rights of others;</w:t>
      </w:r>
    </w:p>
    <w:p w14:paraId="335440B9"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claims against us that may result in adverse outcomes in legal disputes;</w:t>
      </w:r>
    </w:p>
    <w:p w14:paraId="4243BC0B"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government litigation and regulatory activity relating to competition rules that may limit how we design and market our products;</w:t>
      </w:r>
    </w:p>
    <w:p w14:paraId="3B91CCBC"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potential liability under trade protection, anti-corruption, and other laws resulting from our global operations;</w:t>
      </w:r>
    </w:p>
    <w:p w14:paraId="636820DC"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laws and regulations relating to the handling of personal data that may impede the adoption of our services or result in increased costs, legal claims, fines, or reputational damage;</w:t>
      </w:r>
    </w:p>
    <w:p w14:paraId="2CC18C96"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additional tax liabilities;</w:t>
      </w:r>
    </w:p>
    <w:p w14:paraId="183B2937"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damage to our reputation or our brands that may harm our business and operating results;</w:t>
      </w:r>
    </w:p>
    <w:p w14:paraId="30A8EAD7" w14:textId="77777777" w:rsidR="004B40B2"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exposure to increased economic and operational uncertainties from operating a global business, including the effects of foreign currency exchange;</w:t>
      </w:r>
    </w:p>
    <w:p w14:paraId="5B45F4FF"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Pr>
          <w:rFonts w:ascii="Segoe UI" w:hAnsi="Segoe UI" w:cs="Segoe UI"/>
          <w:color w:val="666666"/>
          <w:sz w:val="20"/>
          <w:szCs w:val="20"/>
        </w:rPr>
        <w:t>uncertainties relating to our business with government customers;</w:t>
      </w:r>
    </w:p>
    <w:p w14:paraId="25D4D200"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business; </w:t>
      </w:r>
    </w:p>
    <w:p w14:paraId="70890B09"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catastrophic events or geo-political conditions, such as the COVID-19 pandemic, that may disrupt our business; and</w:t>
      </w:r>
    </w:p>
    <w:p w14:paraId="54794B95" w14:textId="77777777" w:rsidR="004B40B2" w:rsidRPr="00513C0C" w:rsidRDefault="004B40B2" w:rsidP="004B40B2">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4BF17B50" w14:textId="77777777" w:rsidR="00C7044F" w:rsidRPr="00243400" w:rsidRDefault="00C7044F" w:rsidP="006F0365">
      <w:pPr>
        <w:pStyle w:val="NoSpacing"/>
        <w:spacing w:before="240" w:after="240" w:line="276" w:lineRule="auto"/>
        <w:rPr>
          <w:color w:val="666666"/>
        </w:rPr>
      </w:pPr>
      <w:r w:rsidRPr="31A6BAF1">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A148E26" w14:textId="618773E7" w:rsidR="00C7044F" w:rsidRPr="0024340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3D6064">
        <w:rPr>
          <w:rFonts w:ascii="Segoe UI" w:eastAsia="Segoe UI" w:hAnsi="Segoe UI" w:cs="Segoe UI"/>
          <w:color w:val="666666"/>
          <w:sz w:val="20"/>
          <w:szCs w:val="20"/>
        </w:rPr>
        <w:t>June 30, 20</w:t>
      </w:r>
      <w:r w:rsidR="00BA53F0">
        <w:rPr>
          <w:rFonts w:ascii="Segoe UI" w:eastAsia="Segoe UI" w:hAnsi="Segoe UI" w:cs="Segoe UI"/>
          <w:color w:val="666666"/>
          <w:sz w:val="20"/>
          <w:szCs w:val="20"/>
        </w:rPr>
        <w:t>20</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77777777" w:rsidR="00C7044F" w:rsidRPr="0024340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F90B10" w:rsidRDefault="00C7044F" w:rsidP="006F0365">
      <w:pPr>
        <w:spacing w:before="240" w:after="240"/>
        <w:rPr>
          <w:rFonts w:ascii="Segoe UI" w:eastAsia="Segoe UI" w:hAnsi="Segoe UI" w:cs="Segoe UI"/>
          <w:sz w:val="20"/>
          <w:szCs w:val="20"/>
        </w:rPr>
      </w:pPr>
      <w:r w:rsidRPr="31A6BAF1">
        <w:rPr>
          <w:rFonts w:ascii="Segoe UI" w:eastAsia="Segoe UI" w:hAnsi="Segoe UI" w:cs="Segoe UI"/>
          <w:color w:val="666666"/>
          <w:sz w:val="20"/>
          <w:szCs w:val="20"/>
        </w:rPr>
        <w:t>Microsoft Media Relations, WE Communications for Microsoft, (425) 638-7777,</w:t>
      </w:r>
      <w:r w:rsidRPr="31A6BAF1">
        <w:rPr>
          <w:rFonts w:ascii="Segoe UI" w:eastAsia="Segoe UI" w:hAnsi="Segoe UI" w:cs="Segoe UI"/>
          <w:sz w:val="20"/>
          <w:szCs w:val="20"/>
        </w:rPr>
        <w:t xml:space="preserve"> </w:t>
      </w:r>
      <w:hyperlink r:id="rId13">
        <w:r w:rsidRPr="00041F81">
          <w:rPr>
            <w:rStyle w:val="Hyperlink"/>
            <w:color w:val="4472C4" w:themeColor="accent1"/>
          </w:rPr>
          <w:t>rrt@we-worldwide.com</w:t>
        </w:r>
      </w:hyperlink>
      <w:r w:rsidRPr="00041F81">
        <w:rPr>
          <w:rFonts w:asciiTheme="minorHAnsi" w:eastAsiaTheme="minorEastAsia" w:hAnsiTheme="minorHAnsi" w:cstheme="minorBidi"/>
          <w:color w:val="4472C4" w:themeColor="accent1"/>
        </w:rPr>
        <w:t xml:space="preserve"> </w:t>
      </w:r>
    </w:p>
    <w:p w14:paraId="2D5FC76B" w14:textId="77777777" w:rsidR="00C7044F" w:rsidRPr="00F90B10" w:rsidRDefault="00C7044F" w:rsidP="006F0365">
      <w:pPr>
        <w:pStyle w:val="NoSpacing"/>
        <w:spacing w:before="240" w:after="24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4E721BE0" w14:textId="77777777" w:rsidR="00C7044F" w:rsidRPr="00F90B10"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Michael Spencer</w:t>
      </w:r>
      <w:r>
        <w:rPr>
          <w:rFonts w:ascii="Segoe UI" w:eastAsia="Segoe UI" w:hAnsi="Segoe UI" w:cs="Segoe UI"/>
          <w:color w:val="666666"/>
          <w:sz w:val="20"/>
          <w:szCs w:val="20"/>
        </w:rPr>
        <w:t>, General M</w:t>
      </w:r>
      <w:r w:rsidRPr="31A6BAF1">
        <w:rPr>
          <w:rFonts w:ascii="Segoe UI" w:eastAsia="Segoe UI" w:hAnsi="Segoe UI" w:cs="Segoe UI"/>
          <w:color w:val="666666"/>
          <w:sz w:val="20"/>
          <w:szCs w:val="20"/>
        </w:rPr>
        <w:t>anager, Investor Relations, (425) 706-4400</w:t>
      </w:r>
    </w:p>
    <w:p w14:paraId="0AA44F92" w14:textId="20A6C665" w:rsidR="00C7044F" w:rsidRDefault="00C7044F" w:rsidP="006F0365">
      <w:pPr>
        <w:pStyle w:val="NoSpacing"/>
        <w:spacing w:before="240" w:after="24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Center </w:t>
      </w:r>
      <w:r w:rsidRPr="31A6BAF1">
        <w:rPr>
          <w:rFonts w:asciiTheme="minorHAnsi" w:eastAsiaTheme="minorEastAsia" w:hAnsiTheme="minorHAnsi" w:cstheme="minorBidi"/>
          <w:color w:val="666666"/>
        </w:rPr>
        <w:t xml:space="preserve">at </w:t>
      </w:r>
      <w:hyperlink r:id="rId14">
        <w:r w:rsidRPr="00041F81">
          <w:rPr>
            <w:rStyle w:val="Hyperlink"/>
            <w:color w:val="4472C4" w:themeColor="accent1"/>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5">
        <w:r w:rsidRPr="00041F81">
          <w:rPr>
            <w:rStyle w:val="Hyperlink"/>
            <w:color w:val="4472C4" w:themeColor="accent1"/>
          </w:rPr>
          <w:t>http://www.microsoft.com/en-us/investor</w:t>
        </w:r>
      </w:hyperlink>
      <w:r w:rsidRPr="31A6BAF1">
        <w:rPr>
          <w:rFonts w:ascii="Segoe UI" w:eastAsia="Segoe UI" w:hAnsi="Segoe UI" w:cs="Segoe UI"/>
          <w:color w:val="666666"/>
          <w:sz w:val="20"/>
          <w:szCs w:val="20"/>
        </w:rPr>
        <w:t>.</w:t>
      </w:r>
    </w:p>
    <w:p w14:paraId="0D4A04B5" w14:textId="77777777" w:rsidR="00B143DB" w:rsidRDefault="00F815E7">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440" w:type="dxa"/>
        <w:tblLook w:val="04A0" w:firstRow="1" w:lastRow="0" w:firstColumn="1" w:lastColumn="0" w:noHBand="0" w:noVBand="1"/>
      </w:tblPr>
      <w:tblGrid>
        <w:gridCol w:w="4240"/>
        <w:gridCol w:w="1120"/>
        <w:gridCol w:w="272"/>
        <w:gridCol w:w="1000"/>
        <w:gridCol w:w="336"/>
        <w:gridCol w:w="1200"/>
        <w:gridCol w:w="272"/>
        <w:gridCol w:w="1000"/>
      </w:tblGrid>
      <w:tr w:rsidR="008478E5" w:rsidRPr="008478E5" w14:paraId="315303FF" w14:textId="77777777" w:rsidTr="00914AD4">
        <w:trPr>
          <w:trHeight w:val="288"/>
        </w:trPr>
        <w:tc>
          <w:tcPr>
            <w:tcW w:w="4240" w:type="dxa"/>
            <w:tcBorders>
              <w:top w:val="nil"/>
              <w:left w:val="nil"/>
              <w:bottom w:val="nil"/>
              <w:right w:val="nil"/>
            </w:tcBorders>
            <w:shd w:val="clear" w:color="auto" w:fill="auto"/>
            <w:noWrap/>
            <w:vAlign w:val="bottom"/>
            <w:hideMark/>
          </w:tcPr>
          <w:p w14:paraId="778C65BB" w14:textId="77777777" w:rsidR="008478E5" w:rsidRPr="008478E5" w:rsidRDefault="008478E5" w:rsidP="008478E5">
            <w:pPr>
              <w:spacing w:after="0" w:line="240" w:lineRule="auto"/>
              <w:rPr>
                <w:rFonts w:ascii="Segoe UI" w:eastAsia="Times New Roman" w:hAnsi="Segoe UI" w:cs="Segoe UI"/>
                <w:b/>
                <w:bCs/>
                <w:color w:val="666666"/>
                <w:sz w:val="20"/>
                <w:szCs w:val="20"/>
              </w:rPr>
            </w:pPr>
            <w:bookmarkStart w:id="10" w:name="RANGE!A1"/>
            <w:r w:rsidRPr="008478E5">
              <w:rPr>
                <w:rFonts w:ascii="Segoe UI" w:eastAsia="Times New Roman" w:hAnsi="Segoe UI" w:cs="Segoe UI"/>
                <w:b/>
                <w:bCs/>
                <w:color w:val="666666"/>
                <w:sz w:val="20"/>
                <w:szCs w:val="20"/>
              </w:rPr>
              <w:t>MICROSOFT CORPORATION</w:t>
            </w:r>
            <w:bookmarkEnd w:id="10"/>
          </w:p>
        </w:tc>
        <w:tc>
          <w:tcPr>
            <w:tcW w:w="1120" w:type="dxa"/>
            <w:tcBorders>
              <w:top w:val="nil"/>
              <w:left w:val="nil"/>
              <w:bottom w:val="nil"/>
              <w:right w:val="nil"/>
            </w:tcBorders>
            <w:shd w:val="clear" w:color="auto" w:fill="auto"/>
            <w:noWrap/>
            <w:vAlign w:val="bottom"/>
            <w:hideMark/>
          </w:tcPr>
          <w:p w14:paraId="6027BD47" w14:textId="77777777" w:rsidR="008478E5" w:rsidRPr="008478E5" w:rsidRDefault="008478E5" w:rsidP="008478E5">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F9540DB"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BE5F942" w14:textId="77777777" w:rsidR="008478E5" w:rsidRPr="008478E5" w:rsidRDefault="008478E5" w:rsidP="008478E5">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09841CD"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C2133BB" w14:textId="77777777" w:rsidR="008478E5" w:rsidRPr="008478E5" w:rsidRDefault="008478E5" w:rsidP="008478E5">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CA7A1B"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2BB2A50" w14:textId="77777777" w:rsidR="008478E5" w:rsidRPr="008478E5" w:rsidRDefault="008478E5" w:rsidP="008478E5">
            <w:pPr>
              <w:spacing w:after="0" w:line="240" w:lineRule="auto"/>
              <w:rPr>
                <w:rFonts w:ascii="Times New Roman" w:eastAsia="Times New Roman" w:hAnsi="Times New Roman"/>
                <w:sz w:val="20"/>
                <w:szCs w:val="20"/>
              </w:rPr>
            </w:pPr>
          </w:p>
        </w:tc>
      </w:tr>
      <w:tr w:rsidR="008478E5" w:rsidRPr="008478E5" w14:paraId="341BCCD5" w14:textId="77777777" w:rsidTr="00914AD4">
        <w:trPr>
          <w:trHeight w:val="288"/>
        </w:trPr>
        <w:tc>
          <w:tcPr>
            <w:tcW w:w="4240" w:type="dxa"/>
            <w:tcBorders>
              <w:top w:val="nil"/>
              <w:left w:val="nil"/>
              <w:bottom w:val="nil"/>
              <w:right w:val="nil"/>
            </w:tcBorders>
            <w:shd w:val="clear" w:color="auto" w:fill="auto"/>
            <w:noWrap/>
            <w:vAlign w:val="bottom"/>
            <w:hideMark/>
          </w:tcPr>
          <w:p w14:paraId="58CD2BAC"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52113DC0" w14:textId="77777777" w:rsidR="008478E5" w:rsidRPr="008478E5" w:rsidRDefault="008478E5" w:rsidP="008478E5">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A7AC789"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345DC56" w14:textId="77777777" w:rsidR="008478E5" w:rsidRPr="008478E5" w:rsidRDefault="008478E5" w:rsidP="008478E5">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3A22BBF7"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191BBB5" w14:textId="77777777" w:rsidR="008478E5" w:rsidRPr="008478E5" w:rsidRDefault="008478E5" w:rsidP="008478E5">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EDB0BD0"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460E41C" w14:textId="77777777" w:rsidR="008478E5" w:rsidRPr="008478E5" w:rsidRDefault="008478E5" w:rsidP="008478E5">
            <w:pPr>
              <w:spacing w:after="0" w:line="240" w:lineRule="auto"/>
              <w:rPr>
                <w:rFonts w:ascii="Times New Roman" w:eastAsia="Times New Roman" w:hAnsi="Times New Roman"/>
                <w:sz w:val="20"/>
                <w:szCs w:val="20"/>
              </w:rPr>
            </w:pPr>
          </w:p>
        </w:tc>
      </w:tr>
      <w:tr w:rsidR="008478E5" w:rsidRPr="008478E5" w14:paraId="3EECC238" w14:textId="77777777" w:rsidTr="00914AD4">
        <w:trPr>
          <w:trHeight w:val="288"/>
        </w:trPr>
        <w:tc>
          <w:tcPr>
            <w:tcW w:w="9440" w:type="dxa"/>
            <w:gridSpan w:val="8"/>
            <w:tcBorders>
              <w:top w:val="nil"/>
              <w:left w:val="nil"/>
              <w:bottom w:val="nil"/>
              <w:right w:val="nil"/>
            </w:tcBorders>
            <w:shd w:val="clear" w:color="auto" w:fill="auto"/>
            <w:noWrap/>
            <w:vAlign w:val="bottom"/>
            <w:hideMark/>
          </w:tcPr>
          <w:p w14:paraId="298DC5DF" w14:textId="77777777" w:rsidR="008478E5" w:rsidRPr="008478E5" w:rsidRDefault="008478E5" w:rsidP="008478E5">
            <w:pPr>
              <w:spacing w:after="0" w:line="240" w:lineRule="auto"/>
              <w:jc w:val="center"/>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INCOME STATEMENTS</w:t>
            </w:r>
          </w:p>
        </w:tc>
      </w:tr>
      <w:tr w:rsidR="008478E5" w:rsidRPr="008478E5" w14:paraId="0B4007B0" w14:textId="77777777" w:rsidTr="00914AD4">
        <w:trPr>
          <w:trHeight w:val="288"/>
        </w:trPr>
        <w:tc>
          <w:tcPr>
            <w:tcW w:w="9440" w:type="dxa"/>
            <w:gridSpan w:val="8"/>
            <w:tcBorders>
              <w:top w:val="nil"/>
              <w:left w:val="nil"/>
              <w:bottom w:val="nil"/>
              <w:right w:val="nil"/>
            </w:tcBorders>
            <w:shd w:val="clear" w:color="auto" w:fill="auto"/>
            <w:noWrap/>
            <w:vAlign w:val="bottom"/>
            <w:hideMark/>
          </w:tcPr>
          <w:p w14:paraId="1BE3BFC1" w14:textId="77777777" w:rsidR="008478E5" w:rsidRPr="008478E5" w:rsidRDefault="008478E5" w:rsidP="008478E5">
            <w:pPr>
              <w:spacing w:after="0" w:line="240" w:lineRule="auto"/>
              <w:jc w:val="center"/>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(In millions, except per share amounts) (Unaudited)</w:t>
            </w:r>
          </w:p>
        </w:tc>
      </w:tr>
      <w:tr w:rsidR="008478E5" w:rsidRPr="008478E5" w14:paraId="610890CF" w14:textId="77777777" w:rsidTr="00914AD4">
        <w:trPr>
          <w:trHeight w:val="288"/>
        </w:trPr>
        <w:tc>
          <w:tcPr>
            <w:tcW w:w="4240" w:type="dxa"/>
            <w:tcBorders>
              <w:top w:val="nil"/>
              <w:left w:val="nil"/>
              <w:bottom w:val="nil"/>
              <w:right w:val="nil"/>
            </w:tcBorders>
            <w:shd w:val="clear" w:color="auto" w:fill="auto"/>
            <w:noWrap/>
            <w:vAlign w:val="bottom"/>
            <w:hideMark/>
          </w:tcPr>
          <w:p w14:paraId="3273A3BC" w14:textId="77777777" w:rsidR="008478E5" w:rsidRPr="008478E5" w:rsidRDefault="008478E5" w:rsidP="008478E5">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195D3100"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2D8E57"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9BA6212"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E510470"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524037F"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1A6EB90"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BA7D7A5" w14:textId="77777777" w:rsidR="008478E5" w:rsidRPr="008478E5" w:rsidRDefault="008478E5" w:rsidP="008478E5">
            <w:pPr>
              <w:spacing w:after="0" w:line="240" w:lineRule="auto"/>
              <w:jc w:val="center"/>
              <w:rPr>
                <w:rFonts w:ascii="Times New Roman" w:eastAsia="Times New Roman" w:hAnsi="Times New Roman"/>
                <w:sz w:val="20"/>
                <w:szCs w:val="20"/>
              </w:rPr>
            </w:pPr>
          </w:p>
        </w:tc>
      </w:tr>
      <w:tr w:rsidR="008478E5" w:rsidRPr="008478E5" w14:paraId="06E81997" w14:textId="77777777" w:rsidTr="00914AD4">
        <w:trPr>
          <w:trHeight w:val="288"/>
        </w:trPr>
        <w:tc>
          <w:tcPr>
            <w:tcW w:w="4240" w:type="dxa"/>
            <w:tcBorders>
              <w:top w:val="nil"/>
              <w:left w:val="nil"/>
              <w:bottom w:val="nil"/>
              <w:right w:val="nil"/>
            </w:tcBorders>
            <w:shd w:val="clear" w:color="auto" w:fill="auto"/>
            <w:noWrap/>
            <w:vAlign w:val="bottom"/>
            <w:hideMark/>
          </w:tcPr>
          <w:p w14:paraId="20A83410" w14:textId="77777777" w:rsidR="008478E5" w:rsidRPr="008478E5" w:rsidRDefault="008478E5" w:rsidP="008478E5">
            <w:pPr>
              <w:spacing w:after="0" w:line="240" w:lineRule="auto"/>
              <w:jc w:val="center"/>
              <w:rPr>
                <w:rFonts w:ascii="Times New Roman" w:eastAsia="Times New Roman" w:hAnsi="Times New Roman"/>
                <w:sz w:val="20"/>
                <w:szCs w:val="20"/>
              </w:rPr>
            </w:pPr>
          </w:p>
        </w:tc>
        <w:tc>
          <w:tcPr>
            <w:tcW w:w="2392" w:type="dxa"/>
            <w:gridSpan w:val="3"/>
            <w:vMerge w:val="restart"/>
            <w:tcBorders>
              <w:top w:val="nil"/>
              <w:left w:val="nil"/>
              <w:bottom w:val="nil"/>
              <w:right w:val="nil"/>
            </w:tcBorders>
            <w:shd w:val="clear" w:color="auto" w:fill="auto"/>
            <w:vAlign w:val="bottom"/>
            <w:hideMark/>
          </w:tcPr>
          <w:p w14:paraId="6FE1FBA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Three Months Ended June 30,</w:t>
            </w:r>
          </w:p>
        </w:tc>
        <w:tc>
          <w:tcPr>
            <w:tcW w:w="336" w:type="dxa"/>
            <w:tcBorders>
              <w:top w:val="nil"/>
              <w:left w:val="nil"/>
              <w:bottom w:val="nil"/>
              <w:right w:val="nil"/>
            </w:tcBorders>
            <w:shd w:val="clear" w:color="auto" w:fill="auto"/>
            <w:vAlign w:val="bottom"/>
            <w:hideMark/>
          </w:tcPr>
          <w:p w14:paraId="4B7F9466"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2472" w:type="dxa"/>
            <w:gridSpan w:val="3"/>
            <w:vMerge w:val="restart"/>
            <w:tcBorders>
              <w:top w:val="nil"/>
              <w:left w:val="nil"/>
              <w:bottom w:val="nil"/>
              <w:right w:val="nil"/>
            </w:tcBorders>
            <w:shd w:val="clear" w:color="auto" w:fill="auto"/>
            <w:vAlign w:val="bottom"/>
            <w:hideMark/>
          </w:tcPr>
          <w:p w14:paraId="786CF461"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Twelve Months Ended June 30,</w:t>
            </w:r>
          </w:p>
        </w:tc>
      </w:tr>
      <w:tr w:rsidR="008478E5" w:rsidRPr="008478E5" w14:paraId="72E16F25" w14:textId="77777777" w:rsidTr="00914AD4">
        <w:trPr>
          <w:trHeight w:val="288"/>
        </w:trPr>
        <w:tc>
          <w:tcPr>
            <w:tcW w:w="4240" w:type="dxa"/>
            <w:tcBorders>
              <w:top w:val="nil"/>
              <w:left w:val="nil"/>
              <w:bottom w:val="nil"/>
              <w:right w:val="nil"/>
            </w:tcBorders>
            <w:shd w:val="clear" w:color="auto" w:fill="auto"/>
            <w:noWrap/>
            <w:vAlign w:val="bottom"/>
            <w:hideMark/>
          </w:tcPr>
          <w:p w14:paraId="112A5C26"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2392" w:type="dxa"/>
            <w:gridSpan w:val="3"/>
            <w:vMerge/>
            <w:tcBorders>
              <w:top w:val="nil"/>
              <w:left w:val="nil"/>
              <w:bottom w:val="nil"/>
              <w:right w:val="nil"/>
            </w:tcBorders>
            <w:vAlign w:val="center"/>
            <w:hideMark/>
          </w:tcPr>
          <w:p w14:paraId="211DCA50" w14:textId="77777777" w:rsidR="008478E5" w:rsidRPr="008478E5" w:rsidRDefault="008478E5" w:rsidP="008478E5">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0EE734DC" w14:textId="77777777" w:rsidR="008478E5" w:rsidRPr="008478E5" w:rsidRDefault="008478E5" w:rsidP="008478E5">
            <w:pPr>
              <w:spacing w:after="0" w:line="240" w:lineRule="auto"/>
              <w:rPr>
                <w:rFonts w:ascii="Times New Roman" w:eastAsia="Times New Roman" w:hAnsi="Times New Roman"/>
                <w:sz w:val="20"/>
                <w:szCs w:val="20"/>
              </w:rPr>
            </w:pPr>
          </w:p>
        </w:tc>
        <w:tc>
          <w:tcPr>
            <w:tcW w:w="2472" w:type="dxa"/>
            <w:gridSpan w:val="3"/>
            <w:vMerge/>
            <w:tcBorders>
              <w:top w:val="nil"/>
              <w:left w:val="nil"/>
              <w:bottom w:val="nil"/>
              <w:right w:val="nil"/>
            </w:tcBorders>
            <w:vAlign w:val="center"/>
            <w:hideMark/>
          </w:tcPr>
          <w:p w14:paraId="56E38E93" w14:textId="77777777" w:rsidR="008478E5" w:rsidRPr="008478E5" w:rsidRDefault="008478E5" w:rsidP="008478E5">
            <w:pPr>
              <w:spacing w:after="0" w:line="240" w:lineRule="auto"/>
              <w:rPr>
                <w:rFonts w:ascii="Segoe UI" w:eastAsia="Times New Roman" w:hAnsi="Segoe UI" w:cs="Segoe UI"/>
                <w:b/>
                <w:bCs/>
                <w:color w:val="666666"/>
                <w:sz w:val="20"/>
                <w:szCs w:val="20"/>
              </w:rPr>
            </w:pPr>
          </w:p>
        </w:tc>
      </w:tr>
      <w:tr w:rsidR="008478E5" w:rsidRPr="008478E5" w14:paraId="76917473"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4D71E529" w14:textId="77777777" w:rsidR="008478E5" w:rsidRPr="008478E5" w:rsidRDefault="008478E5" w:rsidP="008478E5">
            <w:pPr>
              <w:spacing w:after="0" w:line="240" w:lineRule="auto"/>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25714684"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05AAE9A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08D29240"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2019</w:t>
            </w:r>
          </w:p>
        </w:tc>
        <w:tc>
          <w:tcPr>
            <w:tcW w:w="336" w:type="dxa"/>
            <w:tcBorders>
              <w:top w:val="nil"/>
              <w:left w:val="nil"/>
              <w:bottom w:val="single" w:sz="4" w:space="0" w:color="auto"/>
              <w:right w:val="nil"/>
            </w:tcBorders>
            <w:shd w:val="clear" w:color="auto" w:fill="auto"/>
            <w:noWrap/>
            <w:vAlign w:val="bottom"/>
            <w:hideMark/>
          </w:tcPr>
          <w:p w14:paraId="114147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070AB5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4D6AA99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0FF9A090"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2019</w:t>
            </w:r>
          </w:p>
        </w:tc>
      </w:tr>
      <w:tr w:rsidR="008478E5" w:rsidRPr="008478E5" w14:paraId="3E85D8B4" w14:textId="77777777" w:rsidTr="00914AD4">
        <w:trPr>
          <w:trHeight w:val="288"/>
        </w:trPr>
        <w:tc>
          <w:tcPr>
            <w:tcW w:w="4240" w:type="dxa"/>
            <w:tcBorders>
              <w:top w:val="nil"/>
              <w:left w:val="nil"/>
              <w:bottom w:val="nil"/>
              <w:right w:val="nil"/>
            </w:tcBorders>
            <w:shd w:val="clear" w:color="auto" w:fill="auto"/>
            <w:noWrap/>
            <w:vAlign w:val="bottom"/>
            <w:hideMark/>
          </w:tcPr>
          <w:p w14:paraId="452D4C33"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75D11412" w14:textId="77777777" w:rsidR="008478E5" w:rsidRPr="008478E5" w:rsidRDefault="008478E5" w:rsidP="008478E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0FBE4AE" w14:textId="77777777" w:rsidR="008478E5" w:rsidRPr="008478E5" w:rsidRDefault="008478E5" w:rsidP="008478E5">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A80E804" w14:textId="77777777" w:rsidR="008478E5" w:rsidRPr="008478E5" w:rsidRDefault="008478E5" w:rsidP="008478E5">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0E519E39" w14:textId="77777777" w:rsidR="008478E5" w:rsidRPr="008478E5" w:rsidRDefault="008478E5" w:rsidP="008478E5">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C2FB018" w14:textId="77777777" w:rsidR="008478E5" w:rsidRPr="008478E5" w:rsidRDefault="008478E5" w:rsidP="008478E5">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837C2E" w14:textId="77777777" w:rsidR="008478E5" w:rsidRPr="008478E5" w:rsidRDefault="008478E5" w:rsidP="008478E5">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B3FED77" w14:textId="77777777" w:rsidR="008478E5" w:rsidRPr="008478E5" w:rsidRDefault="008478E5" w:rsidP="008478E5">
            <w:pPr>
              <w:spacing w:after="0" w:line="240" w:lineRule="auto"/>
              <w:rPr>
                <w:rFonts w:ascii="Times New Roman" w:eastAsia="Times New Roman" w:hAnsi="Times New Roman"/>
                <w:sz w:val="20"/>
                <w:szCs w:val="20"/>
              </w:rPr>
            </w:pPr>
          </w:p>
        </w:tc>
      </w:tr>
      <w:tr w:rsidR="008478E5" w:rsidRPr="008478E5" w14:paraId="7C822D39" w14:textId="77777777" w:rsidTr="00914AD4">
        <w:trPr>
          <w:trHeight w:val="288"/>
        </w:trPr>
        <w:tc>
          <w:tcPr>
            <w:tcW w:w="4240" w:type="dxa"/>
            <w:tcBorders>
              <w:top w:val="nil"/>
              <w:left w:val="nil"/>
              <w:bottom w:val="nil"/>
              <w:right w:val="nil"/>
            </w:tcBorders>
            <w:shd w:val="clear" w:color="auto" w:fill="auto"/>
            <w:noWrap/>
            <w:vAlign w:val="bottom"/>
            <w:hideMark/>
          </w:tcPr>
          <w:p w14:paraId="2FD74F80"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211C0B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$18,147 </w:t>
            </w:r>
          </w:p>
        </w:tc>
        <w:tc>
          <w:tcPr>
            <w:tcW w:w="272" w:type="dxa"/>
            <w:tcBorders>
              <w:top w:val="nil"/>
              <w:left w:val="nil"/>
              <w:bottom w:val="nil"/>
              <w:right w:val="nil"/>
            </w:tcBorders>
            <w:shd w:val="clear" w:color="auto" w:fill="auto"/>
            <w:noWrap/>
            <w:vAlign w:val="bottom"/>
            <w:hideMark/>
          </w:tcPr>
          <w:p w14:paraId="2E1BC0F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9C6A77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$17,103 </w:t>
            </w:r>
          </w:p>
        </w:tc>
        <w:tc>
          <w:tcPr>
            <w:tcW w:w="336" w:type="dxa"/>
            <w:tcBorders>
              <w:top w:val="nil"/>
              <w:left w:val="nil"/>
              <w:bottom w:val="nil"/>
              <w:right w:val="nil"/>
            </w:tcBorders>
            <w:shd w:val="clear" w:color="auto" w:fill="auto"/>
            <w:noWrap/>
            <w:vAlign w:val="bottom"/>
            <w:hideMark/>
          </w:tcPr>
          <w:p w14:paraId="55132AA4"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B57A839"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$68,041 </w:t>
            </w:r>
          </w:p>
        </w:tc>
        <w:tc>
          <w:tcPr>
            <w:tcW w:w="272" w:type="dxa"/>
            <w:tcBorders>
              <w:top w:val="nil"/>
              <w:left w:val="nil"/>
              <w:bottom w:val="nil"/>
              <w:right w:val="nil"/>
            </w:tcBorders>
            <w:shd w:val="clear" w:color="auto" w:fill="auto"/>
            <w:noWrap/>
            <w:vAlign w:val="bottom"/>
            <w:hideMark/>
          </w:tcPr>
          <w:p w14:paraId="4CDD79F5"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79C9161"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$66,069 </w:t>
            </w:r>
          </w:p>
        </w:tc>
      </w:tr>
      <w:tr w:rsidR="008478E5" w:rsidRPr="008478E5" w14:paraId="2F15704D"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290DCEA2"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11BCD81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19,886 </w:t>
            </w:r>
          </w:p>
        </w:tc>
        <w:tc>
          <w:tcPr>
            <w:tcW w:w="272" w:type="dxa"/>
            <w:tcBorders>
              <w:top w:val="nil"/>
              <w:left w:val="nil"/>
              <w:bottom w:val="nil"/>
              <w:right w:val="nil"/>
            </w:tcBorders>
            <w:shd w:val="clear" w:color="auto" w:fill="auto"/>
            <w:noWrap/>
            <w:vAlign w:val="bottom"/>
            <w:hideMark/>
          </w:tcPr>
          <w:p w14:paraId="14BBEABE"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8292776"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16,614 </w:t>
            </w:r>
          </w:p>
        </w:tc>
        <w:tc>
          <w:tcPr>
            <w:tcW w:w="336" w:type="dxa"/>
            <w:tcBorders>
              <w:top w:val="nil"/>
              <w:left w:val="nil"/>
              <w:bottom w:val="nil"/>
              <w:right w:val="nil"/>
            </w:tcBorders>
            <w:shd w:val="clear" w:color="auto" w:fill="auto"/>
            <w:noWrap/>
            <w:vAlign w:val="bottom"/>
            <w:hideMark/>
          </w:tcPr>
          <w:p w14:paraId="2DDB8254"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923ADA6"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74,974 </w:t>
            </w:r>
          </w:p>
        </w:tc>
        <w:tc>
          <w:tcPr>
            <w:tcW w:w="272" w:type="dxa"/>
            <w:tcBorders>
              <w:top w:val="nil"/>
              <w:left w:val="nil"/>
              <w:bottom w:val="nil"/>
              <w:right w:val="nil"/>
            </w:tcBorders>
            <w:shd w:val="clear" w:color="auto" w:fill="auto"/>
            <w:noWrap/>
            <w:vAlign w:val="bottom"/>
            <w:hideMark/>
          </w:tcPr>
          <w:p w14:paraId="48C9B10A"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C99B082"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59,774 </w:t>
            </w:r>
          </w:p>
        </w:tc>
      </w:tr>
      <w:tr w:rsidR="008478E5" w:rsidRPr="008478E5" w14:paraId="74CC4731"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6482043A"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6AE8FF22"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38,033 </w:t>
            </w:r>
          </w:p>
        </w:tc>
        <w:tc>
          <w:tcPr>
            <w:tcW w:w="272" w:type="dxa"/>
            <w:tcBorders>
              <w:top w:val="nil"/>
              <w:left w:val="nil"/>
              <w:bottom w:val="nil"/>
              <w:right w:val="nil"/>
            </w:tcBorders>
            <w:shd w:val="clear" w:color="auto" w:fill="auto"/>
            <w:noWrap/>
            <w:vAlign w:val="bottom"/>
            <w:hideMark/>
          </w:tcPr>
          <w:p w14:paraId="0790A1E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2A0F490"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33,717 </w:t>
            </w:r>
          </w:p>
        </w:tc>
        <w:tc>
          <w:tcPr>
            <w:tcW w:w="336" w:type="dxa"/>
            <w:tcBorders>
              <w:top w:val="nil"/>
              <w:left w:val="nil"/>
              <w:bottom w:val="nil"/>
              <w:right w:val="nil"/>
            </w:tcBorders>
            <w:shd w:val="clear" w:color="auto" w:fill="auto"/>
            <w:noWrap/>
            <w:vAlign w:val="bottom"/>
            <w:hideMark/>
          </w:tcPr>
          <w:p w14:paraId="03D30EA2"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2E519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143,015 </w:t>
            </w:r>
          </w:p>
        </w:tc>
        <w:tc>
          <w:tcPr>
            <w:tcW w:w="272" w:type="dxa"/>
            <w:tcBorders>
              <w:top w:val="nil"/>
              <w:left w:val="nil"/>
              <w:bottom w:val="nil"/>
              <w:right w:val="nil"/>
            </w:tcBorders>
            <w:shd w:val="clear" w:color="auto" w:fill="auto"/>
            <w:noWrap/>
            <w:vAlign w:val="bottom"/>
            <w:hideMark/>
          </w:tcPr>
          <w:p w14:paraId="3A2027A2"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E9D54D4"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125,843 </w:t>
            </w:r>
          </w:p>
        </w:tc>
      </w:tr>
      <w:tr w:rsidR="008478E5" w:rsidRPr="008478E5" w14:paraId="23059767" w14:textId="77777777" w:rsidTr="00914AD4">
        <w:trPr>
          <w:trHeight w:val="288"/>
        </w:trPr>
        <w:tc>
          <w:tcPr>
            <w:tcW w:w="4240" w:type="dxa"/>
            <w:tcBorders>
              <w:top w:val="nil"/>
              <w:left w:val="nil"/>
              <w:bottom w:val="nil"/>
              <w:right w:val="nil"/>
            </w:tcBorders>
            <w:shd w:val="clear" w:color="auto" w:fill="auto"/>
            <w:noWrap/>
            <w:vAlign w:val="bottom"/>
            <w:hideMark/>
          </w:tcPr>
          <w:p w14:paraId="5BD41E82"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73A336DE" w14:textId="77777777" w:rsidR="008478E5" w:rsidRPr="008478E5" w:rsidRDefault="008478E5" w:rsidP="008478E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77CD417"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6AE1507E"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0D9DF51"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15915D9"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1A7DD20"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FDB16C6" w14:textId="77777777" w:rsidR="008478E5" w:rsidRPr="008478E5" w:rsidRDefault="008478E5" w:rsidP="008478E5">
            <w:pPr>
              <w:spacing w:after="0" w:line="240" w:lineRule="auto"/>
              <w:jc w:val="right"/>
              <w:rPr>
                <w:rFonts w:ascii="Times New Roman" w:eastAsia="Times New Roman" w:hAnsi="Times New Roman"/>
                <w:sz w:val="20"/>
                <w:szCs w:val="20"/>
              </w:rPr>
            </w:pPr>
          </w:p>
        </w:tc>
      </w:tr>
      <w:tr w:rsidR="008478E5" w:rsidRPr="008478E5" w14:paraId="2C036E3D" w14:textId="77777777" w:rsidTr="00914AD4">
        <w:trPr>
          <w:trHeight w:val="288"/>
        </w:trPr>
        <w:tc>
          <w:tcPr>
            <w:tcW w:w="4240" w:type="dxa"/>
            <w:tcBorders>
              <w:top w:val="nil"/>
              <w:left w:val="nil"/>
              <w:bottom w:val="nil"/>
              <w:right w:val="nil"/>
            </w:tcBorders>
            <w:shd w:val="clear" w:color="auto" w:fill="auto"/>
            <w:noWrap/>
            <w:vAlign w:val="bottom"/>
            <w:hideMark/>
          </w:tcPr>
          <w:p w14:paraId="288E0C5B"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6C7CD2E7"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4,370 </w:t>
            </w:r>
          </w:p>
        </w:tc>
        <w:tc>
          <w:tcPr>
            <w:tcW w:w="272" w:type="dxa"/>
            <w:tcBorders>
              <w:top w:val="nil"/>
              <w:left w:val="nil"/>
              <w:bottom w:val="nil"/>
              <w:right w:val="nil"/>
            </w:tcBorders>
            <w:shd w:val="clear" w:color="auto" w:fill="auto"/>
            <w:noWrap/>
            <w:vAlign w:val="bottom"/>
            <w:hideMark/>
          </w:tcPr>
          <w:p w14:paraId="0BB3CB9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B95905C"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3,298 </w:t>
            </w:r>
          </w:p>
        </w:tc>
        <w:tc>
          <w:tcPr>
            <w:tcW w:w="336" w:type="dxa"/>
            <w:tcBorders>
              <w:top w:val="nil"/>
              <w:left w:val="nil"/>
              <w:bottom w:val="nil"/>
              <w:right w:val="nil"/>
            </w:tcBorders>
            <w:shd w:val="clear" w:color="auto" w:fill="auto"/>
            <w:noWrap/>
            <w:vAlign w:val="bottom"/>
            <w:hideMark/>
          </w:tcPr>
          <w:p w14:paraId="03CFD79E"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78F72B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16,017 </w:t>
            </w:r>
          </w:p>
        </w:tc>
        <w:tc>
          <w:tcPr>
            <w:tcW w:w="272" w:type="dxa"/>
            <w:tcBorders>
              <w:top w:val="nil"/>
              <w:left w:val="nil"/>
              <w:bottom w:val="nil"/>
              <w:right w:val="nil"/>
            </w:tcBorders>
            <w:shd w:val="clear" w:color="auto" w:fill="auto"/>
            <w:noWrap/>
            <w:vAlign w:val="bottom"/>
            <w:hideMark/>
          </w:tcPr>
          <w:p w14:paraId="353161D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282B917"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16,273 </w:t>
            </w:r>
          </w:p>
        </w:tc>
      </w:tr>
      <w:tr w:rsidR="008478E5" w:rsidRPr="008478E5" w14:paraId="5D92F4E8"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1AA8ED8F"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5DAE40C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7,969 </w:t>
            </w:r>
          </w:p>
        </w:tc>
        <w:tc>
          <w:tcPr>
            <w:tcW w:w="272" w:type="dxa"/>
            <w:tcBorders>
              <w:top w:val="nil"/>
              <w:left w:val="nil"/>
              <w:bottom w:val="nil"/>
              <w:right w:val="nil"/>
            </w:tcBorders>
            <w:shd w:val="clear" w:color="auto" w:fill="auto"/>
            <w:noWrap/>
            <w:vAlign w:val="bottom"/>
            <w:hideMark/>
          </w:tcPr>
          <w:p w14:paraId="00F88E4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A770E29"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7,114 </w:t>
            </w:r>
          </w:p>
        </w:tc>
        <w:tc>
          <w:tcPr>
            <w:tcW w:w="336" w:type="dxa"/>
            <w:tcBorders>
              <w:top w:val="nil"/>
              <w:left w:val="nil"/>
              <w:bottom w:val="nil"/>
              <w:right w:val="nil"/>
            </w:tcBorders>
            <w:shd w:val="clear" w:color="auto" w:fill="auto"/>
            <w:noWrap/>
            <w:vAlign w:val="bottom"/>
            <w:hideMark/>
          </w:tcPr>
          <w:p w14:paraId="246728F8"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249B6A84"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30,061 </w:t>
            </w:r>
          </w:p>
        </w:tc>
        <w:tc>
          <w:tcPr>
            <w:tcW w:w="272" w:type="dxa"/>
            <w:tcBorders>
              <w:top w:val="nil"/>
              <w:left w:val="nil"/>
              <w:bottom w:val="nil"/>
              <w:right w:val="nil"/>
            </w:tcBorders>
            <w:shd w:val="clear" w:color="auto" w:fill="auto"/>
            <w:noWrap/>
            <w:vAlign w:val="bottom"/>
            <w:hideMark/>
          </w:tcPr>
          <w:p w14:paraId="79521B2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DE9634A"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26,637 </w:t>
            </w:r>
          </w:p>
        </w:tc>
      </w:tr>
      <w:tr w:rsidR="008478E5" w:rsidRPr="008478E5" w14:paraId="303EE5C2"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69CA5F1E"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13AFDEE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12,339 </w:t>
            </w:r>
          </w:p>
        </w:tc>
        <w:tc>
          <w:tcPr>
            <w:tcW w:w="272" w:type="dxa"/>
            <w:tcBorders>
              <w:top w:val="nil"/>
              <w:left w:val="nil"/>
              <w:bottom w:val="nil"/>
              <w:right w:val="nil"/>
            </w:tcBorders>
            <w:shd w:val="clear" w:color="auto" w:fill="auto"/>
            <w:noWrap/>
            <w:vAlign w:val="bottom"/>
            <w:hideMark/>
          </w:tcPr>
          <w:p w14:paraId="5D066DE6"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AB2FCA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10,412 </w:t>
            </w:r>
          </w:p>
        </w:tc>
        <w:tc>
          <w:tcPr>
            <w:tcW w:w="336" w:type="dxa"/>
            <w:tcBorders>
              <w:top w:val="nil"/>
              <w:left w:val="nil"/>
              <w:bottom w:val="nil"/>
              <w:right w:val="nil"/>
            </w:tcBorders>
            <w:shd w:val="clear" w:color="auto" w:fill="auto"/>
            <w:noWrap/>
            <w:vAlign w:val="bottom"/>
            <w:hideMark/>
          </w:tcPr>
          <w:p w14:paraId="1F9456CF"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8D31480"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46,078 </w:t>
            </w:r>
          </w:p>
        </w:tc>
        <w:tc>
          <w:tcPr>
            <w:tcW w:w="272" w:type="dxa"/>
            <w:tcBorders>
              <w:top w:val="nil"/>
              <w:left w:val="nil"/>
              <w:bottom w:val="nil"/>
              <w:right w:val="nil"/>
            </w:tcBorders>
            <w:shd w:val="clear" w:color="auto" w:fill="auto"/>
            <w:noWrap/>
            <w:vAlign w:val="bottom"/>
            <w:hideMark/>
          </w:tcPr>
          <w:p w14:paraId="74C6290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1219430"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42,910 </w:t>
            </w:r>
          </w:p>
        </w:tc>
      </w:tr>
      <w:tr w:rsidR="008478E5" w:rsidRPr="008478E5" w14:paraId="4842B713" w14:textId="77777777" w:rsidTr="00914AD4">
        <w:trPr>
          <w:trHeight w:val="288"/>
        </w:trPr>
        <w:tc>
          <w:tcPr>
            <w:tcW w:w="4240" w:type="dxa"/>
            <w:tcBorders>
              <w:top w:val="nil"/>
              <w:left w:val="nil"/>
              <w:bottom w:val="nil"/>
              <w:right w:val="nil"/>
            </w:tcBorders>
            <w:shd w:val="clear" w:color="auto" w:fill="auto"/>
            <w:noWrap/>
            <w:vAlign w:val="bottom"/>
            <w:hideMark/>
          </w:tcPr>
          <w:p w14:paraId="780101BD"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59ACADB0"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25,694 </w:t>
            </w:r>
          </w:p>
        </w:tc>
        <w:tc>
          <w:tcPr>
            <w:tcW w:w="272" w:type="dxa"/>
            <w:tcBorders>
              <w:top w:val="nil"/>
              <w:left w:val="nil"/>
              <w:bottom w:val="nil"/>
              <w:right w:val="nil"/>
            </w:tcBorders>
            <w:shd w:val="clear" w:color="auto" w:fill="auto"/>
            <w:noWrap/>
            <w:vAlign w:val="bottom"/>
            <w:hideMark/>
          </w:tcPr>
          <w:p w14:paraId="509026D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52F8B4E"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23,305 </w:t>
            </w:r>
          </w:p>
        </w:tc>
        <w:tc>
          <w:tcPr>
            <w:tcW w:w="336" w:type="dxa"/>
            <w:tcBorders>
              <w:top w:val="nil"/>
              <w:left w:val="nil"/>
              <w:bottom w:val="nil"/>
              <w:right w:val="nil"/>
            </w:tcBorders>
            <w:shd w:val="clear" w:color="auto" w:fill="auto"/>
            <w:noWrap/>
            <w:vAlign w:val="bottom"/>
            <w:hideMark/>
          </w:tcPr>
          <w:p w14:paraId="4C0010D1"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99207D4"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96,937 </w:t>
            </w:r>
          </w:p>
        </w:tc>
        <w:tc>
          <w:tcPr>
            <w:tcW w:w="272" w:type="dxa"/>
            <w:tcBorders>
              <w:top w:val="nil"/>
              <w:left w:val="nil"/>
              <w:bottom w:val="nil"/>
              <w:right w:val="nil"/>
            </w:tcBorders>
            <w:shd w:val="clear" w:color="auto" w:fill="auto"/>
            <w:noWrap/>
            <w:vAlign w:val="bottom"/>
            <w:hideMark/>
          </w:tcPr>
          <w:p w14:paraId="32432B0E"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5D78629"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82,933 </w:t>
            </w:r>
          </w:p>
        </w:tc>
      </w:tr>
      <w:tr w:rsidR="008478E5" w:rsidRPr="008478E5" w14:paraId="36CC8615" w14:textId="77777777" w:rsidTr="00914AD4">
        <w:trPr>
          <w:trHeight w:val="288"/>
        </w:trPr>
        <w:tc>
          <w:tcPr>
            <w:tcW w:w="4240" w:type="dxa"/>
            <w:tcBorders>
              <w:top w:val="nil"/>
              <w:left w:val="nil"/>
              <w:bottom w:val="nil"/>
              <w:right w:val="nil"/>
            </w:tcBorders>
            <w:shd w:val="clear" w:color="auto" w:fill="auto"/>
            <w:noWrap/>
            <w:vAlign w:val="bottom"/>
            <w:hideMark/>
          </w:tcPr>
          <w:p w14:paraId="4276281F"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49EE0D65"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5,214 </w:t>
            </w:r>
          </w:p>
        </w:tc>
        <w:tc>
          <w:tcPr>
            <w:tcW w:w="272" w:type="dxa"/>
            <w:tcBorders>
              <w:top w:val="nil"/>
              <w:left w:val="nil"/>
              <w:bottom w:val="nil"/>
              <w:right w:val="nil"/>
            </w:tcBorders>
            <w:shd w:val="clear" w:color="auto" w:fill="auto"/>
            <w:noWrap/>
            <w:vAlign w:val="bottom"/>
            <w:hideMark/>
          </w:tcPr>
          <w:p w14:paraId="4C84B741"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A77111B"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4,513 </w:t>
            </w:r>
          </w:p>
        </w:tc>
        <w:tc>
          <w:tcPr>
            <w:tcW w:w="336" w:type="dxa"/>
            <w:tcBorders>
              <w:top w:val="nil"/>
              <w:left w:val="nil"/>
              <w:bottom w:val="nil"/>
              <w:right w:val="nil"/>
            </w:tcBorders>
            <w:shd w:val="clear" w:color="auto" w:fill="auto"/>
            <w:noWrap/>
            <w:vAlign w:val="bottom"/>
            <w:hideMark/>
          </w:tcPr>
          <w:p w14:paraId="64D80023"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D8A3B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19,269 </w:t>
            </w:r>
          </w:p>
        </w:tc>
        <w:tc>
          <w:tcPr>
            <w:tcW w:w="272" w:type="dxa"/>
            <w:tcBorders>
              <w:top w:val="nil"/>
              <w:left w:val="nil"/>
              <w:bottom w:val="nil"/>
              <w:right w:val="nil"/>
            </w:tcBorders>
            <w:shd w:val="clear" w:color="auto" w:fill="auto"/>
            <w:noWrap/>
            <w:vAlign w:val="bottom"/>
            <w:hideMark/>
          </w:tcPr>
          <w:p w14:paraId="4B299437"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527E6C3"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16,876 </w:t>
            </w:r>
          </w:p>
        </w:tc>
      </w:tr>
      <w:tr w:rsidR="008478E5" w:rsidRPr="008478E5" w14:paraId="5D9D8CDD" w14:textId="77777777" w:rsidTr="00914AD4">
        <w:trPr>
          <w:trHeight w:val="288"/>
        </w:trPr>
        <w:tc>
          <w:tcPr>
            <w:tcW w:w="4240" w:type="dxa"/>
            <w:tcBorders>
              <w:top w:val="nil"/>
              <w:left w:val="nil"/>
              <w:bottom w:val="nil"/>
              <w:right w:val="nil"/>
            </w:tcBorders>
            <w:shd w:val="clear" w:color="auto" w:fill="auto"/>
            <w:noWrap/>
            <w:vAlign w:val="bottom"/>
            <w:hideMark/>
          </w:tcPr>
          <w:p w14:paraId="5F4092CB"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4B4C544E"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5,417 </w:t>
            </w:r>
          </w:p>
        </w:tc>
        <w:tc>
          <w:tcPr>
            <w:tcW w:w="272" w:type="dxa"/>
            <w:tcBorders>
              <w:top w:val="nil"/>
              <w:left w:val="nil"/>
              <w:bottom w:val="nil"/>
              <w:right w:val="nil"/>
            </w:tcBorders>
            <w:shd w:val="clear" w:color="auto" w:fill="auto"/>
            <w:noWrap/>
            <w:vAlign w:val="bottom"/>
            <w:hideMark/>
          </w:tcPr>
          <w:p w14:paraId="4A4B1704"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DBED6C2"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4,962 </w:t>
            </w:r>
          </w:p>
        </w:tc>
        <w:tc>
          <w:tcPr>
            <w:tcW w:w="336" w:type="dxa"/>
            <w:tcBorders>
              <w:top w:val="nil"/>
              <w:left w:val="nil"/>
              <w:bottom w:val="nil"/>
              <w:right w:val="nil"/>
            </w:tcBorders>
            <w:shd w:val="clear" w:color="auto" w:fill="auto"/>
            <w:noWrap/>
            <w:vAlign w:val="bottom"/>
            <w:hideMark/>
          </w:tcPr>
          <w:p w14:paraId="5D41B64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CFBA26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19,598 </w:t>
            </w:r>
          </w:p>
        </w:tc>
        <w:tc>
          <w:tcPr>
            <w:tcW w:w="272" w:type="dxa"/>
            <w:tcBorders>
              <w:top w:val="nil"/>
              <w:left w:val="nil"/>
              <w:bottom w:val="nil"/>
              <w:right w:val="nil"/>
            </w:tcBorders>
            <w:shd w:val="clear" w:color="auto" w:fill="auto"/>
            <w:noWrap/>
            <w:vAlign w:val="bottom"/>
            <w:hideMark/>
          </w:tcPr>
          <w:p w14:paraId="1C9241F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1F9F7A0"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18,213 </w:t>
            </w:r>
          </w:p>
        </w:tc>
      </w:tr>
      <w:tr w:rsidR="008478E5" w:rsidRPr="008478E5" w14:paraId="1E034120" w14:textId="77777777" w:rsidTr="00914AD4">
        <w:trPr>
          <w:trHeight w:val="288"/>
        </w:trPr>
        <w:tc>
          <w:tcPr>
            <w:tcW w:w="4240" w:type="dxa"/>
            <w:tcBorders>
              <w:top w:val="nil"/>
              <w:left w:val="nil"/>
              <w:bottom w:val="nil"/>
              <w:right w:val="nil"/>
            </w:tcBorders>
            <w:shd w:val="clear" w:color="auto" w:fill="auto"/>
            <w:noWrap/>
            <w:vAlign w:val="bottom"/>
            <w:hideMark/>
          </w:tcPr>
          <w:p w14:paraId="0031EF07"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16AB92D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1,656 </w:t>
            </w:r>
          </w:p>
        </w:tc>
        <w:tc>
          <w:tcPr>
            <w:tcW w:w="272" w:type="dxa"/>
            <w:tcBorders>
              <w:top w:val="nil"/>
              <w:left w:val="nil"/>
              <w:bottom w:val="nil"/>
              <w:right w:val="nil"/>
            </w:tcBorders>
            <w:shd w:val="clear" w:color="auto" w:fill="auto"/>
            <w:noWrap/>
            <w:vAlign w:val="bottom"/>
            <w:hideMark/>
          </w:tcPr>
          <w:p w14:paraId="4F2E38B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B43E763"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1,425 </w:t>
            </w:r>
          </w:p>
        </w:tc>
        <w:tc>
          <w:tcPr>
            <w:tcW w:w="336" w:type="dxa"/>
            <w:tcBorders>
              <w:top w:val="nil"/>
              <w:left w:val="nil"/>
              <w:bottom w:val="nil"/>
              <w:right w:val="nil"/>
            </w:tcBorders>
            <w:shd w:val="clear" w:color="auto" w:fill="auto"/>
            <w:noWrap/>
            <w:vAlign w:val="bottom"/>
            <w:hideMark/>
          </w:tcPr>
          <w:p w14:paraId="37109183"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1AB328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5,111 </w:t>
            </w:r>
          </w:p>
        </w:tc>
        <w:tc>
          <w:tcPr>
            <w:tcW w:w="272" w:type="dxa"/>
            <w:tcBorders>
              <w:top w:val="nil"/>
              <w:left w:val="nil"/>
              <w:bottom w:val="nil"/>
              <w:right w:val="nil"/>
            </w:tcBorders>
            <w:shd w:val="clear" w:color="auto" w:fill="auto"/>
            <w:noWrap/>
            <w:vAlign w:val="bottom"/>
            <w:hideMark/>
          </w:tcPr>
          <w:p w14:paraId="6FBEE42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944587C"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4,885 </w:t>
            </w:r>
          </w:p>
        </w:tc>
      </w:tr>
      <w:tr w:rsidR="008478E5" w:rsidRPr="008478E5" w14:paraId="57AC1D23" w14:textId="77777777" w:rsidTr="00914AD4">
        <w:trPr>
          <w:trHeight w:val="288"/>
        </w:trPr>
        <w:tc>
          <w:tcPr>
            <w:tcW w:w="4240" w:type="dxa"/>
            <w:tcBorders>
              <w:top w:val="single" w:sz="4" w:space="0" w:color="auto"/>
              <w:left w:val="nil"/>
              <w:bottom w:val="nil"/>
              <w:right w:val="nil"/>
            </w:tcBorders>
            <w:shd w:val="clear" w:color="auto" w:fill="auto"/>
            <w:noWrap/>
            <w:vAlign w:val="bottom"/>
            <w:hideMark/>
          </w:tcPr>
          <w:p w14:paraId="7DE62550"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01327337"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13,407 </w:t>
            </w:r>
          </w:p>
        </w:tc>
        <w:tc>
          <w:tcPr>
            <w:tcW w:w="272" w:type="dxa"/>
            <w:tcBorders>
              <w:top w:val="nil"/>
              <w:left w:val="nil"/>
              <w:bottom w:val="nil"/>
              <w:right w:val="nil"/>
            </w:tcBorders>
            <w:shd w:val="clear" w:color="auto" w:fill="auto"/>
            <w:noWrap/>
            <w:vAlign w:val="bottom"/>
            <w:hideMark/>
          </w:tcPr>
          <w:p w14:paraId="077AAF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08BB80EC"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12,405 </w:t>
            </w:r>
          </w:p>
        </w:tc>
        <w:tc>
          <w:tcPr>
            <w:tcW w:w="336" w:type="dxa"/>
            <w:tcBorders>
              <w:top w:val="nil"/>
              <w:left w:val="nil"/>
              <w:bottom w:val="nil"/>
              <w:right w:val="nil"/>
            </w:tcBorders>
            <w:shd w:val="clear" w:color="auto" w:fill="auto"/>
            <w:noWrap/>
            <w:vAlign w:val="bottom"/>
            <w:hideMark/>
          </w:tcPr>
          <w:p w14:paraId="1C4DA5B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69DAC2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52,959 </w:t>
            </w:r>
          </w:p>
        </w:tc>
        <w:tc>
          <w:tcPr>
            <w:tcW w:w="272" w:type="dxa"/>
            <w:tcBorders>
              <w:top w:val="nil"/>
              <w:left w:val="nil"/>
              <w:bottom w:val="nil"/>
              <w:right w:val="nil"/>
            </w:tcBorders>
            <w:shd w:val="clear" w:color="auto" w:fill="auto"/>
            <w:noWrap/>
            <w:vAlign w:val="bottom"/>
            <w:hideMark/>
          </w:tcPr>
          <w:p w14:paraId="08748F5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7AACF12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42,959 </w:t>
            </w:r>
          </w:p>
        </w:tc>
      </w:tr>
      <w:tr w:rsidR="008478E5" w:rsidRPr="008478E5" w14:paraId="5980DA18"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00E6BBEF"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2EC468BD"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15 </w:t>
            </w:r>
          </w:p>
        </w:tc>
        <w:tc>
          <w:tcPr>
            <w:tcW w:w="272" w:type="dxa"/>
            <w:tcBorders>
              <w:top w:val="nil"/>
              <w:left w:val="nil"/>
              <w:bottom w:val="nil"/>
              <w:right w:val="nil"/>
            </w:tcBorders>
            <w:shd w:val="clear" w:color="auto" w:fill="auto"/>
            <w:noWrap/>
            <w:vAlign w:val="bottom"/>
            <w:hideMark/>
          </w:tcPr>
          <w:p w14:paraId="3FF2D4E2"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1DDA63F"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191 </w:t>
            </w:r>
          </w:p>
        </w:tc>
        <w:tc>
          <w:tcPr>
            <w:tcW w:w="336" w:type="dxa"/>
            <w:tcBorders>
              <w:top w:val="nil"/>
              <w:left w:val="nil"/>
              <w:bottom w:val="nil"/>
              <w:right w:val="nil"/>
            </w:tcBorders>
            <w:shd w:val="clear" w:color="auto" w:fill="auto"/>
            <w:noWrap/>
            <w:vAlign w:val="bottom"/>
            <w:hideMark/>
          </w:tcPr>
          <w:p w14:paraId="0F3FB3A1"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9DADAD1"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77 </w:t>
            </w:r>
          </w:p>
        </w:tc>
        <w:tc>
          <w:tcPr>
            <w:tcW w:w="272" w:type="dxa"/>
            <w:tcBorders>
              <w:top w:val="nil"/>
              <w:left w:val="nil"/>
              <w:bottom w:val="nil"/>
              <w:right w:val="nil"/>
            </w:tcBorders>
            <w:shd w:val="clear" w:color="auto" w:fill="auto"/>
            <w:noWrap/>
            <w:vAlign w:val="bottom"/>
            <w:hideMark/>
          </w:tcPr>
          <w:p w14:paraId="7C0947A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B0F0008"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729 </w:t>
            </w:r>
          </w:p>
        </w:tc>
      </w:tr>
      <w:tr w:rsidR="008478E5" w:rsidRPr="008478E5" w14:paraId="689F0EDB" w14:textId="77777777" w:rsidTr="00914AD4">
        <w:trPr>
          <w:trHeight w:val="288"/>
        </w:trPr>
        <w:tc>
          <w:tcPr>
            <w:tcW w:w="4240" w:type="dxa"/>
            <w:tcBorders>
              <w:top w:val="nil"/>
              <w:left w:val="nil"/>
              <w:bottom w:val="nil"/>
              <w:right w:val="nil"/>
            </w:tcBorders>
            <w:shd w:val="clear" w:color="auto" w:fill="auto"/>
            <w:noWrap/>
            <w:vAlign w:val="bottom"/>
            <w:hideMark/>
          </w:tcPr>
          <w:p w14:paraId="3F3BA47C"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6E21F3B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13,422 </w:t>
            </w:r>
          </w:p>
        </w:tc>
        <w:tc>
          <w:tcPr>
            <w:tcW w:w="272" w:type="dxa"/>
            <w:tcBorders>
              <w:top w:val="nil"/>
              <w:left w:val="nil"/>
              <w:bottom w:val="nil"/>
              <w:right w:val="nil"/>
            </w:tcBorders>
            <w:shd w:val="clear" w:color="auto" w:fill="auto"/>
            <w:noWrap/>
            <w:vAlign w:val="bottom"/>
            <w:hideMark/>
          </w:tcPr>
          <w:p w14:paraId="2790EA4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D77DA30"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12,596 </w:t>
            </w:r>
          </w:p>
        </w:tc>
        <w:tc>
          <w:tcPr>
            <w:tcW w:w="336" w:type="dxa"/>
            <w:tcBorders>
              <w:top w:val="nil"/>
              <w:left w:val="nil"/>
              <w:bottom w:val="nil"/>
              <w:right w:val="nil"/>
            </w:tcBorders>
            <w:shd w:val="clear" w:color="auto" w:fill="auto"/>
            <w:noWrap/>
            <w:vAlign w:val="bottom"/>
            <w:hideMark/>
          </w:tcPr>
          <w:p w14:paraId="79FA5912"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4380EA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53,036 </w:t>
            </w:r>
          </w:p>
        </w:tc>
        <w:tc>
          <w:tcPr>
            <w:tcW w:w="272" w:type="dxa"/>
            <w:tcBorders>
              <w:top w:val="nil"/>
              <w:left w:val="nil"/>
              <w:bottom w:val="nil"/>
              <w:right w:val="nil"/>
            </w:tcBorders>
            <w:shd w:val="clear" w:color="auto" w:fill="auto"/>
            <w:noWrap/>
            <w:vAlign w:val="bottom"/>
            <w:hideMark/>
          </w:tcPr>
          <w:p w14:paraId="459649D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19CD4DE"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43,688 </w:t>
            </w:r>
          </w:p>
        </w:tc>
      </w:tr>
      <w:tr w:rsidR="008478E5" w:rsidRPr="008478E5" w14:paraId="3B781F3B"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3909C8F7" w14:textId="5D7A3CEC"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Provision for</w:t>
            </w:r>
            <w:r w:rsidR="00283DED">
              <w:rPr>
                <w:rFonts w:ascii="Segoe UI" w:eastAsia="Times New Roman" w:hAnsi="Segoe UI" w:cs="Segoe UI"/>
                <w:color w:val="666666"/>
                <w:sz w:val="20"/>
                <w:szCs w:val="20"/>
              </w:rPr>
              <w:t xml:space="preserve"> (benefit from)</w:t>
            </w:r>
            <w:r w:rsidRPr="008478E5">
              <w:rPr>
                <w:rFonts w:ascii="Segoe UI" w:eastAsia="Times New Roman" w:hAnsi="Segoe UI" w:cs="Segoe UI"/>
                <w:color w:val="666666"/>
                <w:sz w:val="20"/>
                <w:szCs w:val="20"/>
              </w:rPr>
              <w:t xml:space="preserve"> income taxes</w:t>
            </w:r>
          </w:p>
        </w:tc>
        <w:tc>
          <w:tcPr>
            <w:tcW w:w="1120" w:type="dxa"/>
            <w:tcBorders>
              <w:top w:val="nil"/>
              <w:left w:val="nil"/>
              <w:bottom w:val="single" w:sz="4" w:space="0" w:color="auto"/>
              <w:right w:val="nil"/>
            </w:tcBorders>
            <w:shd w:val="clear" w:color="auto" w:fill="auto"/>
            <w:noWrap/>
            <w:vAlign w:val="bottom"/>
            <w:hideMark/>
          </w:tcPr>
          <w:p w14:paraId="476F8AAA"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2,220 </w:t>
            </w:r>
          </w:p>
        </w:tc>
        <w:tc>
          <w:tcPr>
            <w:tcW w:w="272" w:type="dxa"/>
            <w:tcBorders>
              <w:top w:val="nil"/>
              <w:left w:val="nil"/>
              <w:bottom w:val="nil"/>
              <w:right w:val="nil"/>
            </w:tcBorders>
            <w:shd w:val="clear" w:color="auto" w:fill="auto"/>
            <w:noWrap/>
            <w:vAlign w:val="bottom"/>
            <w:hideMark/>
          </w:tcPr>
          <w:p w14:paraId="1D277AE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EA35713"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(591)</w:t>
            </w:r>
          </w:p>
        </w:tc>
        <w:tc>
          <w:tcPr>
            <w:tcW w:w="336" w:type="dxa"/>
            <w:tcBorders>
              <w:top w:val="nil"/>
              <w:left w:val="nil"/>
              <w:bottom w:val="nil"/>
              <w:right w:val="nil"/>
            </w:tcBorders>
            <w:shd w:val="clear" w:color="auto" w:fill="auto"/>
            <w:noWrap/>
            <w:vAlign w:val="bottom"/>
            <w:hideMark/>
          </w:tcPr>
          <w:p w14:paraId="2B50353E"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F174DF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8,755 </w:t>
            </w:r>
          </w:p>
        </w:tc>
        <w:tc>
          <w:tcPr>
            <w:tcW w:w="272" w:type="dxa"/>
            <w:tcBorders>
              <w:top w:val="nil"/>
              <w:left w:val="nil"/>
              <w:bottom w:val="nil"/>
              <w:right w:val="nil"/>
            </w:tcBorders>
            <w:shd w:val="clear" w:color="auto" w:fill="auto"/>
            <w:noWrap/>
            <w:vAlign w:val="bottom"/>
            <w:hideMark/>
          </w:tcPr>
          <w:p w14:paraId="7C179ACE"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09ABE02"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4,448 </w:t>
            </w:r>
          </w:p>
        </w:tc>
      </w:tr>
      <w:tr w:rsidR="008478E5" w:rsidRPr="008478E5" w14:paraId="31AF6CBF" w14:textId="77777777" w:rsidTr="00914AD4">
        <w:trPr>
          <w:trHeight w:val="288"/>
        </w:trPr>
        <w:tc>
          <w:tcPr>
            <w:tcW w:w="4240" w:type="dxa"/>
            <w:tcBorders>
              <w:top w:val="nil"/>
              <w:left w:val="nil"/>
              <w:bottom w:val="nil"/>
              <w:right w:val="nil"/>
            </w:tcBorders>
            <w:shd w:val="clear" w:color="auto" w:fill="auto"/>
            <w:noWrap/>
            <w:vAlign w:val="bottom"/>
            <w:hideMark/>
          </w:tcPr>
          <w:p w14:paraId="0A52DF5F"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Net income</w:t>
            </w:r>
          </w:p>
        </w:tc>
        <w:tc>
          <w:tcPr>
            <w:tcW w:w="1120" w:type="dxa"/>
            <w:tcBorders>
              <w:top w:val="nil"/>
              <w:left w:val="nil"/>
              <w:bottom w:val="single" w:sz="8" w:space="0" w:color="auto"/>
              <w:right w:val="nil"/>
            </w:tcBorders>
            <w:shd w:val="clear" w:color="auto" w:fill="auto"/>
            <w:noWrap/>
            <w:vAlign w:val="bottom"/>
            <w:hideMark/>
          </w:tcPr>
          <w:p w14:paraId="284FF72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$11,202 </w:t>
            </w:r>
          </w:p>
        </w:tc>
        <w:tc>
          <w:tcPr>
            <w:tcW w:w="272" w:type="dxa"/>
            <w:tcBorders>
              <w:top w:val="nil"/>
              <w:left w:val="nil"/>
              <w:bottom w:val="nil"/>
              <w:right w:val="nil"/>
            </w:tcBorders>
            <w:shd w:val="clear" w:color="auto" w:fill="auto"/>
            <w:noWrap/>
            <w:vAlign w:val="bottom"/>
            <w:hideMark/>
          </w:tcPr>
          <w:p w14:paraId="1ECA9E5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5E29486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$13,187 </w:t>
            </w:r>
          </w:p>
        </w:tc>
        <w:tc>
          <w:tcPr>
            <w:tcW w:w="336" w:type="dxa"/>
            <w:tcBorders>
              <w:top w:val="nil"/>
              <w:left w:val="nil"/>
              <w:bottom w:val="nil"/>
              <w:right w:val="nil"/>
            </w:tcBorders>
            <w:shd w:val="clear" w:color="auto" w:fill="auto"/>
            <w:noWrap/>
            <w:vAlign w:val="bottom"/>
            <w:hideMark/>
          </w:tcPr>
          <w:p w14:paraId="70CB2DE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3DAC96EA"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$44,281 </w:t>
            </w:r>
          </w:p>
        </w:tc>
        <w:tc>
          <w:tcPr>
            <w:tcW w:w="272" w:type="dxa"/>
            <w:tcBorders>
              <w:top w:val="nil"/>
              <w:left w:val="nil"/>
              <w:bottom w:val="nil"/>
              <w:right w:val="nil"/>
            </w:tcBorders>
            <w:shd w:val="clear" w:color="auto" w:fill="auto"/>
            <w:noWrap/>
            <w:vAlign w:val="bottom"/>
            <w:hideMark/>
          </w:tcPr>
          <w:p w14:paraId="21265811"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570D3B79"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$39,240 </w:t>
            </w:r>
          </w:p>
        </w:tc>
      </w:tr>
      <w:tr w:rsidR="008478E5" w:rsidRPr="008478E5" w14:paraId="468BC889" w14:textId="77777777" w:rsidTr="00914AD4">
        <w:trPr>
          <w:trHeight w:val="288"/>
        </w:trPr>
        <w:tc>
          <w:tcPr>
            <w:tcW w:w="4240" w:type="dxa"/>
            <w:tcBorders>
              <w:top w:val="nil"/>
              <w:left w:val="nil"/>
              <w:bottom w:val="nil"/>
              <w:right w:val="nil"/>
            </w:tcBorders>
            <w:shd w:val="clear" w:color="auto" w:fill="auto"/>
            <w:noWrap/>
            <w:vAlign w:val="bottom"/>
            <w:hideMark/>
          </w:tcPr>
          <w:p w14:paraId="31EBA26C"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Earnings per share:</w:t>
            </w:r>
          </w:p>
        </w:tc>
        <w:tc>
          <w:tcPr>
            <w:tcW w:w="1120" w:type="dxa"/>
            <w:tcBorders>
              <w:top w:val="nil"/>
              <w:left w:val="nil"/>
              <w:bottom w:val="nil"/>
              <w:right w:val="nil"/>
            </w:tcBorders>
            <w:shd w:val="clear" w:color="auto" w:fill="auto"/>
            <w:noWrap/>
            <w:vAlign w:val="bottom"/>
            <w:hideMark/>
          </w:tcPr>
          <w:p w14:paraId="37C2C434" w14:textId="77777777" w:rsidR="008478E5" w:rsidRPr="008478E5" w:rsidRDefault="008478E5" w:rsidP="008478E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5EDD6DB" w14:textId="77777777" w:rsidR="008478E5" w:rsidRPr="008478E5" w:rsidRDefault="008478E5" w:rsidP="008478E5">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05872D7"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C3A6F6E"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8D1BA30"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0E07437"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7DD74555" w14:textId="77777777" w:rsidR="008478E5" w:rsidRPr="008478E5" w:rsidRDefault="008478E5" w:rsidP="008478E5">
            <w:pPr>
              <w:spacing w:after="0" w:line="240" w:lineRule="auto"/>
              <w:jc w:val="right"/>
              <w:rPr>
                <w:rFonts w:ascii="Times New Roman" w:eastAsia="Times New Roman" w:hAnsi="Times New Roman"/>
                <w:sz w:val="20"/>
                <w:szCs w:val="20"/>
              </w:rPr>
            </w:pPr>
          </w:p>
        </w:tc>
      </w:tr>
      <w:tr w:rsidR="008478E5" w:rsidRPr="008478E5" w14:paraId="753937B2" w14:textId="77777777" w:rsidTr="00914AD4">
        <w:trPr>
          <w:trHeight w:val="288"/>
        </w:trPr>
        <w:tc>
          <w:tcPr>
            <w:tcW w:w="4240" w:type="dxa"/>
            <w:tcBorders>
              <w:top w:val="nil"/>
              <w:left w:val="nil"/>
              <w:bottom w:val="nil"/>
              <w:right w:val="nil"/>
            </w:tcBorders>
            <w:shd w:val="clear" w:color="auto" w:fill="auto"/>
            <w:noWrap/>
            <w:vAlign w:val="bottom"/>
            <w:hideMark/>
          </w:tcPr>
          <w:p w14:paraId="7B9916F1"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3B12205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$1.48 </w:t>
            </w:r>
          </w:p>
        </w:tc>
        <w:tc>
          <w:tcPr>
            <w:tcW w:w="272" w:type="dxa"/>
            <w:tcBorders>
              <w:top w:val="nil"/>
              <w:left w:val="nil"/>
              <w:bottom w:val="nil"/>
              <w:right w:val="nil"/>
            </w:tcBorders>
            <w:shd w:val="clear" w:color="auto" w:fill="auto"/>
            <w:noWrap/>
            <w:vAlign w:val="bottom"/>
            <w:hideMark/>
          </w:tcPr>
          <w:p w14:paraId="416EE4E5"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6500FB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$1.72 </w:t>
            </w:r>
          </w:p>
        </w:tc>
        <w:tc>
          <w:tcPr>
            <w:tcW w:w="336" w:type="dxa"/>
            <w:tcBorders>
              <w:top w:val="nil"/>
              <w:left w:val="nil"/>
              <w:bottom w:val="nil"/>
              <w:right w:val="nil"/>
            </w:tcBorders>
            <w:shd w:val="clear" w:color="auto" w:fill="auto"/>
            <w:noWrap/>
            <w:vAlign w:val="bottom"/>
            <w:hideMark/>
          </w:tcPr>
          <w:p w14:paraId="5878AAB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83AEFC6"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$5.82 </w:t>
            </w:r>
          </w:p>
        </w:tc>
        <w:tc>
          <w:tcPr>
            <w:tcW w:w="272" w:type="dxa"/>
            <w:tcBorders>
              <w:top w:val="nil"/>
              <w:left w:val="nil"/>
              <w:bottom w:val="nil"/>
              <w:right w:val="nil"/>
            </w:tcBorders>
            <w:shd w:val="clear" w:color="auto" w:fill="auto"/>
            <w:noWrap/>
            <w:vAlign w:val="bottom"/>
            <w:hideMark/>
          </w:tcPr>
          <w:p w14:paraId="780D53F8"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325B5784"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$5.11 </w:t>
            </w:r>
          </w:p>
        </w:tc>
      </w:tr>
      <w:tr w:rsidR="008478E5" w:rsidRPr="008478E5" w14:paraId="5EDF9550" w14:textId="77777777" w:rsidTr="00914AD4">
        <w:trPr>
          <w:trHeight w:val="288"/>
        </w:trPr>
        <w:tc>
          <w:tcPr>
            <w:tcW w:w="4240" w:type="dxa"/>
            <w:tcBorders>
              <w:top w:val="nil"/>
              <w:left w:val="nil"/>
              <w:bottom w:val="nil"/>
              <w:right w:val="nil"/>
            </w:tcBorders>
            <w:shd w:val="clear" w:color="auto" w:fill="auto"/>
            <w:noWrap/>
            <w:vAlign w:val="bottom"/>
            <w:hideMark/>
          </w:tcPr>
          <w:p w14:paraId="2F1A9237"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296806D9"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$1.46 </w:t>
            </w:r>
          </w:p>
        </w:tc>
        <w:tc>
          <w:tcPr>
            <w:tcW w:w="272" w:type="dxa"/>
            <w:tcBorders>
              <w:top w:val="nil"/>
              <w:left w:val="nil"/>
              <w:bottom w:val="nil"/>
              <w:right w:val="nil"/>
            </w:tcBorders>
            <w:shd w:val="clear" w:color="auto" w:fill="auto"/>
            <w:noWrap/>
            <w:vAlign w:val="bottom"/>
            <w:hideMark/>
          </w:tcPr>
          <w:p w14:paraId="16DB7585"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C383C1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$1.71 </w:t>
            </w:r>
          </w:p>
        </w:tc>
        <w:tc>
          <w:tcPr>
            <w:tcW w:w="336" w:type="dxa"/>
            <w:tcBorders>
              <w:top w:val="nil"/>
              <w:left w:val="nil"/>
              <w:bottom w:val="nil"/>
              <w:right w:val="nil"/>
            </w:tcBorders>
            <w:shd w:val="clear" w:color="auto" w:fill="auto"/>
            <w:noWrap/>
            <w:vAlign w:val="bottom"/>
            <w:hideMark/>
          </w:tcPr>
          <w:p w14:paraId="14672BB5"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55048C4E"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 $5.76 </w:t>
            </w:r>
          </w:p>
        </w:tc>
        <w:tc>
          <w:tcPr>
            <w:tcW w:w="272" w:type="dxa"/>
            <w:tcBorders>
              <w:top w:val="nil"/>
              <w:left w:val="nil"/>
              <w:bottom w:val="nil"/>
              <w:right w:val="nil"/>
            </w:tcBorders>
            <w:shd w:val="clear" w:color="auto" w:fill="auto"/>
            <w:noWrap/>
            <w:vAlign w:val="bottom"/>
            <w:hideMark/>
          </w:tcPr>
          <w:p w14:paraId="2A87661A"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2764BE27"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$5.06 </w:t>
            </w:r>
          </w:p>
        </w:tc>
      </w:tr>
      <w:tr w:rsidR="008478E5" w:rsidRPr="008478E5" w14:paraId="57AB8D89" w14:textId="77777777" w:rsidTr="00914AD4">
        <w:trPr>
          <w:trHeight w:val="288"/>
        </w:trPr>
        <w:tc>
          <w:tcPr>
            <w:tcW w:w="4240" w:type="dxa"/>
            <w:tcBorders>
              <w:top w:val="nil"/>
              <w:left w:val="nil"/>
              <w:bottom w:val="nil"/>
              <w:right w:val="nil"/>
            </w:tcBorders>
            <w:shd w:val="clear" w:color="auto" w:fill="auto"/>
            <w:noWrap/>
            <w:vAlign w:val="bottom"/>
            <w:hideMark/>
          </w:tcPr>
          <w:p w14:paraId="42701247"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6079FD11" w14:textId="77777777" w:rsidR="008478E5" w:rsidRPr="008478E5" w:rsidRDefault="008478E5" w:rsidP="008478E5">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2EE55C2" w14:textId="77777777" w:rsidR="008478E5" w:rsidRPr="008478E5" w:rsidRDefault="008478E5" w:rsidP="008478E5">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C5CD27C"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2003C52D"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BB018ED"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DB9242C" w14:textId="77777777" w:rsidR="008478E5" w:rsidRPr="008478E5" w:rsidRDefault="008478E5" w:rsidP="008478E5">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02AD914B" w14:textId="77777777" w:rsidR="008478E5" w:rsidRPr="008478E5" w:rsidRDefault="008478E5" w:rsidP="008478E5">
            <w:pPr>
              <w:spacing w:after="0" w:line="240" w:lineRule="auto"/>
              <w:jc w:val="right"/>
              <w:rPr>
                <w:rFonts w:ascii="Times New Roman" w:eastAsia="Times New Roman" w:hAnsi="Times New Roman"/>
                <w:sz w:val="20"/>
                <w:szCs w:val="20"/>
              </w:rPr>
            </w:pPr>
          </w:p>
        </w:tc>
      </w:tr>
      <w:tr w:rsidR="008478E5" w:rsidRPr="008478E5" w14:paraId="679B08DC" w14:textId="77777777" w:rsidTr="00914AD4">
        <w:trPr>
          <w:trHeight w:val="288"/>
        </w:trPr>
        <w:tc>
          <w:tcPr>
            <w:tcW w:w="4240" w:type="dxa"/>
            <w:tcBorders>
              <w:top w:val="nil"/>
              <w:left w:val="nil"/>
              <w:bottom w:val="nil"/>
              <w:right w:val="nil"/>
            </w:tcBorders>
            <w:shd w:val="clear" w:color="auto" w:fill="auto"/>
            <w:noWrap/>
            <w:vAlign w:val="bottom"/>
            <w:hideMark/>
          </w:tcPr>
          <w:p w14:paraId="6B61AFD0"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1DA2B6C0"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7,580 </w:t>
            </w:r>
          </w:p>
        </w:tc>
        <w:tc>
          <w:tcPr>
            <w:tcW w:w="272" w:type="dxa"/>
            <w:tcBorders>
              <w:top w:val="nil"/>
              <w:left w:val="nil"/>
              <w:bottom w:val="nil"/>
              <w:right w:val="nil"/>
            </w:tcBorders>
            <w:shd w:val="clear" w:color="auto" w:fill="auto"/>
            <w:noWrap/>
            <w:vAlign w:val="bottom"/>
            <w:hideMark/>
          </w:tcPr>
          <w:p w14:paraId="0649A4B7"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240C676"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7,655 </w:t>
            </w:r>
          </w:p>
        </w:tc>
        <w:tc>
          <w:tcPr>
            <w:tcW w:w="336" w:type="dxa"/>
            <w:tcBorders>
              <w:top w:val="nil"/>
              <w:left w:val="nil"/>
              <w:bottom w:val="nil"/>
              <w:right w:val="nil"/>
            </w:tcBorders>
            <w:shd w:val="clear" w:color="auto" w:fill="auto"/>
            <w:noWrap/>
            <w:vAlign w:val="bottom"/>
            <w:hideMark/>
          </w:tcPr>
          <w:p w14:paraId="1A0A8FBC"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238E43C"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7,610 </w:t>
            </w:r>
          </w:p>
        </w:tc>
        <w:tc>
          <w:tcPr>
            <w:tcW w:w="272" w:type="dxa"/>
            <w:tcBorders>
              <w:top w:val="nil"/>
              <w:left w:val="nil"/>
              <w:bottom w:val="nil"/>
              <w:right w:val="nil"/>
            </w:tcBorders>
            <w:shd w:val="clear" w:color="auto" w:fill="auto"/>
            <w:noWrap/>
            <w:vAlign w:val="bottom"/>
            <w:hideMark/>
          </w:tcPr>
          <w:p w14:paraId="7B988977"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5DE98DC"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7,673 </w:t>
            </w:r>
          </w:p>
        </w:tc>
      </w:tr>
      <w:tr w:rsidR="008478E5" w:rsidRPr="008478E5" w14:paraId="4CF14B2F" w14:textId="77777777" w:rsidTr="00914AD4">
        <w:trPr>
          <w:trHeight w:val="288"/>
        </w:trPr>
        <w:tc>
          <w:tcPr>
            <w:tcW w:w="4240" w:type="dxa"/>
            <w:tcBorders>
              <w:top w:val="nil"/>
              <w:left w:val="nil"/>
              <w:bottom w:val="single" w:sz="4" w:space="0" w:color="auto"/>
              <w:right w:val="nil"/>
            </w:tcBorders>
            <w:shd w:val="clear" w:color="auto" w:fill="auto"/>
            <w:noWrap/>
            <w:vAlign w:val="bottom"/>
            <w:hideMark/>
          </w:tcPr>
          <w:p w14:paraId="41AFD110" w14:textId="77777777" w:rsidR="008478E5" w:rsidRPr="008478E5" w:rsidRDefault="008478E5" w:rsidP="008478E5">
            <w:pPr>
              <w:spacing w:after="0" w:line="240" w:lineRule="auto"/>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   Diluted</w:t>
            </w:r>
          </w:p>
        </w:tc>
        <w:tc>
          <w:tcPr>
            <w:tcW w:w="1120" w:type="dxa"/>
            <w:tcBorders>
              <w:top w:val="nil"/>
              <w:left w:val="nil"/>
              <w:bottom w:val="single" w:sz="4" w:space="0" w:color="auto"/>
              <w:right w:val="nil"/>
            </w:tcBorders>
            <w:shd w:val="clear" w:color="auto" w:fill="auto"/>
            <w:noWrap/>
            <w:vAlign w:val="bottom"/>
            <w:hideMark/>
          </w:tcPr>
          <w:p w14:paraId="10F4374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7,650 </w:t>
            </w:r>
          </w:p>
        </w:tc>
        <w:tc>
          <w:tcPr>
            <w:tcW w:w="272" w:type="dxa"/>
            <w:tcBorders>
              <w:top w:val="nil"/>
              <w:left w:val="nil"/>
              <w:bottom w:val="single" w:sz="4" w:space="0" w:color="auto"/>
              <w:right w:val="nil"/>
            </w:tcBorders>
            <w:shd w:val="clear" w:color="auto" w:fill="auto"/>
            <w:noWrap/>
            <w:vAlign w:val="bottom"/>
            <w:hideMark/>
          </w:tcPr>
          <w:p w14:paraId="03FA01FB"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292AA379"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7,730 </w:t>
            </w:r>
          </w:p>
        </w:tc>
        <w:tc>
          <w:tcPr>
            <w:tcW w:w="336" w:type="dxa"/>
            <w:tcBorders>
              <w:top w:val="nil"/>
              <w:left w:val="nil"/>
              <w:bottom w:val="single" w:sz="4" w:space="0" w:color="auto"/>
              <w:right w:val="nil"/>
            </w:tcBorders>
            <w:shd w:val="clear" w:color="auto" w:fill="auto"/>
            <w:noWrap/>
            <w:vAlign w:val="bottom"/>
            <w:hideMark/>
          </w:tcPr>
          <w:p w14:paraId="63CE0FA7"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33B6A6F"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xml:space="preserve">7,683 </w:t>
            </w:r>
          </w:p>
        </w:tc>
        <w:tc>
          <w:tcPr>
            <w:tcW w:w="272" w:type="dxa"/>
            <w:tcBorders>
              <w:top w:val="nil"/>
              <w:left w:val="nil"/>
              <w:bottom w:val="single" w:sz="4" w:space="0" w:color="auto"/>
              <w:right w:val="nil"/>
            </w:tcBorders>
            <w:shd w:val="clear" w:color="auto" w:fill="auto"/>
            <w:noWrap/>
            <w:vAlign w:val="bottom"/>
            <w:hideMark/>
          </w:tcPr>
          <w:p w14:paraId="496F0C53" w14:textId="77777777" w:rsidR="008478E5" w:rsidRPr="008478E5" w:rsidRDefault="008478E5" w:rsidP="008478E5">
            <w:pPr>
              <w:spacing w:after="0" w:line="240" w:lineRule="auto"/>
              <w:jc w:val="right"/>
              <w:rPr>
                <w:rFonts w:ascii="Segoe UI" w:eastAsia="Times New Roman" w:hAnsi="Segoe UI" w:cs="Segoe UI"/>
                <w:b/>
                <w:bCs/>
                <w:color w:val="666666"/>
                <w:sz w:val="20"/>
                <w:szCs w:val="20"/>
              </w:rPr>
            </w:pPr>
            <w:r w:rsidRPr="008478E5">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4438AA7D" w14:textId="77777777" w:rsidR="008478E5" w:rsidRPr="008478E5" w:rsidRDefault="008478E5" w:rsidP="008478E5">
            <w:pPr>
              <w:spacing w:after="0" w:line="240" w:lineRule="auto"/>
              <w:jc w:val="right"/>
              <w:rPr>
                <w:rFonts w:ascii="Segoe UI" w:eastAsia="Times New Roman" w:hAnsi="Segoe UI" w:cs="Segoe UI"/>
                <w:color w:val="666666"/>
                <w:sz w:val="20"/>
                <w:szCs w:val="20"/>
              </w:rPr>
            </w:pPr>
            <w:r w:rsidRPr="008478E5">
              <w:rPr>
                <w:rFonts w:ascii="Segoe UI" w:eastAsia="Times New Roman" w:hAnsi="Segoe UI" w:cs="Segoe UI"/>
                <w:color w:val="666666"/>
                <w:sz w:val="20"/>
                <w:szCs w:val="20"/>
              </w:rPr>
              <w:t xml:space="preserve">7,753 </w:t>
            </w:r>
          </w:p>
        </w:tc>
      </w:tr>
    </w:tbl>
    <w:p w14:paraId="5FC2D8C7" w14:textId="77777777" w:rsidR="00D54C22" w:rsidRPr="0072035E" w:rsidRDefault="00D54C22" w:rsidP="00D54C22">
      <w:pPr>
        <w:rPr>
          <w:rFonts w:ascii="Times New Roman" w:hAnsi="Times New Roman"/>
          <w:sz w:val="24"/>
          <w:szCs w:val="24"/>
        </w:rPr>
        <w:sectPr w:rsidR="00D54C22" w:rsidRPr="0072035E" w:rsidSect="00A20A36">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720" w:left="720" w:header="720" w:footer="720" w:gutter="0"/>
          <w:cols w:space="720"/>
          <w:docGrid w:linePitch="360"/>
        </w:sectPr>
      </w:pPr>
    </w:p>
    <w:p w14:paraId="361EBD40" w14:textId="77777777" w:rsidR="00D54C22" w:rsidRDefault="00D54C22" w:rsidP="00D54C22">
      <w:pPr>
        <w:pageBreakBefore/>
        <w:autoSpaceDE w:val="0"/>
        <w:autoSpaceDN w:val="0"/>
        <w:adjustRightInd w:val="0"/>
        <w:spacing w:after="0" w:line="1" w:lineRule="exact"/>
        <w:rPr>
          <w:rFonts w:ascii="Times New Roman" w:hAnsi="Times New Roman"/>
          <w:sz w:val="24"/>
          <w:szCs w:val="24"/>
        </w:rPr>
      </w:pPr>
    </w:p>
    <w:tbl>
      <w:tblPr>
        <w:tblW w:w="9540" w:type="dxa"/>
        <w:tblLook w:val="04A0" w:firstRow="1" w:lastRow="0" w:firstColumn="1" w:lastColumn="0" w:noHBand="0" w:noVBand="1"/>
      </w:tblPr>
      <w:tblGrid>
        <w:gridCol w:w="4410"/>
        <w:gridCol w:w="1073"/>
        <w:gridCol w:w="272"/>
        <w:gridCol w:w="1003"/>
        <w:gridCol w:w="434"/>
        <w:gridCol w:w="1073"/>
        <w:gridCol w:w="272"/>
        <w:gridCol w:w="1003"/>
      </w:tblGrid>
      <w:tr w:rsidR="00232599" w:rsidRPr="00232599" w14:paraId="3B9B19A9" w14:textId="77777777" w:rsidTr="004F7660">
        <w:trPr>
          <w:trHeight w:val="308"/>
        </w:trPr>
        <w:tc>
          <w:tcPr>
            <w:tcW w:w="9540" w:type="dxa"/>
            <w:gridSpan w:val="8"/>
            <w:tcBorders>
              <w:top w:val="nil"/>
              <w:left w:val="nil"/>
              <w:bottom w:val="nil"/>
              <w:right w:val="nil"/>
            </w:tcBorders>
            <w:shd w:val="clear" w:color="auto" w:fill="auto"/>
            <w:noWrap/>
            <w:vAlign w:val="bottom"/>
            <w:hideMark/>
          </w:tcPr>
          <w:p w14:paraId="094F2069" w14:textId="77777777" w:rsidR="00232599" w:rsidRPr="00232599" w:rsidRDefault="00232599" w:rsidP="00232599">
            <w:pPr>
              <w:spacing w:after="0" w:line="240" w:lineRule="auto"/>
              <w:jc w:val="center"/>
              <w:rPr>
                <w:rFonts w:ascii="Segoe UI" w:eastAsia="Times New Roman" w:hAnsi="Segoe UI" w:cs="Segoe UI"/>
                <w:color w:val="666666"/>
                <w:sz w:val="20"/>
                <w:szCs w:val="20"/>
              </w:rPr>
            </w:pPr>
            <w:bookmarkStart w:id="11" w:name="RANGE!A3:H15"/>
            <w:r w:rsidRPr="00232599">
              <w:rPr>
                <w:rFonts w:ascii="Segoe UI" w:eastAsia="Times New Roman" w:hAnsi="Segoe UI" w:cs="Segoe UI"/>
                <w:color w:val="666666"/>
                <w:sz w:val="20"/>
                <w:szCs w:val="20"/>
              </w:rPr>
              <w:t>COMPREHENSIVE INCOME STATEMENTS</w:t>
            </w:r>
            <w:bookmarkEnd w:id="11"/>
          </w:p>
        </w:tc>
      </w:tr>
      <w:tr w:rsidR="00232599" w:rsidRPr="00232599" w14:paraId="1898A111" w14:textId="77777777" w:rsidTr="004F7660">
        <w:trPr>
          <w:trHeight w:val="308"/>
        </w:trPr>
        <w:tc>
          <w:tcPr>
            <w:tcW w:w="9540" w:type="dxa"/>
            <w:gridSpan w:val="8"/>
            <w:tcBorders>
              <w:top w:val="nil"/>
              <w:left w:val="nil"/>
              <w:bottom w:val="nil"/>
              <w:right w:val="nil"/>
            </w:tcBorders>
            <w:shd w:val="clear" w:color="auto" w:fill="auto"/>
            <w:noWrap/>
            <w:vAlign w:val="bottom"/>
            <w:hideMark/>
          </w:tcPr>
          <w:p w14:paraId="4834471B" w14:textId="77777777" w:rsidR="00232599" w:rsidRPr="00232599" w:rsidRDefault="00232599" w:rsidP="00232599">
            <w:pPr>
              <w:spacing w:after="0" w:line="240" w:lineRule="auto"/>
              <w:jc w:val="center"/>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(In millions) (Unaudited)</w:t>
            </w:r>
          </w:p>
        </w:tc>
      </w:tr>
      <w:tr w:rsidR="00232599" w:rsidRPr="00232599" w14:paraId="409B02D8" w14:textId="77777777" w:rsidTr="004F7660">
        <w:trPr>
          <w:trHeight w:val="308"/>
        </w:trPr>
        <w:tc>
          <w:tcPr>
            <w:tcW w:w="4410" w:type="dxa"/>
            <w:tcBorders>
              <w:top w:val="nil"/>
              <w:left w:val="nil"/>
              <w:bottom w:val="nil"/>
              <w:right w:val="nil"/>
            </w:tcBorders>
            <w:shd w:val="clear" w:color="auto" w:fill="auto"/>
            <w:noWrap/>
            <w:vAlign w:val="bottom"/>
            <w:hideMark/>
          </w:tcPr>
          <w:p w14:paraId="3267BCE1" w14:textId="77777777" w:rsidR="00232599" w:rsidRPr="00232599" w:rsidRDefault="00232599" w:rsidP="00232599">
            <w:pPr>
              <w:spacing w:after="0" w:line="240" w:lineRule="auto"/>
              <w:jc w:val="center"/>
              <w:rPr>
                <w:rFonts w:ascii="Segoe UI" w:eastAsia="Times New Roman" w:hAnsi="Segoe UI" w:cs="Segoe UI"/>
                <w:color w:val="666666"/>
                <w:sz w:val="20"/>
                <w:szCs w:val="20"/>
              </w:rPr>
            </w:pPr>
          </w:p>
        </w:tc>
        <w:tc>
          <w:tcPr>
            <w:tcW w:w="1073" w:type="dxa"/>
            <w:tcBorders>
              <w:top w:val="nil"/>
              <w:left w:val="nil"/>
              <w:bottom w:val="nil"/>
              <w:right w:val="nil"/>
            </w:tcBorders>
            <w:shd w:val="clear" w:color="auto" w:fill="auto"/>
            <w:noWrap/>
            <w:vAlign w:val="bottom"/>
            <w:hideMark/>
          </w:tcPr>
          <w:p w14:paraId="50C5C3F3"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DFB34AB"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1003" w:type="dxa"/>
            <w:tcBorders>
              <w:top w:val="nil"/>
              <w:left w:val="nil"/>
              <w:bottom w:val="nil"/>
              <w:right w:val="nil"/>
            </w:tcBorders>
            <w:shd w:val="clear" w:color="auto" w:fill="auto"/>
            <w:noWrap/>
            <w:vAlign w:val="bottom"/>
            <w:hideMark/>
          </w:tcPr>
          <w:p w14:paraId="39205379"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434" w:type="dxa"/>
            <w:tcBorders>
              <w:top w:val="nil"/>
              <w:left w:val="nil"/>
              <w:bottom w:val="nil"/>
              <w:right w:val="nil"/>
            </w:tcBorders>
            <w:shd w:val="clear" w:color="auto" w:fill="auto"/>
            <w:noWrap/>
            <w:vAlign w:val="bottom"/>
            <w:hideMark/>
          </w:tcPr>
          <w:p w14:paraId="282F0A25"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1073" w:type="dxa"/>
            <w:tcBorders>
              <w:top w:val="nil"/>
              <w:left w:val="nil"/>
              <w:bottom w:val="nil"/>
              <w:right w:val="nil"/>
            </w:tcBorders>
            <w:shd w:val="clear" w:color="auto" w:fill="auto"/>
            <w:noWrap/>
            <w:vAlign w:val="bottom"/>
            <w:hideMark/>
          </w:tcPr>
          <w:p w14:paraId="2FA50855"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93D6504"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1003" w:type="dxa"/>
            <w:tcBorders>
              <w:top w:val="nil"/>
              <w:left w:val="nil"/>
              <w:bottom w:val="nil"/>
              <w:right w:val="nil"/>
            </w:tcBorders>
            <w:shd w:val="clear" w:color="auto" w:fill="auto"/>
            <w:noWrap/>
            <w:vAlign w:val="bottom"/>
            <w:hideMark/>
          </w:tcPr>
          <w:p w14:paraId="735936DF" w14:textId="77777777" w:rsidR="00232599" w:rsidRPr="00232599" w:rsidRDefault="00232599" w:rsidP="00232599">
            <w:pPr>
              <w:spacing w:after="0" w:line="240" w:lineRule="auto"/>
              <w:jc w:val="center"/>
              <w:rPr>
                <w:rFonts w:ascii="Times New Roman" w:eastAsia="Times New Roman" w:hAnsi="Times New Roman"/>
                <w:sz w:val="20"/>
                <w:szCs w:val="20"/>
              </w:rPr>
            </w:pPr>
          </w:p>
        </w:tc>
      </w:tr>
      <w:tr w:rsidR="00232599" w:rsidRPr="00232599" w14:paraId="4557589D" w14:textId="77777777" w:rsidTr="004F7660">
        <w:trPr>
          <w:trHeight w:val="308"/>
        </w:trPr>
        <w:tc>
          <w:tcPr>
            <w:tcW w:w="4410" w:type="dxa"/>
            <w:tcBorders>
              <w:top w:val="nil"/>
              <w:left w:val="nil"/>
              <w:bottom w:val="nil"/>
              <w:right w:val="nil"/>
            </w:tcBorders>
            <w:shd w:val="clear" w:color="auto" w:fill="auto"/>
            <w:noWrap/>
            <w:vAlign w:val="bottom"/>
            <w:hideMark/>
          </w:tcPr>
          <w:p w14:paraId="15C8FFCC" w14:textId="77777777" w:rsidR="00232599" w:rsidRPr="00232599" w:rsidRDefault="00232599" w:rsidP="00232599">
            <w:pPr>
              <w:spacing w:after="0" w:line="240" w:lineRule="auto"/>
              <w:jc w:val="center"/>
              <w:rPr>
                <w:rFonts w:ascii="Times New Roman" w:eastAsia="Times New Roman" w:hAnsi="Times New Roman"/>
                <w:sz w:val="20"/>
                <w:szCs w:val="20"/>
              </w:rPr>
            </w:pPr>
          </w:p>
        </w:tc>
        <w:tc>
          <w:tcPr>
            <w:tcW w:w="2348" w:type="dxa"/>
            <w:gridSpan w:val="3"/>
            <w:vMerge w:val="restart"/>
            <w:tcBorders>
              <w:top w:val="nil"/>
              <w:left w:val="nil"/>
              <w:bottom w:val="nil"/>
              <w:right w:val="nil"/>
            </w:tcBorders>
            <w:shd w:val="clear" w:color="auto" w:fill="auto"/>
            <w:vAlign w:val="bottom"/>
            <w:hideMark/>
          </w:tcPr>
          <w:p w14:paraId="5B09FB17"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Three Months Ended June 30,</w:t>
            </w:r>
          </w:p>
        </w:tc>
        <w:tc>
          <w:tcPr>
            <w:tcW w:w="434" w:type="dxa"/>
            <w:tcBorders>
              <w:top w:val="nil"/>
              <w:left w:val="nil"/>
              <w:bottom w:val="nil"/>
              <w:right w:val="nil"/>
            </w:tcBorders>
            <w:shd w:val="clear" w:color="auto" w:fill="auto"/>
            <w:vAlign w:val="bottom"/>
            <w:hideMark/>
          </w:tcPr>
          <w:p w14:paraId="28F29439"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2348" w:type="dxa"/>
            <w:gridSpan w:val="3"/>
            <w:vMerge w:val="restart"/>
            <w:tcBorders>
              <w:top w:val="nil"/>
              <w:left w:val="nil"/>
              <w:bottom w:val="nil"/>
              <w:right w:val="nil"/>
            </w:tcBorders>
            <w:shd w:val="clear" w:color="auto" w:fill="auto"/>
            <w:vAlign w:val="bottom"/>
            <w:hideMark/>
          </w:tcPr>
          <w:p w14:paraId="7D2D13A3"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Twelve Months Ended June 30,</w:t>
            </w:r>
          </w:p>
        </w:tc>
      </w:tr>
      <w:tr w:rsidR="00232599" w:rsidRPr="00232599" w14:paraId="19F00A11" w14:textId="77777777" w:rsidTr="004F7660">
        <w:trPr>
          <w:trHeight w:val="308"/>
        </w:trPr>
        <w:tc>
          <w:tcPr>
            <w:tcW w:w="4410" w:type="dxa"/>
            <w:tcBorders>
              <w:top w:val="nil"/>
              <w:left w:val="nil"/>
              <w:bottom w:val="nil"/>
              <w:right w:val="nil"/>
            </w:tcBorders>
            <w:shd w:val="clear" w:color="auto" w:fill="auto"/>
            <w:noWrap/>
            <w:vAlign w:val="bottom"/>
            <w:hideMark/>
          </w:tcPr>
          <w:p w14:paraId="42EF5760"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2348" w:type="dxa"/>
            <w:gridSpan w:val="3"/>
            <w:vMerge/>
            <w:tcBorders>
              <w:top w:val="nil"/>
              <w:left w:val="nil"/>
              <w:bottom w:val="nil"/>
              <w:right w:val="nil"/>
            </w:tcBorders>
            <w:vAlign w:val="center"/>
            <w:hideMark/>
          </w:tcPr>
          <w:p w14:paraId="72F7DDA1" w14:textId="77777777" w:rsidR="00232599" w:rsidRPr="00232599" w:rsidRDefault="00232599" w:rsidP="00232599">
            <w:pPr>
              <w:spacing w:after="0" w:line="240" w:lineRule="auto"/>
              <w:rPr>
                <w:rFonts w:ascii="Segoe UI" w:eastAsia="Times New Roman" w:hAnsi="Segoe UI" w:cs="Segoe UI"/>
                <w:b/>
                <w:bCs/>
                <w:color w:val="666666"/>
                <w:sz w:val="20"/>
                <w:szCs w:val="20"/>
              </w:rPr>
            </w:pPr>
          </w:p>
        </w:tc>
        <w:tc>
          <w:tcPr>
            <w:tcW w:w="434" w:type="dxa"/>
            <w:tcBorders>
              <w:top w:val="nil"/>
              <w:left w:val="nil"/>
              <w:bottom w:val="nil"/>
              <w:right w:val="nil"/>
            </w:tcBorders>
            <w:shd w:val="clear" w:color="auto" w:fill="auto"/>
            <w:vAlign w:val="bottom"/>
            <w:hideMark/>
          </w:tcPr>
          <w:p w14:paraId="29FE6EF0" w14:textId="77777777" w:rsidR="00232599" w:rsidRPr="00232599" w:rsidRDefault="00232599" w:rsidP="00232599">
            <w:pPr>
              <w:spacing w:after="0" w:line="240" w:lineRule="auto"/>
              <w:rPr>
                <w:rFonts w:ascii="Times New Roman" w:eastAsia="Times New Roman" w:hAnsi="Times New Roman"/>
                <w:sz w:val="20"/>
                <w:szCs w:val="20"/>
              </w:rPr>
            </w:pPr>
          </w:p>
        </w:tc>
        <w:tc>
          <w:tcPr>
            <w:tcW w:w="2348" w:type="dxa"/>
            <w:gridSpan w:val="3"/>
            <w:vMerge/>
            <w:tcBorders>
              <w:top w:val="nil"/>
              <w:left w:val="nil"/>
              <w:bottom w:val="nil"/>
              <w:right w:val="nil"/>
            </w:tcBorders>
            <w:vAlign w:val="center"/>
            <w:hideMark/>
          </w:tcPr>
          <w:p w14:paraId="20F2B3FF" w14:textId="77777777" w:rsidR="00232599" w:rsidRPr="00232599" w:rsidRDefault="00232599" w:rsidP="00232599">
            <w:pPr>
              <w:spacing w:after="0" w:line="240" w:lineRule="auto"/>
              <w:rPr>
                <w:rFonts w:ascii="Segoe UI" w:eastAsia="Times New Roman" w:hAnsi="Segoe UI" w:cs="Segoe UI"/>
                <w:b/>
                <w:bCs/>
                <w:color w:val="666666"/>
                <w:sz w:val="20"/>
                <w:szCs w:val="20"/>
              </w:rPr>
            </w:pPr>
          </w:p>
        </w:tc>
      </w:tr>
      <w:tr w:rsidR="00232599" w:rsidRPr="00232599" w14:paraId="1D117E43" w14:textId="77777777" w:rsidTr="004F7660">
        <w:trPr>
          <w:trHeight w:val="308"/>
        </w:trPr>
        <w:tc>
          <w:tcPr>
            <w:tcW w:w="4410" w:type="dxa"/>
            <w:tcBorders>
              <w:top w:val="nil"/>
              <w:left w:val="nil"/>
              <w:bottom w:val="single" w:sz="4" w:space="0" w:color="auto"/>
              <w:right w:val="nil"/>
            </w:tcBorders>
            <w:shd w:val="clear" w:color="auto" w:fill="auto"/>
            <w:noWrap/>
            <w:vAlign w:val="bottom"/>
            <w:hideMark/>
          </w:tcPr>
          <w:p w14:paraId="28BEEC25" w14:textId="77777777" w:rsidR="00232599" w:rsidRPr="00232599" w:rsidRDefault="00232599" w:rsidP="00232599">
            <w:pPr>
              <w:spacing w:after="0" w:line="240" w:lineRule="auto"/>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w:t>
            </w:r>
          </w:p>
        </w:tc>
        <w:tc>
          <w:tcPr>
            <w:tcW w:w="1073" w:type="dxa"/>
            <w:tcBorders>
              <w:top w:val="nil"/>
              <w:left w:val="nil"/>
              <w:bottom w:val="single" w:sz="4" w:space="0" w:color="auto"/>
              <w:right w:val="nil"/>
            </w:tcBorders>
            <w:shd w:val="clear" w:color="auto" w:fill="auto"/>
            <w:noWrap/>
            <w:vAlign w:val="bottom"/>
            <w:hideMark/>
          </w:tcPr>
          <w:p w14:paraId="3F76033C"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2D66ECB0"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w:t>
            </w:r>
          </w:p>
        </w:tc>
        <w:tc>
          <w:tcPr>
            <w:tcW w:w="1003" w:type="dxa"/>
            <w:tcBorders>
              <w:top w:val="nil"/>
              <w:left w:val="nil"/>
              <w:bottom w:val="single" w:sz="4" w:space="0" w:color="auto"/>
              <w:right w:val="nil"/>
            </w:tcBorders>
            <w:shd w:val="clear" w:color="auto" w:fill="auto"/>
            <w:noWrap/>
            <w:vAlign w:val="bottom"/>
            <w:hideMark/>
          </w:tcPr>
          <w:p w14:paraId="6092F83F"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2019</w:t>
            </w:r>
          </w:p>
        </w:tc>
        <w:tc>
          <w:tcPr>
            <w:tcW w:w="434" w:type="dxa"/>
            <w:tcBorders>
              <w:top w:val="nil"/>
              <w:left w:val="nil"/>
              <w:bottom w:val="single" w:sz="4" w:space="0" w:color="auto"/>
              <w:right w:val="nil"/>
            </w:tcBorders>
            <w:shd w:val="clear" w:color="auto" w:fill="auto"/>
            <w:noWrap/>
            <w:vAlign w:val="bottom"/>
            <w:hideMark/>
          </w:tcPr>
          <w:p w14:paraId="014A80B4"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w:t>
            </w:r>
          </w:p>
        </w:tc>
        <w:tc>
          <w:tcPr>
            <w:tcW w:w="1073" w:type="dxa"/>
            <w:tcBorders>
              <w:top w:val="nil"/>
              <w:left w:val="nil"/>
              <w:bottom w:val="single" w:sz="4" w:space="0" w:color="auto"/>
              <w:right w:val="nil"/>
            </w:tcBorders>
            <w:shd w:val="clear" w:color="auto" w:fill="auto"/>
            <w:noWrap/>
            <w:vAlign w:val="bottom"/>
            <w:hideMark/>
          </w:tcPr>
          <w:p w14:paraId="22381784"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5CEAD72E"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w:t>
            </w:r>
          </w:p>
        </w:tc>
        <w:tc>
          <w:tcPr>
            <w:tcW w:w="1003" w:type="dxa"/>
            <w:tcBorders>
              <w:top w:val="nil"/>
              <w:left w:val="nil"/>
              <w:bottom w:val="single" w:sz="4" w:space="0" w:color="auto"/>
              <w:right w:val="nil"/>
            </w:tcBorders>
            <w:shd w:val="clear" w:color="auto" w:fill="auto"/>
            <w:noWrap/>
            <w:vAlign w:val="bottom"/>
            <w:hideMark/>
          </w:tcPr>
          <w:p w14:paraId="384DD5D8"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2019</w:t>
            </w:r>
          </w:p>
        </w:tc>
      </w:tr>
      <w:tr w:rsidR="00232599" w:rsidRPr="00232599" w14:paraId="6A6EC0A0" w14:textId="77777777" w:rsidTr="004F7660">
        <w:trPr>
          <w:trHeight w:val="308"/>
        </w:trPr>
        <w:tc>
          <w:tcPr>
            <w:tcW w:w="4410" w:type="dxa"/>
            <w:tcBorders>
              <w:top w:val="nil"/>
              <w:left w:val="nil"/>
              <w:bottom w:val="nil"/>
              <w:right w:val="nil"/>
            </w:tcBorders>
            <w:shd w:val="clear" w:color="auto" w:fill="auto"/>
            <w:noWrap/>
            <w:vAlign w:val="bottom"/>
            <w:hideMark/>
          </w:tcPr>
          <w:p w14:paraId="43258C0F"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Net income</w:t>
            </w:r>
          </w:p>
        </w:tc>
        <w:tc>
          <w:tcPr>
            <w:tcW w:w="1073" w:type="dxa"/>
            <w:tcBorders>
              <w:top w:val="nil"/>
              <w:left w:val="nil"/>
              <w:bottom w:val="single" w:sz="4" w:space="0" w:color="auto"/>
              <w:right w:val="nil"/>
            </w:tcBorders>
            <w:shd w:val="clear" w:color="auto" w:fill="auto"/>
            <w:noWrap/>
            <w:vAlign w:val="bottom"/>
            <w:hideMark/>
          </w:tcPr>
          <w:p w14:paraId="127AEC60"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 $11,202 </w:t>
            </w:r>
          </w:p>
        </w:tc>
        <w:tc>
          <w:tcPr>
            <w:tcW w:w="272" w:type="dxa"/>
            <w:tcBorders>
              <w:top w:val="nil"/>
              <w:left w:val="nil"/>
              <w:bottom w:val="nil"/>
              <w:right w:val="nil"/>
            </w:tcBorders>
            <w:shd w:val="clear" w:color="auto" w:fill="auto"/>
            <w:noWrap/>
            <w:vAlign w:val="bottom"/>
            <w:hideMark/>
          </w:tcPr>
          <w:p w14:paraId="10CAD8F3"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50F18CFC"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$13,187 </w:t>
            </w:r>
          </w:p>
        </w:tc>
        <w:tc>
          <w:tcPr>
            <w:tcW w:w="434" w:type="dxa"/>
            <w:tcBorders>
              <w:top w:val="nil"/>
              <w:left w:val="nil"/>
              <w:bottom w:val="nil"/>
              <w:right w:val="nil"/>
            </w:tcBorders>
            <w:shd w:val="clear" w:color="auto" w:fill="auto"/>
            <w:noWrap/>
            <w:vAlign w:val="bottom"/>
            <w:hideMark/>
          </w:tcPr>
          <w:p w14:paraId="5DBA8DEA"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single" w:sz="4" w:space="0" w:color="auto"/>
              <w:right w:val="nil"/>
            </w:tcBorders>
            <w:shd w:val="clear" w:color="auto" w:fill="auto"/>
            <w:noWrap/>
            <w:vAlign w:val="bottom"/>
            <w:hideMark/>
          </w:tcPr>
          <w:p w14:paraId="58E33933"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 $44,281 </w:t>
            </w:r>
          </w:p>
        </w:tc>
        <w:tc>
          <w:tcPr>
            <w:tcW w:w="272" w:type="dxa"/>
            <w:tcBorders>
              <w:top w:val="nil"/>
              <w:left w:val="nil"/>
              <w:bottom w:val="nil"/>
              <w:right w:val="nil"/>
            </w:tcBorders>
            <w:shd w:val="clear" w:color="auto" w:fill="auto"/>
            <w:noWrap/>
            <w:vAlign w:val="bottom"/>
            <w:hideMark/>
          </w:tcPr>
          <w:p w14:paraId="201648A6"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11EDCA18"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$39,240 </w:t>
            </w:r>
          </w:p>
        </w:tc>
      </w:tr>
      <w:tr w:rsidR="00232599" w:rsidRPr="00232599" w14:paraId="2060B79D" w14:textId="77777777" w:rsidTr="004F7660">
        <w:trPr>
          <w:trHeight w:val="308"/>
        </w:trPr>
        <w:tc>
          <w:tcPr>
            <w:tcW w:w="4410" w:type="dxa"/>
            <w:tcBorders>
              <w:top w:val="nil"/>
              <w:left w:val="nil"/>
              <w:bottom w:val="nil"/>
              <w:right w:val="nil"/>
            </w:tcBorders>
            <w:shd w:val="clear" w:color="auto" w:fill="auto"/>
            <w:vAlign w:val="bottom"/>
            <w:hideMark/>
          </w:tcPr>
          <w:p w14:paraId="35E0A606"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Other comprehensive income (loss), net of tax:</w:t>
            </w:r>
          </w:p>
        </w:tc>
        <w:tc>
          <w:tcPr>
            <w:tcW w:w="1073" w:type="dxa"/>
            <w:tcBorders>
              <w:top w:val="nil"/>
              <w:left w:val="nil"/>
              <w:bottom w:val="nil"/>
              <w:right w:val="nil"/>
            </w:tcBorders>
            <w:shd w:val="clear" w:color="auto" w:fill="auto"/>
            <w:noWrap/>
            <w:vAlign w:val="bottom"/>
            <w:hideMark/>
          </w:tcPr>
          <w:p w14:paraId="064DFD3D" w14:textId="77777777" w:rsidR="00232599" w:rsidRPr="00232599" w:rsidRDefault="00232599" w:rsidP="0023259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8F8C474" w14:textId="77777777" w:rsidR="00232599" w:rsidRPr="00232599" w:rsidRDefault="00232599" w:rsidP="00232599">
            <w:pPr>
              <w:spacing w:after="0" w:line="240" w:lineRule="auto"/>
              <w:rPr>
                <w:rFonts w:ascii="Times New Roman" w:eastAsia="Times New Roman" w:hAnsi="Times New Roman"/>
                <w:sz w:val="20"/>
                <w:szCs w:val="20"/>
              </w:rPr>
            </w:pPr>
          </w:p>
        </w:tc>
        <w:tc>
          <w:tcPr>
            <w:tcW w:w="1003" w:type="dxa"/>
            <w:tcBorders>
              <w:top w:val="nil"/>
              <w:left w:val="nil"/>
              <w:bottom w:val="nil"/>
              <w:right w:val="nil"/>
            </w:tcBorders>
            <w:shd w:val="clear" w:color="auto" w:fill="auto"/>
            <w:noWrap/>
            <w:vAlign w:val="bottom"/>
            <w:hideMark/>
          </w:tcPr>
          <w:p w14:paraId="7A95984A" w14:textId="77777777" w:rsidR="00232599" w:rsidRPr="00232599" w:rsidRDefault="00232599" w:rsidP="00232599">
            <w:pPr>
              <w:spacing w:after="0" w:line="240" w:lineRule="auto"/>
              <w:jc w:val="right"/>
              <w:rPr>
                <w:rFonts w:ascii="Times New Roman" w:eastAsia="Times New Roman" w:hAnsi="Times New Roman"/>
                <w:sz w:val="20"/>
                <w:szCs w:val="20"/>
              </w:rPr>
            </w:pPr>
          </w:p>
        </w:tc>
        <w:tc>
          <w:tcPr>
            <w:tcW w:w="434" w:type="dxa"/>
            <w:tcBorders>
              <w:top w:val="nil"/>
              <w:left w:val="nil"/>
              <w:bottom w:val="nil"/>
              <w:right w:val="nil"/>
            </w:tcBorders>
            <w:shd w:val="clear" w:color="auto" w:fill="auto"/>
            <w:noWrap/>
            <w:vAlign w:val="bottom"/>
            <w:hideMark/>
          </w:tcPr>
          <w:p w14:paraId="58003C5A" w14:textId="77777777" w:rsidR="00232599" w:rsidRPr="00232599" w:rsidRDefault="00232599" w:rsidP="00232599">
            <w:pPr>
              <w:spacing w:after="0" w:line="240" w:lineRule="auto"/>
              <w:jc w:val="right"/>
              <w:rPr>
                <w:rFonts w:ascii="Times New Roman" w:eastAsia="Times New Roman" w:hAnsi="Times New Roman"/>
                <w:sz w:val="20"/>
                <w:szCs w:val="20"/>
              </w:rPr>
            </w:pPr>
          </w:p>
        </w:tc>
        <w:tc>
          <w:tcPr>
            <w:tcW w:w="1073" w:type="dxa"/>
            <w:tcBorders>
              <w:top w:val="nil"/>
              <w:left w:val="nil"/>
              <w:bottom w:val="nil"/>
              <w:right w:val="nil"/>
            </w:tcBorders>
            <w:shd w:val="clear" w:color="auto" w:fill="auto"/>
            <w:noWrap/>
            <w:vAlign w:val="bottom"/>
            <w:hideMark/>
          </w:tcPr>
          <w:p w14:paraId="1C183113" w14:textId="77777777" w:rsidR="00232599" w:rsidRPr="00232599" w:rsidRDefault="00232599" w:rsidP="0023259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71F5A5A" w14:textId="77777777" w:rsidR="00232599" w:rsidRPr="00232599" w:rsidRDefault="00232599" w:rsidP="00232599">
            <w:pPr>
              <w:spacing w:after="0" w:line="240" w:lineRule="auto"/>
              <w:jc w:val="right"/>
              <w:rPr>
                <w:rFonts w:ascii="Times New Roman" w:eastAsia="Times New Roman" w:hAnsi="Times New Roman"/>
                <w:sz w:val="20"/>
                <w:szCs w:val="20"/>
              </w:rPr>
            </w:pPr>
          </w:p>
        </w:tc>
        <w:tc>
          <w:tcPr>
            <w:tcW w:w="1003" w:type="dxa"/>
            <w:tcBorders>
              <w:top w:val="nil"/>
              <w:left w:val="nil"/>
              <w:bottom w:val="nil"/>
              <w:right w:val="nil"/>
            </w:tcBorders>
            <w:shd w:val="clear" w:color="auto" w:fill="auto"/>
            <w:noWrap/>
            <w:vAlign w:val="bottom"/>
            <w:hideMark/>
          </w:tcPr>
          <w:p w14:paraId="38DA0E3B" w14:textId="77777777" w:rsidR="00232599" w:rsidRPr="00232599" w:rsidRDefault="00232599" w:rsidP="00232599">
            <w:pPr>
              <w:spacing w:after="0" w:line="240" w:lineRule="auto"/>
              <w:jc w:val="right"/>
              <w:rPr>
                <w:rFonts w:ascii="Times New Roman" w:eastAsia="Times New Roman" w:hAnsi="Times New Roman"/>
                <w:sz w:val="20"/>
                <w:szCs w:val="20"/>
              </w:rPr>
            </w:pPr>
          </w:p>
        </w:tc>
      </w:tr>
      <w:tr w:rsidR="00232599" w:rsidRPr="00232599" w14:paraId="47C142A5" w14:textId="77777777" w:rsidTr="004F7660">
        <w:trPr>
          <w:trHeight w:val="308"/>
        </w:trPr>
        <w:tc>
          <w:tcPr>
            <w:tcW w:w="4410" w:type="dxa"/>
            <w:tcBorders>
              <w:top w:val="nil"/>
              <w:left w:val="nil"/>
              <w:bottom w:val="nil"/>
              <w:right w:val="nil"/>
            </w:tcBorders>
            <w:shd w:val="clear" w:color="auto" w:fill="auto"/>
            <w:vAlign w:val="bottom"/>
            <w:hideMark/>
          </w:tcPr>
          <w:p w14:paraId="3970D522"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Net change related to derivatives</w:t>
            </w:r>
          </w:p>
        </w:tc>
        <w:tc>
          <w:tcPr>
            <w:tcW w:w="1073" w:type="dxa"/>
            <w:tcBorders>
              <w:top w:val="nil"/>
              <w:left w:val="nil"/>
              <w:bottom w:val="nil"/>
              <w:right w:val="nil"/>
            </w:tcBorders>
            <w:shd w:val="clear" w:color="auto" w:fill="auto"/>
            <w:noWrap/>
            <w:vAlign w:val="bottom"/>
            <w:hideMark/>
          </w:tcPr>
          <w:p w14:paraId="38AD3DB0"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4 </w:t>
            </w:r>
          </w:p>
        </w:tc>
        <w:tc>
          <w:tcPr>
            <w:tcW w:w="272" w:type="dxa"/>
            <w:tcBorders>
              <w:top w:val="nil"/>
              <w:left w:val="nil"/>
              <w:bottom w:val="nil"/>
              <w:right w:val="nil"/>
            </w:tcBorders>
            <w:shd w:val="clear" w:color="auto" w:fill="auto"/>
            <w:noWrap/>
            <w:vAlign w:val="bottom"/>
            <w:hideMark/>
          </w:tcPr>
          <w:p w14:paraId="69245596"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nil"/>
              <w:right w:val="nil"/>
            </w:tcBorders>
            <w:shd w:val="clear" w:color="auto" w:fill="auto"/>
            <w:noWrap/>
            <w:vAlign w:val="bottom"/>
            <w:hideMark/>
          </w:tcPr>
          <w:p w14:paraId="31F454BA"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(80)</w:t>
            </w:r>
          </w:p>
        </w:tc>
        <w:tc>
          <w:tcPr>
            <w:tcW w:w="434" w:type="dxa"/>
            <w:tcBorders>
              <w:top w:val="nil"/>
              <w:left w:val="nil"/>
              <w:bottom w:val="nil"/>
              <w:right w:val="nil"/>
            </w:tcBorders>
            <w:shd w:val="clear" w:color="auto" w:fill="auto"/>
            <w:noWrap/>
            <w:vAlign w:val="bottom"/>
            <w:hideMark/>
          </w:tcPr>
          <w:p w14:paraId="0563395E"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nil"/>
              <w:right w:val="nil"/>
            </w:tcBorders>
            <w:shd w:val="clear" w:color="auto" w:fill="auto"/>
            <w:noWrap/>
            <w:vAlign w:val="bottom"/>
            <w:hideMark/>
          </w:tcPr>
          <w:p w14:paraId="4A9C7DCD"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(38)</w:t>
            </w:r>
          </w:p>
        </w:tc>
        <w:tc>
          <w:tcPr>
            <w:tcW w:w="272" w:type="dxa"/>
            <w:tcBorders>
              <w:top w:val="nil"/>
              <w:left w:val="nil"/>
              <w:bottom w:val="nil"/>
              <w:right w:val="nil"/>
            </w:tcBorders>
            <w:shd w:val="clear" w:color="auto" w:fill="auto"/>
            <w:noWrap/>
            <w:vAlign w:val="bottom"/>
            <w:hideMark/>
          </w:tcPr>
          <w:p w14:paraId="7092F337"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nil"/>
              <w:right w:val="nil"/>
            </w:tcBorders>
            <w:shd w:val="clear" w:color="auto" w:fill="auto"/>
            <w:noWrap/>
            <w:vAlign w:val="bottom"/>
            <w:hideMark/>
          </w:tcPr>
          <w:p w14:paraId="50898BB3"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(173)</w:t>
            </w:r>
          </w:p>
        </w:tc>
      </w:tr>
      <w:tr w:rsidR="00232599" w:rsidRPr="00232599" w14:paraId="358960AD" w14:textId="77777777" w:rsidTr="004F7660">
        <w:trPr>
          <w:trHeight w:val="308"/>
        </w:trPr>
        <w:tc>
          <w:tcPr>
            <w:tcW w:w="4410" w:type="dxa"/>
            <w:tcBorders>
              <w:top w:val="nil"/>
              <w:left w:val="nil"/>
              <w:bottom w:val="nil"/>
              <w:right w:val="nil"/>
            </w:tcBorders>
            <w:shd w:val="clear" w:color="auto" w:fill="auto"/>
            <w:vAlign w:val="bottom"/>
            <w:hideMark/>
          </w:tcPr>
          <w:p w14:paraId="5C268E01"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Net change related to investments</w:t>
            </w:r>
          </w:p>
        </w:tc>
        <w:tc>
          <w:tcPr>
            <w:tcW w:w="1073" w:type="dxa"/>
            <w:tcBorders>
              <w:top w:val="nil"/>
              <w:left w:val="nil"/>
              <w:bottom w:val="nil"/>
              <w:right w:val="nil"/>
            </w:tcBorders>
            <w:shd w:val="clear" w:color="auto" w:fill="auto"/>
            <w:noWrap/>
            <w:vAlign w:val="bottom"/>
            <w:hideMark/>
          </w:tcPr>
          <w:p w14:paraId="4E22A2F1"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325 </w:t>
            </w:r>
          </w:p>
        </w:tc>
        <w:tc>
          <w:tcPr>
            <w:tcW w:w="272" w:type="dxa"/>
            <w:tcBorders>
              <w:top w:val="nil"/>
              <w:left w:val="nil"/>
              <w:bottom w:val="nil"/>
              <w:right w:val="nil"/>
            </w:tcBorders>
            <w:shd w:val="clear" w:color="auto" w:fill="auto"/>
            <w:noWrap/>
            <w:vAlign w:val="bottom"/>
            <w:hideMark/>
          </w:tcPr>
          <w:p w14:paraId="21D1C494"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nil"/>
              <w:right w:val="nil"/>
            </w:tcBorders>
            <w:shd w:val="clear" w:color="auto" w:fill="auto"/>
            <w:noWrap/>
            <w:vAlign w:val="bottom"/>
            <w:hideMark/>
          </w:tcPr>
          <w:p w14:paraId="076F311E"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1,071 </w:t>
            </w:r>
          </w:p>
        </w:tc>
        <w:tc>
          <w:tcPr>
            <w:tcW w:w="434" w:type="dxa"/>
            <w:tcBorders>
              <w:top w:val="nil"/>
              <w:left w:val="nil"/>
              <w:bottom w:val="nil"/>
              <w:right w:val="nil"/>
            </w:tcBorders>
            <w:shd w:val="clear" w:color="auto" w:fill="auto"/>
            <w:noWrap/>
            <w:vAlign w:val="bottom"/>
            <w:hideMark/>
          </w:tcPr>
          <w:p w14:paraId="4FBC0D16"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nil"/>
              <w:right w:val="nil"/>
            </w:tcBorders>
            <w:shd w:val="clear" w:color="auto" w:fill="auto"/>
            <w:noWrap/>
            <w:vAlign w:val="bottom"/>
            <w:hideMark/>
          </w:tcPr>
          <w:p w14:paraId="7C4EDFE0"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3,990 </w:t>
            </w:r>
          </w:p>
        </w:tc>
        <w:tc>
          <w:tcPr>
            <w:tcW w:w="272" w:type="dxa"/>
            <w:tcBorders>
              <w:top w:val="nil"/>
              <w:left w:val="nil"/>
              <w:bottom w:val="nil"/>
              <w:right w:val="nil"/>
            </w:tcBorders>
            <w:shd w:val="clear" w:color="auto" w:fill="auto"/>
            <w:noWrap/>
            <w:vAlign w:val="bottom"/>
            <w:hideMark/>
          </w:tcPr>
          <w:p w14:paraId="78EFA13D"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nil"/>
              <w:right w:val="nil"/>
            </w:tcBorders>
            <w:shd w:val="clear" w:color="auto" w:fill="auto"/>
            <w:noWrap/>
            <w:vAlign w:val="bottom"/>
            <w:hideMark/>
          </w:tcPr>
          <w:p w14:paraId="1C098D95"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2,405 </w:t>
            </w:r>
          </w:p>
        </w:tc>
      </w:tr>
      <w:tr w:rsidR="00232599" w:rsidRPr="00232599" w14:paraId="598357C5" w14:textId="77777777" w:rsidTr="004F7660">
        <w:trPr>
          <w:trHeight w:val="308"/>
        </w:trPr>
        <w:tc>
          <w:tcPr>
            <w:tcW w:w="4410" w:type="dxa"/>
            <w:tcBorders>
              <w:top w:val="nil"/>
              <w:left w:val="nil"/>
              <w:bottom w:val="single" w:sz="4" w:space="0" w:color="auto"/>
              <w:right w:val="nil"/>
            </w:tcBorders>
            <w:shd w:val="clear" w:color="auto" w:fill="auto"/>
            <w:vAlign w:val="bottom"/>
            <w:hideMark/>
          </w:tcPr>
          <w:p w14:paraId="724E94A0"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Translation adjustments and other</w:t>
            </w:r>
          </w:p>
        </w:tc>
        <w:tc>
          <w:tcPr>
            <w:tcW w:w="1073" w:type="dxa"/>
            <w:tcBorders>
              <w:top w:val="nil"/>
              <w:left w:val="nil"/>
              <w:bottom w:val="single" w:sz="4" w:space="0" w:color="auto"/>
              <w:right w:val="nil"/>
            </w:tcBorders>
            <w:shd w:val="clear" w:color="auto" w:fill="auto"/>
            <w:noWrap/>
            <w:vAlign w:val="bottom"/>
            <w:hideMark/>
          </w:tcPr>
          <w:p w14:paraId="4BA8BEC7"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181 </w:t>
            </w:r>
          </w:p>
        </w:tc>
        <w:tc>
          <w:tcPr>
            <w:tcW w:w="272" w:type="dxa"/>
            <w:tcBorders>
              <w:top w:val="nil"/>
              <w:left w:val="nil"/>
              <w:bottom w:val="nil"/>
              <w:right w:val="nil"/>
            </w:tcBorders>
            <w:shd w:val="clear" w:color="auto" w:fill="auto"/>
            <w:noWrap/>
            <w:vAlign w:val="bottom"/>
            <w:hideMark/>
          </w:tcPr>
          <w:p w14:paraId="23ABAD7D"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0C2B5C0C"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(66)</w:t>
            </w:r>
          </w:p>
        </w:tc>
        <w:tc>
          <w:tcPr>
            <w:tcW w:w="434" w:type="dxa"/>
            <w:tcBorders>
              <w:top w:val="nil"/>
              <w:left w:val="nil"/>
              <w:bottom w:val="nil"/>
              <w:right w:val="nil"/>
            </w:tcBorders>
            <w:shd w:val="clear" w:color="auto" w:fill="auto"/>
            <w:noWrap/>
            <w:vAlign w:val="bottom"/>
            <w:hideMark/>
          </w:tcPr>
          <w:p w14:paraId="7676DE58"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single" w:sz="4" w:space="0" w:color="auto"/>
              <w:right w:val="nil"/>
            </w:tcBorders>
            <w:shd w:val="clear" w:color="auto" w:fill="auto"/>
            <w:noWrap/>
            <w:vAlign w:val="bottom"/>
            <w:hideMark/>
          </w:tcPr>
          <w:p w14:paraId="493CD9B1"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(426)</w:t>
            </w:r>
          </w:p>
        </w:tc>
        <w:tc>
          <w:tcPr>
            <w:tcW w:w="272" w:type="dxa"/>
            <w:tcBorders>
              <w:top w:val="nil"/>
              <w:left w:val="nil"/>
              <w:bottom w:val="nil"/>
              <w:right w:val="nil"/>
            </w:tcBorders>
            <w:shd w:val="clear" w:color="auto" w:fill="auto"/>
            <w:noWrap/>
            <w:vAlign w:val="bottom"/>
            <w:hideMark/>
          </w:tcPr>
          <w:p w14:paraId="3E7841BA"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267E6206"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(318)</w:t>
            </w:r>
          </w:p>
        </w:tc>
      </w:tr>
      <w:tr w:rsidR="00232599" w:rsidRPr="00232599" w14:paraId="7B26CD19" w14:textId="77777777" w:rsidTr="004F7660">
        <w:trPr>
          <w:trHeight w:val="308"/>
        </w:trPr>
        <w:tc>
          <w:tcPr>
            <w:tcW w:w="4410" w:type="dxa"/>
            <w:tcBorders>
              <w:top w:val="nil"/>
              <w:left w:val="nil"/>
              <w:bottom w:val="single" w:sz="4" w:space="0" w:color="auto"/>
              <w:right w:val="nil"/>
            </w:tcBorders>
            <w:shd w:val="clear" w:color="auto" w:fill="auto"/>
            <w:vAlign w:val="bottom"/>
            <w:hideMark/>
          </w:tcPr>
          <w:p w14:paraId="1ECB075F"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Other comprehensive income</w:t>
            </w:r>
          </w:p>
        </w:tc>
        <w:tc>
          <w:tcPr>
            <w:tcW w:w="1073" w:type="dxa"/>
            <w:tcBorders>
              <w:top w:val="nil"/>
              <w:left w:val="nil"/>
              <w:bottom w:val="single" w:sz="4" w:space="0" w:color="auto"/>
              <w:right w:val="nil"/>
            </w:tcBorders>
            <w:shd w:val="clear" w:color="auto" w:fill="auto"/>
            <w:noWrap/>
            <w:vAlign w:val="bottom"/>
            <w:hideMark/>
          </w:tcPr>
          <w:p w14:paraId="6DE68314"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510 </w:t>
            </w:r>
          </w:p>
        </w:tc>
        <w:tc>
          <w:tcPr>
            <w:tcW w:w="272" w:type="dxa"/>
            <w:tcBorders>
              <w:top w:val="nil"/>
              <w:left w:val="nil"/>
              <w:bottom w:val="nil"/>
              <w:right w:val="nil"/>
            </w:tcBorders>
            <w:shd w:val="clear" w:color="auto" w:fill="auto"/>
            <w:noWrap/>
            <w:vAlign w:val="bottom"/>
            <w:hideMark/>
          </w:tcPr>
          <w:p w14:paraId="3F3F7F9D"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020F92DD"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925 </w:t>
            </w:r>
          </w:p>
        </w:tc>
        <w:tc>
          <w:tcPr>
            <w:tcW w:w="434" w:type="dxa"/>
            <w:tcBorders>
              <w:top w:val="nil"/>
              <w:left w:val="nil"/>
              <w:bottom w:val="nil"/>
              <w:right w:val="nil"/>
            </w:tcBorders>
            <w:shd w:val="clear" w:color="auto" w:fill="auto"/>
            <w:noWrap/>
            <w:vAlign w:val="bottom"/>
            <w:hideMark/>
          </w:tcPr>
          <w:p w14:paraId="2A81E02F"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single" w:sz="4" w:space="0" w:color="auto"/>
              <w:right w:val="nil"/>
            </w:tcBorders>
            <w:shd w:val="clear" w:color="auto" w:fill="auto"/>
            <w:noWrap/>
            <w:vAlign w:val="bottom"/>
            <w:hideMark/>
          </w:tcPr>
          <w:p w14:paraId="538231E2"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3,526 </w:t>
            </w:r>
          </w:p>
        </w:tc>
        <w:tc>
          <w:tcPr>
            <w:tcW w:w="272" w:type="dxa"/>
            <w:tcBorders>
              <w:top w:val="nil"/>
              <w:left w:val="nil"/>
              <w:bottom w:val="nil"/>
              <w:right w:val="nil"/>
            </w:tcBorders>
            <w:shd w:val="clear" w:color="auto" w:fill="auto"/>
            <w:noWrap/>
            <w:vAlign w:val="bottom"/>
            <w:hideMark/>
          </w:tcPr>
          <w:p w14:paraId="44C08E88"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4" w:space="0" w:color="auto"/>
              <w:right w:val="nil"/>
            </w:tcBorders>
            <w:shd w:val="clear" w:color="auto" w:fill="auto"/>
            <w:noWrap/>
            <w:vAlign w:val="bottom"/>
            <w:hideMark/>
          </w:tcPr>
          <w:p w14:paraId="2A28D2AC"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1,914 </w:t>
            </w:r>
          </w:p>
        </w:tc>
      </w:tr>
      <w:tr w:rsidR="00232599" w:rsidRPr="00232599" w14:paraId="1742AE42" w14:textId="77777777" w:rsidTr="004F7660">
        <w:trPr>
          <w:trHeight w:val="315"/>
        </w:trPr>
        <w:tc>
          <w:tcPr>
            <w:tcW w:w="4410" w:type="dxa"/>
            <w:tcBorders>
              <w:top w:val="nil"/>
              <w:left w:val="nil"/>
              <w:bottom w:val="nil"/>
              <w:right w:val="nil"/>
            </w:tcBorders>
            <w:shd w:val="clear" w:color="auto" w:fill="auto"/>
            <w:noWrap/>
            <w:vAlign w:val="bottom"/>
            <w:hideMark/>
          </w:tcPr>
          <w:p w14:paraId="1A973644" w14:textId="77777777" w:rsidR="00232599" w:rsidRPr="00232599" w:rsidRDefault="00232599" w:rsidP="00232599">
            <w:pPr>
              <w:spacing w:after="0" w:line="240" w:lineRule="auto"/>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Comprehensive income</w:t>
            </w:r>
          </w:p>
        </w:tc>
        <w:tc>
          <w:tcPr>
            <w:tcW w:w="1073" w:type="dxa"/>
            <w:tcBorders>
              <w:top w:val="nil"/>
              <w:left w:val="nil"/>
              <w:bottom w:val="single" w:sz="8" w:space="0" w:color="auto"/>
              <w:right w:val="nil"/>
            </w:tcBorders>
            <w:shd w:val="clear" w:color="auto" w:fill="auto"/>
            <w:noWrap/>
            <w:vAlign w:val="bottom"/>
            <w:hideMark/>
          </w:tcPr>
          <w:p w14:paraId="36097DAF"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 $11,712 </w:t>
            </w:r>
          </w:p>
        </w:tc>
        <w:tc>
          <w:tcPr>
            <w:tcW w:w="272" w:type="dxa"/>
            <w:tcBorders>
              <w:top w:val="nil"/>
              <w:left w:val="nil"/>
              <w:bottom w:val="nil"/>
              <w:right w:val="nil"/>
            </w:tcBorders>
            <w:shd w:val="clear" w:color="auto" w:fill="auto"/>
            <w:noWrap/>
            <w:vAlign w:val="bottom"/>
            <w:hideMark/>
          </w:tcPr>
          <w:p w14:paraId="25277825"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8" w:space="0" w:color="auto"/>
              <w:right w:val="nil"/>
            </w:tcBorders>
            <w:shd w:val="clear" w:color="auto" w:fill="auto"/>
            <w:noWrap/>
            <w:vAlign w:val="bottom"/>
            <w:hideMark/>
          </w:tcPr>
          <w:p w14:paraId="7638E78C"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$14,112 </w:t>
            </w:r>
          </w:p>
        </w:tc>
        <w:tc>
          <w:tcPr>
            <w:tcW w:w="434" w:type="dxa"/>
            <w:tcBorders>
              <w:top w:val="nil"/>
              <w:left w:val="nil"/>
              <w:bottom w:val="nil"/>
              <w:right w:val="nil"/>
            </w:tcBorders>
            <w:shd w:val="clear" w:color="auto" w:fill="auto"/>
            <w:noWrap/>
            <w:vAlign w:val="bottom"/>
            <w:hideMark/>
          </w:tcPr>
          <w:p w14:paraId="0017EA56"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p>
        </w:tc>
        <w:tc>
          <w:tcPr>
            <w:tcW w:w="1073" w:type="dxa"/>
            <w:tcBorders>
              <w:top w:val="nil"/>
              <w:left w:val="nil"/>
              <w:bottom w:val="single" w:sz="8" w:space="0" w:color="auto"/>
              <w:right w:val="nil"/>
            </w:tcBorders>
            <w:shd w:val="clear" w:color="auto" w:fill="auto"/>
            <w:noWrap/>
            <w:vAlign w:val="bottom"/>
            <w:hideMark/>
          </w:tcPr>
          <w:p w14:paraId="30859E1D"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r w:rsidRPr="00232599">
              <w:rPr>
                <w:rFonts w:ascii="Segoe UI" w:eastAsia="Times New Roman" w:hAnsi="Segoe UI" w:cs="Segoe UI"/>
                <w:b/>
                <w:bCs/>
                <w:color w:val="666666"/>
                <w:sz w:val="20"/>
                <w:szCs w:val="20"/>
              </w:rPr>
              <w:t xml:space="preserve"> $47,807 </w:t>
            </w:r>
          </w:p>
        </w:tc>
        <w:tc>
          <w:tcPr>
            <w:tcW w:w="272" w:type="dxa"/>
            <w:tcBorders>
              <w:top w:val="nil"/>
              <w:left w:val="nil"/>
              <w:bottom w:val="nil"/>
              <w:right w:val="nil"/>
            </w:tcBorders>
            <w:shd w:val="clear" w:color="auto" w:fill="auto"/>
            <w:noWrap/>
            <w:vAlign w:val="bottom"/>
            <w:hideMark/>
          </w:tcPr>
          <w:p w14:paraId="110F9335" w14:textId="77777777" w:rsidR="00232599" w:rsidRPr="00232599" w:rsidRDefault="00232599" w:rsidP="00232599">
            <w:pPr>
              <w:spacing w:after="0" w:line="240" w:lineRule="auto"/>
              <w:jc w:val="right"/>
              <w:rPr>
                <w:rFonts w:ascii="Segoe UI" w:eastAsia="Times New Roman" w:hAnsi="Segoe UI" w:cs="Segoe UI"/>
                <w:b/>
                <w:bCs/>
                <w:color w:val="666666"/>
                <w:sz w:val="20"/>
                <w:szCs w:val="20"/>
              </w:rPr>
            </w:pPr>
          </w:p>
        </w:tc>
        <w:tc>
          <w:tcPr>
            <w:tcW w:w="1003" w:type="dxa"/>
            <w:tcBorders>
              <w:top w:val="nil"/>
              <w:left w:val="nil"/>
              <w:bottom w:val="single" w:sz="8" w:space="0" w:color="auto"/>
              <w:right w:val="nil"/>
            </w:tcBorders>
            <w:shd w:val="clear" w:color="auto" w:fill="auto"/>
            <w:noWrap/>
            <w:vAlign w:val="bottom"/>
            <w:hideMark/>
          </w:tcPr>
          <w:p w14:paraId="1D8F231C" w14:textId="77777777" w:rsidR="00232599" w:rsidRPr="00232599" w:rsidRDefault="00232599" w:rsidP="00232599">
            <w:pPr>
              <w:spacing w:after="0" w:line="240" w:lineRule="auto"/>
              <w:jc w:val="right"/>
              <w:rPr>
                <w:rFonts w:ascii="Segoe UI" w:eastAsia="Times New Roman" w:hAnsi="Segoe UI" w:cs="Segoe UI"/>
                <w:color w:val="666666"/>
                <w:sz w:val="20"/>
                <w:szCs w:val="20"/>
              </w:rPr>
            </w:pPr>
            <w:r w:rsidRPr="00232599">
              <w:rPr>
                <w:rFonts w:ascii="Segoe UI" w:eastAsia="Times New Roman" w:hAnsi="Segoe UI" w:cs="Segoe UI"/>
                <w:color w:val="666666"/>
                <w:sz w:val="20"/>
                <w:szCs w:val="20"/>
              </w:rPr>
              <w:t xml:space="preserve"> $41,154 </w:t>
            </w:r>
          </w:p>
        </w:tc>
      </w:tr>
    </w:tbl>
    <w:p w14:paraId="561F2271" w14:textId="77777777" w:rsidR="00D54C22" w:rsidRDefault="00D54C22" w:rsidP="00D54C22">
      <w:pPr>
        <w:rPr>
          <w:rFonts w:ascii="Times New Roman" w:hAnsi="Times New Roman"/>
          <w:sz w:val="24"/>
          <w:szCs w:val="24"/>
        </w:rPr>
        <w:sectPr w:rsidR="00D54C22" w:rsidSect="00412669">
          <w:pgSz w:w="12240" w:h="15840" w:code="1"/>
          <w:pgMar w:top="720" w:right="720" w:bottom="90" w:left="720" w:header="720" w:footer="720" w:gutter="0"/>
          <w:cols w:space="720"/>
          <w:docGrid w:linePitch="360"/>
        </w:sectPr>
      </w:pPr>
    </w:p>
    <w:tbl>
      <w:tblPr>
        <w:tblW w:w="10616" w:type="dxa"/>
        <w:tblInd w:w="-630" w:type="dxa"/>
        <w:tblLook w:val="04A0" w:firstRow="1" w:lastRow="0" w:firstColumn="1" w:lastColumn="0" w:noHBand="0" w:noVBand="1"/>
      </w:tblPr>
      <w:tblGrid>
        <w:gridCol w:w="7561"/>
        <w:gridCol w:w="1561"/>
        <w:gridCol w:w="272"/>
        <w:gridCol w:w="1222"/>
      </w:tblGrid>
      <w:tr w:rsidR="00B95993" w:rsidRPr="00B95993" w14:paraId="15A593F1" w14:textId="77777777" w:rsidTr="000A566E">
        <w:trPr>
          <w:trHeight w:val="81"/>
        </w:trPr>
        <w:tc>
          <w:tcPr>
            <w:tcW w:w="10616" w:type="dxa"/>
            <w:gridSpan w:val="4"/>
            <w:tcBorders>
              <w:top w:val="nil"/>
              <w:left w:val="nil"/>
              <w:bottom w:val="nil"/>
              <w:right w:val="nil"/>
            </w:tcBorders>
            <w:shd w:val="clear" w:color="auto" w:fill="auto"/>
            <w:noWrap/>
            <w:vAlign w:val="bottom"/>
            <w:hideMark/>
          </w:tcPr>
          <w:p w14:paraId="7C20E95D" w14:textId="19882E5A" w:rsidR="00B95993" w:rsidRPr="00B95993" w:rsidRDefault="00CC7D59" w:rsidP="00B95993">
            <w:pPr>
              <w:spacing w:after="0" w:line="240" w:lineRule="auto"/>
              <w:jc w:val="center"/>
              <w:rPr>
                <w:rFonts w:ascii="Segoe UI" w:eastAsia="Times New Roman" w:hAnsi="Segoe UI" w:cs="Segoe UI"/>
                <w:color w:val="666666"/>
                <w:sz w:val="20"/>
                <w:szCs w:val="20"/>
              </w:rPr>
            </w:pPr>
            <w:r>
              <w:br w:type="page"/>
            </w:r>
            <w:bookmarkStart w:id="12" w:name="RANGE!A3:D45"/>
            <w:r w:rsidR="00B95993" w:rsidRPr="00B95993">
              <w:rPr>
                <w:rFonts w:ascii="Segoe UI" w:eastAsia="Times New Roman" w:hAnsi="Segoe UI" w:cs="Segoe UI"/>
                <w:color w:val="666666"/>
                <w:sz w:val="20"/>
                <w:szCs w:val="20"/>
              </w:rPr>
              <w:t>BALANCE SHEETS</w:t>
            </w:r>
            <w:bookmarkEnd w:id="12"/>
          </w:p>
        </w:tc>
      </w:tr>
      <w:tr w:rsidR="00B95993" w:rsidRPr="00B95993" w14:paraId="25C165EC" w14:textId="77777777" w:rsidTr="000A566E">
        <w:trPr>
          <w:trHeight w:val="308"/>
        </w:trPr>
        <w:tc>
          <w:tcPr>
            <w:tcW w:w="10616" w:type="dxa"/>
            <w:gridSpan w:val="4"/>
            <w:tcBorders>
              <w:top w:val="nil"/>
              <w:left w:val="nil"/>
              <w:bottom w:val="nil"/>
              <w:right w:val="nil"/>
            </w:tcBorders>
            <w:shd w:val="clear" w:color="auto" w:fill="auto"/>
            <w:noWrap/>
            <w:vAlign w:val="bottom"/>
            <w:hideMark/>
          </w:tcPr>
          <w:p w14:paraId="0C294179" w14:textId="77777777" w:rsidR="00B95993" w:rsidRPr="00B95993" w:rsidRDefault="00B95993" w:rsidP="00B95993">
            <w:pPr>
              <w:spacing w:after="0" w:line="240" w:lineRule="auto"/>
              <w:jc w:val="center"/>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(In millions) (Unaudited)</w:t>
            </w:r>
          </w:p>
        </w:tc>
      </w:tr>
      <w:tr w:rsidR="00B95993" w:rsidRPr="00B95993" w14:paraId="31038757" w14:textId="77777777" w:rsidTr="000A566E">
        <w:trPr>
          <w:trHeight w:val="615"/>
        </w:trPr>
        <w:tc>
          <w:tcPr>
            <w:tcW w:w="7561" w:type="dxa"/>
            <w:tcBorders>
              <w:top w:val="nil"/>
              <w:left w:val="nil"/>
              <w:bottom w:val="single" w:sz="4" w:space="0" w:color="auto"/>
              <w:right w:val="nil"/>
            </w:tcBorders>
            <w:shd w:val="clear" w:color="auto" w:fill="auto"/>
            <w:noWrap/>
            <w:vAlign w:val="bottom"/>
            <w:hideMark/>
          </w:tcPr>
          <w:p w14:paraId="25D30B4B" w14:textId="77777777" w:rsidR="00B95993" w:rsidRPr="00B95993" w:rsidRDefault="00B95993" w:rsidP="00B95993">
            <w:pPr>
              <w:spacing w:after="0" w:line="240" w:lineRule="auto"/>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w:t>
            </w:r>
          </w:p>
        </w:tc>
        <w:tc>
          <w:tcPr>
            <w:tcW w:w="1561" w:type="dxa"/>
            <w:tcBorders>
              <w:top w:val="nil"/>
              <w:left w:val="nil"/>
              <w:bottom w:val="single" w:sz="4" w:space="0" w:color="auto"/>
              <w:right w:val="nil"/>
            </w:tcBorders>
            <w:shd w:val="clear" w:color="auto" w:fill="auto"/>
            <w:vAlign w:val="bottom"/>
            <w:hideMark/>
          </w:tcPr>
          <w:p w14:paraId="2C65035B"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June 30,</w:t>
            </w:r>
            <w:r w:rsidRPr="00B95993">
              <w:rPr>
                <w:rFonts w:ascii="Segoe UI" w:eastAsia="Times New Roman" w:hAnsi="Segoe UI" w:cs="Segoe UI"/>
                <w:b/>
                <w:bCs/>
                <w:color w:val="666666"/>
                <w:sz w:val="20"/>
                <w:szCs w:val="20"/>
              </w:rPr>
              <w:br/>
              <w:t>2020</w:t>
            </w:r>
          </w:p>
        </w:tc>
        <w:tc>
          <w:tcPr>
            <w:tcW w:w="272" w:type="dxa"/>
            <w:tcBorders>
              <w:top w:val="nil"/>
              <w:left w:val="nil"/>
              <w:bottom w:val="single" w:sz="4" w:space="0" w:color="auto"/>
              <w:right w:val="nil"/>
            </w:tcBorders>
            <w:shd w:val="clear" w:color="auto" w:fill="auto"/>
            <w:vAlign w:val="bottom"/>
            <w:hideMark/>
          </w:tcPr>
          <w:p w14:paraId="3A3E7BFF"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w:t>
            </w:r>
          </w:p>
        </w:tc>
        <w:tc>
          <w:tcPr>
            <w:tcW w:w="1222" w:type="dxa"/>
            <w:tcBorders>
              <w:top w:val="nil"/>
              <w:left w:val="nil"/>
              <w:bottom w:val="single" w:sz="4" w:space="0" w:color="auto"/>
              <w:right w:val="nil"/>
            </w:tcBorders>
            <w:shd w:val="clear" w:color="auto" w:fill="auto"/>
            <w:vAlign w:val="bottom"/>
            <w:hideMark/>
          </w:tcPr>
          <w:p w14:paraId="0A27B97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June 30, 2019</w:t>
            </w:r>
          </w:p>
        </w:tc>
      </w:tr>
      <w:tr w:rsidR="00B95993" w:rsidRPr="00B95993" w14:paraId="312DCEF4" w14:textId="77777777" w:rsidTr="000A566E">
        <w:trPr>
          <w:trHeight w:val="308"/>
        </w:trPr>
        <w:tc>
          <w:tcPr>
            <w:tcW w:w="7561" w:type="dxa"/>
            <w:tcBorders>
              <w:top w:val="nil"/>
              <w:left w:val="nil"/>
              <w:bottom w:val="nil"/>
              <w:right w:val="nil"/>
            </w:tcBorders>
            <w:shd w:val="clear" w:color="auto" w:fill="auto"/>
            <w:noWrap/>
            <w:vAlign w:val="bottom"/>
            <w:hideMark/>
          </w:tcPr>
          <w:p w14:paraId="6F6BDE68" w14:textId="77777777" w:rsidR="00B95993" w:rsidRPr="00B95993" w:rsidRDefault="00B95993" w:rsidP="00B95993">
            <w:pPr>
              <w:spacing w:after="0" w:line="240" w:lineRule="auto"/>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Assets</w:t>
            </w:r>
          </w:p>
        </w:tc>
        <w:tc>
          <w:tcPr>
            <w:tcW w:w="1561" w:type="dxa"/>
            <w:tcBorders>
              <w:top w:val="nil"/>
              <w:left w:val="nil"/>
              <w:bottom w:val="nil"/>
              <w:right w:val="nil"/>
            </w:tcBorders>
            <w:shd w:val="clear" w:color="auto" w:fill="auto"/>
            <w:vAlign w:val="bottom"/>
            <w:hideMark/>
          </w:tcPr>
          <w:p w14:paraId="184038C4" w14:textId="77777777" w:rsidR="00B95993" w:rsidRPr="00B95993" w:rsidRDefault="00B95993" w:rsidP="00B9599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2CE69C7"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73BCE86F"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3F7EC1BB" w14:textId="77777777" w:rsidTr="000A566E">
        <w:trPr>
          <w:trHeight w:val="308"/>
        </w:trPr>
        <w:tc>
          <w:tcPr>
            <w:tcW w:w="7561" w:type="dxa"/>
            <w:tcBorders>
              <w:top w:val="nil"/>
              <w:left w:val="nil"/>
              <w:bottom w:val="nil"/>
              <w:right w:val="nil"/>
            </w:tcBorders>
            <w:shd w:val="clear" w:color="auto" w:fill="auto"/>
            <w:noWrap/>
            <w:vAlign w:val="bottom"/>
            <w:hideMark/>
          </w:tcPr>
          <w:p w14:paraId="45693E62"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Current assets:</w:t>
            </w:r>
          </w:p>
        </w:tc>
        <w:tc>
          <w:tcPr>
            <w:tcW w:w="1561" w:type="dxa"/>
            <w:tcBorders>
              <w:top w:val="nil"/>
              <w:left w:val="nil"/>
              <w:bottom w:val="nil"/>
              <w:right w:val="nil"/>
            </w:tcBorders>
            <w:shd w:val="clear" w:color="auto" w:fill="auto"/>
            <w:noWrap/>
            <w:vAlign w:val="bottom"/>
            <w:hideMark/>
          </w:tcPr>
          <w:p w14:paraId="718B03F9" w14:textId="77777777" w:rsidR="00B95993" w:rsidRPr="00B95993" w:rsidRDefault="00B95993" w:rsidP="00B9599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D246782"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78A3D066"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736935B8" w14:textId="77777777" w:rsidTr="000A566E">
        <w:trPr>
          <w:trHeight w:val="308"/>
        </w:trPr>
        <w:tc>
          <w:tcPr>
            <w:tcW w:w="7561" w:type="dxa"/>
            <w:tcBorders>
              <w:top w:val="nil"/>
              <w:left w:val="nil"/>
              <w:bottom w:val="nil"/>
              <w:right w:val="nil"/>
            </w:tcBorders>
            <w:shd w:val="clear" w:color="auto" w:fill="auto"/>
            <w:noWrap/>
            <w:vAlign w:val="bottom"/>
            <w:hideMark/>
          </w:tcPr>
          <w:p w14:paraId="7CDAF354"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Cash and cash equivalents</w:t>
            </w:r>
          </w:p>
        </w:tc>
        <w:tc>
          <w:tcPr>
            <w:tcW w:w="1561" w:type="dxa"/>
            <w:tcBorders>
              <w:top w:val="nil"/>
              <w:left w:val="nil"/>
              <w:bottom w:val="nil"/>
              <w:right w:val="nil"/>
            </w:tcBorders>
            <w:shd w:val="clear" w:color="auto" w:fill="auto"/>
            <w:noWrap/>
            <w:vAlign w:val="bottom"/>
            <w:hideMark/>
          </w:tcPr>
          <w:p w14:paraId="76B5D9E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 $13,576 </w:t>
            </w:r>
          </w:p>
        </w:tc>
        <w:tc>
          <w:tcPr>
            <w:tcW w:w="272" w:type="dxa"/>
            <w:tcBorders>
              <w:top w:val="nil"/>
              <w:left w:val="nil"/>
              <w:bottom w:val="nil"/>
              <w:right w:val="nil"/>
            </w:tcBorders>
            <w:shd w:val="clear" w:color="auto" w:fill="auto"/>
            <w:noWrap/>
            <w:vAlign w:val="bottom"/>
            <w:hideMark/>
          </w:tcPr>
          <w:p w14:paraId="3975141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5B9161FE"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$11,356 </w:t>
            </w:r>
          </w:p>
        </w:tc>
      </w:tr>
      <w:tr w:rsidR="00B95993" w:rsidRPr="00B95993" w14:paraId="0A55BDD1" w14:textId="77777777" w:rsidTr="000A566E">
        <w:trPr>
          <w:trHeight w:val="308"/>
        </w:trPr>
        <w:tc>
          <w:tcPr>
            <w:tcW w:w="7561" w:type="dxa"/>
            <w:tcBorders>
              <w:top w:val="nil"/>
              <w:left w:val="nil"/>
              <w:bottom w:val="single" w:sz="4" w:space="0" w:color="auto"/>
              <w:right w:val="nil"/>
            </w:tcBorders>
            <w:shd w:val="clear" w:color="auto" w:fill="auto"/>
            <w:vAlign w:val="bottom"/>
            <w:hideMark/>
          </w:tcPr>
          <w:p w14:paraId="263EDBFE"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Short-term investments</w:t>
            </w:r>
          </w:p>
        </w:tc>
        <w:tc>
          <w:tcPr>
            <w:tcW w:w="1561" w:type="dxa"/>
            <w:tcBorders>
              <w:top w:val="nil"/>
              <w:left w:val="nil"/>
              <w:bottom w:val="single" w:sz="4" w:space="0" w:color="auto"/>
              <w:right w:val="nil"/>
            </w:tcBorders>
            <w:shd w:val="clear" w:color="auto" w:fill="auto"/>
            <w:noWrap/>
            <w:vAlign w:val="bottom"/>
            <w:hideMark/>
          </w:tcPr>
          <w:p w14:paraId="548A5466"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122,951 </w:t>
            </w:r>
          </w:p>
        </w:tc>
        <w:tc>
          <w:tcPr>
            <w:tcW w:w="272" w:type="dxa"/>
            <w:tcBorders>
              <w:top w:val="nil"/>
              <w:left w:val="nil"/>
              <w:bottom w:val="nil"/>
              <w:right w:val="nil"/>
            </w:tcBorders>
            <w:shd w:val="clear" w:color="auto" w:fill="auto"/>
            <w:noWrap/>
            <w:vAlign w:val="bottom"/>
            <w:hideMark/>
          </w:tcPr>
          <w:p w14:paraId="59D49E93"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4CD45F38"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122,463 </w:t>
            </w:r>
          </w:p>
        </w:tc>
      </w:tr>
      <w:tr w:rsidR="00B95993" w:rsidRPr="00B95993" w14:paraId="6B996E98" w14:textId="77777777" w:rsidTr="000A566E">
        <w:trPr>
          <w:trHeight w:val="308"/>
        </w:trPr>
        <w:tc>
          <w:tcPr>
            <w:tcW w:w="7561" w:type="dxa"/>
            <w:tcBorders>
              <w:top w:val="nil"/>
              <w:left w:val="nil"/>
              <w:bottom w:val="nil"/>
              <w:right w:val="nil"/>
            </w:tcBorders>
            <w:shd w:val="clear" w:color="auto" w:fill="auto"/>
            <w:vAlign w:val="bottom"/>
            <w:hideMark/>
          </w:tcPr>
          <w:p w14:paraId="165F9F92"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cash, cash equivalents, and short-term investments</w:t>
            </w:r>
          </w:p>
        </w:tc>
        <w:tc>
          <w:tcPr>
            <w:tcW w:w="1561" w:type="dxa"/>
            <w:tcBorders>
              <w:top w:val="nil"/>
              <w:left w:val="nil"/>
              <w:bottom w:val="nil"/>
              <w:right w:val="nil"/>
            </w:tcBorders>
            <w:shd w:val="clear" w:color="auto" w:fill="auto"/>
            <w:noWrap/>
            <w:vAlign w:val="bottom"/>
            <w:hideMark/>
          </w:tcPr>
          <w:p w14:paraId="6D7950B2"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136,527 </w:t>
            </w:r>
          </w:p>
        </w:tc>
        <w:tc>
          <w:tcPr>
            <w:tcW w:w="272" w:type="dxa"/>
            <w:tcBorders>
              <w:top w:val="nil"/>
              <w:left w:val="nil"/>
              <w:bottom w:val="nil"/>
              <w:right w:val="nil"/>
            </w:tcBorders>
            <w:shd w:val="clear" w:color="auto" w:fill="auto"/>
            <w:noWrap/>
            <w:vAlign w:val="bottom"/>
            <w:hideMark/>
          </w:tcPr>
          <w:p w14:paraId="6219A06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C2B138B"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133,819 </w:t>
            </w:r>
          </w:p>
        </w:tc>
      </w:tr>
      <w:tr w:rsidR="00B95993" w:rsidRPr="00B95993" w14:paraId="55B7F916" w14:textId="77777777" w:rsidTr="000A566E">
        <w:trPr>
          <w:trHeight w:val="302"/>
        </w:trPr>
        <w:tc>
          <w:tcPr>
            <w:tcW w:w="7561" w:type="dxa"/>
            <w:tcBorders>
              <w:top w:val="nil"/>
              <w:left w:val="nil"/>
              <w:bottom w:val="nil"/>
              <w:right w:val="nil"/>
            </w:tcBorders>
            <w:shd w:val="clear" w:color="auto" w:fill="auto"/>
            <w:vAlign w:val="bottom"/>
            <w:hideMark/>
          </w:tcPr>
          <w:p w14:paraId="7834B8C6" w14:textId="57880D80"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Accounts receivable, net of allowance for doubtful</w:t>
            </w:r>
            <w:r w:rsidR="006E427D">
              <w:rPr>
                <w:rFonts w:ascii="Segoe UI" w:eastAsia="Times New Roman" w:hAnsi="Segoe UI" w:cs="Segoe UI"/>
                <w:color w:val="666666"/>
                <w:sz w:val="20"/>
                <w:szCs w:val="20"/>
              </w:rPr>
              <w:t xml:space="preserve"> accounts</w:t>
            </w:r>
            <w:r w:rsidRPr="00B95993">
              <w:rPr>
                <w:rFonts w:ascii="Segoe UI" w:eastAsia="Times New Roman" w:hAnsi="Segoe UI" w:cs="Segoe UI"/>
                <w:color w:val="666666"/>
                <w:sz w:val="20"/>
                <w:szCs w:val="20"/>
              </w:rPr>
              <w:t xml:space="preserve"> of </w:t>
            </w:r>
            <w:r w:rsidRPr="00B95993">
              <w:rPr>
                <w:rFonts w:ascii="Segoe UI" w:eastAsia="Times New Roman" w:hAnsi="Segoe UI" w:cs="Segoe UI"/>
                <w:b/>
                <w:bCs/>
                <w:color w:val="666666"/>
                <w:sz w:val="20"/>
                <w:szCs w:val="20"/>
              </w:rPr>
              <w:t>$788</w:t>
            </w:r>
            <w:r w:rsidRPr="00B95993">
              <w:rPr>
                <w:rFonts w:ascii="Segoe UI" w:eastAsia="Times New Roman" w:hAnsi="Segoe UI" w:cs="Segoe UI"/>
                <w:color w:val="666666"/>
                <w:sz w:val="20"/>
                <w:szCs w:val="20"/>
              </w:rPr>
              <w:t xml:space="preserve"> and $411</w:t>
            </w:r>
          </w:p>
        </w:tc>
        <w:tc>
          <w:tcPr>
            <w:tcW w:w="1561" w:type="dxa"/>
            <w:tcBorders>
              <w:top w:val="nil"/>
              <w:left w:val="nil"/>
              <w:bottom w:val="nil"/>
              <w:right w:val="nil"/>
            </w:tcBorders>
            <w:shd w:val="clear" w:color="auto" w:fill="auto"/>
            <w:noWrap/>
            <w:vAlign w:val="bottom"/>
            <w:hideMark/>
          </w:tcPr>
          <w:p w14:paraId="19A1720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32,011 </w:t>
            </w:r>
          </w:p>
        </w:tc>
        <w:tc>
          <w:tcPr>
            <w:tcW w:w="272" w:type="dxa"/>
            <w:tcBorders>
              <w:top w:val="nil"/>
              <w:left w:val="nil"/>
              <w:bottom w:val="nil"/>
              <w:right w:val="nil"/>
            </w:tcBorders>
            <w:shd w:val="clear" w:color="auto" w:fill="auto"/>
            <w:noWrap/>
            <w:vAlign w:val="bottom"/>
            <w:hideMark/>
          </w:tcPr>
          <w:p w14:paraId="619F3D6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35032BE6"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29,524 </w:t>
            </w:r>
          </w:p>
        </w:tc>
      </w:tr>
      <w:tr w:rsidR="00B95993" w:rsidRPr="00B95993" w14:paraId="252BFFA8" w14:textId="77777777" w:rsidTr="000A566E">
        <w:trPr>
          <w:trHeight w:val="308"/>
        </w:trPr>
        <w:tc>
          <w:tcPr>
            <w:tcW w:w="7561" w:type="dxa"/>
            <w:tcBorders>
              <w:top w:val="nil"/>
              <w:left w:val="nil"/>
              <w:bottom w:val="nil"/>
              <w:right w:val="nil"/>
            </w:tcBorders>
            <w:shd w:val="clear" w:color="auto" w:fill="auto"/>
            <w:noWrap/>
            <w:vAlign w:val="bottom"/>
            <w:hideMark/>
          </w:tcPr>
          <w:p w14:paraId="0DDB955D"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Inventories</w:t>
            </w:r>
          </w:p>
        </w:tc>
        <w:tc>
          <w:tcPr>
            <w:tcW w:w="1561" w:type="dxa"/>
            <w:tcBorders>
              <w:top w:val="nil"/>
              <w:left w:val="nil"/>
              <w:bottom w:val="nil"/>
              <w:right w:val="nil"/>
            </w:tcBorders>
            <w:shd w:val="clear" w:color="auto" w:fill="auto"/>
            <w:noWrap/>
            <w:vAlign w:val="bottom"/>
            <w:hideMark/>
          </w:tcPr>
          <w:p w14:paraId="3BFDD87E"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1,895 </w:t>
            </w:r>
          </w:p>
        </w:tc>
        <w:tc>
          <w:tcPr>
            <w:tcW w:w="272" w:type="dxa"/>
            <w:tcBorders>
              <w:top w:val="nil"/>
              <w:left w:val="nil"/>
              <w:bottom w:val="nil"/>
              <w:right w:val="nil"/>
            </w:tcBorders>
            <w:shd w:val="clear" w:color="auto" w:fill="auto"/>
            <w:noWrap/>
            <w:vAlign w:val="bottom"/>
            <w:hideMark/>
          </w:tcPr>
          <w:p w14:paraId="14672D19"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5539CAF5"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2,063 </w:t>
            </w:r>
          </w:p>
        </w:tc>
      </w:tr>
      <w:tr w:rsidR="00B95993" w:rsidRPr="00B95993" w14:paraId="508117F9" w14:textId="77777777" w:rsidTr="000A566E">
        <w:trPr>
          <w:trHeight w:val="308"/>
        </w:trPr>
        <w:tc>
          <w:tcPr>
            <w:tcW w:w="7561" w:type="dxa"/>
            <w:tcBorders>
              <w:top w:val="nil"/>
              <w:left w:val="nil"/>
              <w:bottom w:val="single" w:sz="4" w:space="0" w:color="auto"/>
              <w:right w:val="nil"/>
            </w:tcBorders>
            <w:shd w:val="clear" w:color="auto" w:fill="auto"/>
            <w:noWrap/>
            <w:vAlign w:val="center"/>
            <w:hideMark/>
          </w:tcPr>
          <w:p w14:paraId="23FBA407"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Other current assets</w:t>
            </w:r>
          </w:p>
        </w:tc>
        <w:tc>
          <w:tcPr>
            <w:tcW w:w="1561" w:type="dxa"/>
            <w:tcBorders>
              <w:top w:val="nil"/>
              <w:left w:val="nil"/>
              <w:bottom w:val="single" w:sz="4" w:space="0" w:color="auto"/>
              <w:right w:val="nil"/>
            </w:tcBorders>
            <w:shd w:val="clear" w:color="auto" w:fill="auto"/>
            <w:noWrap/>
            <w:vAlign w:val="bottom"/>
            <w:hideMark/>
          </w:tcPr>
          <w:p w14:paraId="07D06BC6"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11,482 </w:t>
            </w:r>
          </w:p>
        </w:tc>
        <w:tc>
          <w:tcPr>
            <w:tcW w:w="272" w:type="dxa"/>
            <w:tcBorders>
              <w:top w:val="nil"/>
              <w:left w:val="nil"/>
              <w:bottom w:val="nil"/>
              <w:right w:val="nil"/>
            </w:tcBorders>
            <w:shd w:val="clear" w:color="auto" w:fill="auto"/>
            <w:noWrap/>
            <w:vAlign w:val="bottom"/>
            <w:hideMark/>
          </w:tcPr>
          <w:p w14:paraId="61C34C7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1C5A5524"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10,146 </w:t>
            </w:r>
          </w:p>
        </w:tc>
      </w:tr>
      <w:tr w:rsidR="00B95993" w:rsidRPr="00B95993" w14:paraId="1AB9617C" w14:textId="77777777" w:rsidTr="000A566E">
        <w:trPr>
          <w:trHeight w:val="308"/>
        </w:trPr>
        <w:tc>
          <w:tcPr>
            <w:tcW w:w="7561" w:type="dxa"/>
            <w:tcBorders>
              <w:top w:val="nil"/>
              <w:left w:val="nil"/>
              <w:bottom w:val="nil"/>
              <w:right w:val="nil"/>
            </w:tcBorders>
            <w:shd w:val="clear" w:color="auto" w:fill="auto"/>
            <w:noWrap/>
            <w:vAlign w:val="bottom"/>
            <w:hideMark/>
          </w:tcPr>
          <w:p w14:paraId="038199C1"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current assets</w:t>
            </w:r>
          </w:p>
        </w:tc>
        <w:tc>
          <w:tcPr>
            <w:tcW w:w="1561" w:type="dxa"/>
            <w:tcBorders>
              <w:top w:val="nil"/>
              <w:left w:val="nil"/>
              <w:bottom w:val="nil"/>
              <w:right w:val="nil"/>
            </w:tcBorders>
            <w:shd w:val="clear" w:color="auto" w:fill="auto"/>
            <w:noWrap/>
            <w:vAlign w:val="bottom"/>
            <w:hideMark/>
          </w:tcPr>
          <w:p w14:paraId="1DF442F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181,915 </w:t>
            </w:r>
          </w:p>
        </w:tc>
        <w:tc>
          <w:tcPr>
            <w:tcW w:w="272" w:type="dxa"/>
            <w:tcBorders>
              <w:top w:val="nil"/>
              <w:left w:val="nil"/>
              <w:bottom w:val="nil"/>
              <w:right w:val="nil"/>
            </w:tcBorders>
            <w:shd w:val="clear" w:color="auto" w:fill="auto"/>
            <w:noWrap/>
            <w:vAlign w:val="bottom"/>
            <w:hideMark/>
          </w:tcPr>
          <w:p w14:paraId="3EBA3DB2"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9DDBD72"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175,552 </w:t>
            </w:r>
          </w:p>
        </w:tc>
      </w:tr>
      <w:tr w:rsidR="00B95993" w:rsidRPr="00B95993" w14:paraId="282A9893" w14:textId="77777777" w:rsidTr="000A566E">
        <w:trPr>
          <w:trHeight w:val="302"/>
        </w:trPr>
        <w:tc>
          <w:tcPr>
            <w:tcW w:w="7561" w:type="dxa"/>
            <w:tcBorders>
              <w:top w:val="nil"/>
              <w:left w:val="nil"/>
              <w:bottom w:val="nil"/>
              <w:right w:val="nil"/>
            </w:tcBorders>
            <w:shd w:val="clear" w:color="auto" w:fill="auto"/>
            <w:vAlign w:val="bottom"/>
            <w:hideMark/>
          </w:tcPr>
          <w:p w14:paraId="54DD85D2" w14:textId="3C77CA39"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Property and equipment, net of accumulated depreciation of </w:t>
            </w:r>
            <w:r w:rsidRPr="00B95993">
              <w:rPr>
                <w:rFonts w:ascii="Segoe UI" w:eastAsia="Times New Roman" w:hAnsi="Segoe UI" w:cs="Segoe UI"/>
                <w:b/>
                <w:bCs/>
                <w:color w:val="666666"/>
                <w:sz w:val="20"/>
                <w:szCs w:val="20"/>
              </w:rPr>
              <w:t>$43,197</w:t>
            </w:r>
            <w:r w:rsidRPr="00B95993">
              <w:rPr>
                <w:rFonts w:ascii="Segoe UI" w:eastAsia="Times New Roman" w:hAnsi="Segoe UI" w:cs="Segoe UI"/>
                <w:color w:val="666666"/>
                <w:sz w:val="20"/>
                <w:szCs w:val="20"/>
              </w:rPr>
              <w:t xml:space="preserve"> and $35,330</w:t>
            </w:r>
          </w:p>
        </w:tc>
        <w:tc>
          <w:tcPr>
            <w:tcW w:w="1561" w:type="dxa"/>
            <w:tcBorders>
              <w:top w:val="nil"/>
              <w:left w:val="nil"/>
              <w:bottom w:val="nil"/>
              <w:right w:val="nil"/>
            </w:tcBorders>
            <w:shd w:val="clear" w:color="auto" w:fill="auto"/>
            <w:noWrap/>
            <w:vAlign w:val="bottom"/>
            <w:hideMark/>
          </w:tcPr>
          <w:p w14:paraId="5163B6D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44,151 </w:t>
            </w:r>
          </w:p>
        </w:tc>
        <w:tc>
          <w:tcPr>
            <w:tcW w:w="272" w:type="dxa"/>
            <w:tcBorders>
              <w:top w:val="nil"/>
              <w:left w:val="nil"/>
              <w:bottom w:val="nil"/>
              <w:right w:val="nil"/>
            </w:tcBorders>
            <w:shd w:val="clear" w:color="auto" w:fill="auto"/>
            <w:noWrap/>
            <w:vAlign w:val="bottom"/>
            <w:hideMark/>
          </w:tcPr>
          <w:p w14:paraId="7969F8A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174C807"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36,477 </w:t>
            </w:r>
          </w:p>
        </w:tc>
      </w:tr>
      <w:tr w:rsidR="00B95993" w:rsidRPr="00B95993" w14:paraId="72E22060" w14:textId="77777777" w:rsidTr="000A566E">
        <w:trPr>
          <w:trHeight w:val="308"/>
        </w:trPr>
        <w:tc>
          <w:tcPr>
            <w:tcW w:w="7561" w:type="dxa"/>
            <w:tcBorders>
              <w:top w:val="nil"/>
              <w:left w:val="nil"/>
              <w:bottom w:val="nil"/>
              <w:right w:val="nil"/>
            </w:tcBorders>
            <w:shd w:val="clear" w:color="auto" w:fill="auto"/>
            <w:vAlign w:val="bottom"/>
            <w:hideMark/>
          </w:tcPr>
          <w:p w14:paraId="052C05C4"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Operating lease right-of-use assets</w:t>
            </w:r>
          </w:p>
        </w:tc>
        <w:tc>
          <w:tcPr>
            <w:tcW w:w="1561" w:type="dxa"/>
            <w:tcBorders>
              <w:top w:val="nil"/>
              <w:left w:val="nil"/>
              <w:bottom w:val="nil"/>
              <w:right w:val="nil"/>
            </w:tcBorders>
            <w:shd w:val="clear" w:color="auto" w:fill="auto"/>
            <w:noWrap/>
            <w:vAlign w:val="bottom"/>
            <w:hideMark/>
          </w:tcPr>
          <w:p w14:paraId="04E5D2D3"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8,753 </w:t>
            </w:r>
          </w:p>
        </w:tc>
        <w:tc>
          <w:tcPr>
            <w:tcW w:w="272" w:type="dxa"/>
            <w:tcBorders>
              <w:top w:val="nil"/>
              <w:left w:val="nil"/>
              <w:bottom w:val="nil"/>
              <w:right w:val="nil"/>
            </w:tcBorders>
            <w:shd w:val="clear" w:color="auto" w:fill="auto"/>
            <w:noWrap/>
            <w:vAlign w:val="bottom"/>
            <w:hideMark/>
          </w:tcPr>
          <w:p w14:paraId="7FD598F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405AB518"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7,379 </w:t>
            </w:r>
          </w:p>
        </w:tc>
      </w:tr>
      <w:tr w:rsidR="00B95993" w:rsidRPr="00B95993" w14:paraId="512A6CBF" w14:textId="77777777" w:rsidTr="000A566E">
        <w:trPr>
          <w:trHeight w:val="308"/>
        </w:trPr>
        <w:tc>
          <w:tcPr>
            <w:tcW w:w="7561" w:type="dxa"/>
            <w:tcBorders>
              <w:top w:val="nil"/>
              <w:left w:val="nil"/>
              <w:bottom w:val="nil"/>
              <w:right w:val="nil"/>
            </w:tcBorders>
            <w:shd w:val="clear" w:color="auto" w:fill="auto"/>
            <w:noWrap/>
            <w:vAlign w:val="bottom"/>
            <w:hideMark/>
          </w:tcPr>
          <w:p w14:paraId="6800E7BA"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Equity investments</w:t>
            </w:r>
          </w:p>
        </w:tc>
        <w:tc>
          <w:tcPr>
            <w:tcW w:w="1561" w:type="dxa"/>
            <w:tcBorders>
              <w:top w:val="nil"/>
              <w:left w:val="nil"/>
              <w:bottom w:val="nil"/>
              <w:right w:val="nil"/>
            </w:tcBorders>
            <w:shd w:val="clear" w:color="auto" w:fill="auto"/>
            <w:noWrap/>
            <w:vAlign w:val="bottom"/>
            <w:hideMark/>
          </w:tcPr>
          <w:p w14:paraId="05C6B74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2,965 </w:t>
            </w:r>
          </w:p>
        </w:tc>
        <w:tc>
          <w:tcPr>
            <w:tcW w:w="272" w:type="dxa"/>
            <w:tcBorders>
              <w:top w:val="nil"/>
              <w:left w:val="nil"/>
              <w:bottom w:val="nil"/>
              <w:right w:val="nil"/>
            </w:tcBorders>
            <w:shd w:val="clear" w:color="auto" w:fill="auto"/>
            <w:noWrap/>
            <w:vAlign w:val="bottom"/>
            <w:hideMark/>
          </w:tcPr>
          <w:p w14:paraId="3372813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4AD464C3"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2,649 </w:t>
            </w:r>
          </w:p>
        </w:tc>
      </w:tr>
      <w:tr w:rsidR="00B95993" w:rsidRPr="00B95993" w14:paraId="05A3F784" w14:textId="77777777" w:rsidTr="000A566E">
        <w:trPr>
          <w:trHeight w:val="308"/>
        </w:trPr>
        <w:tc>
          <w:tcPr>
            <w:tcW w:w="7561" w:type="dxa"/>
            <w:tcBorders>
              <w:top w:val="nil"/>
              <w:left w:val="nil"/>
              <w:bottom w:val="nil"/>
              <w:right w:val="nil"/>
            </w:tcBorders>
            <w:shd w:val="clear" w:color="auto" w:fill="auto"/>
            <w:noWrap/>
            <w:vAlign w:val="bottom"/>
            <w:hideMark/>
          </w:tcPr>
          <w:p w14:paraId="639AC868"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Goodwill</w:t>
            </w:r>
          </w:p>
        </w:tc>
        <w:tc>
          <w:tcPr>
            <w:tcW w:w="1561" w:type="dxa"/>
            <w:tcBorders>
              <w:top w:val="nil"/>
              <w:left w:val="nil"/>
              <w:bottom w:val="nil"/>
              <w:right w:val="nil"/>
            </w:tcBorders>
            <w:shd w:val="clear" w:color="auto" w:fill="auto"/>
            <w:noWrap/>
            <w:vAlign w:val="bottom"/>
            <w:hideMark/>
          </w:tcPr>
          <w:p w14:paraId="440722A3"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43,351 </w:t>
            </w:r>
          </w:p>
        </w:tc>
        <w:tc>
          <w:tcPr>
            <w:tcW w:w="272" w:type="dxa"/>
            <w:tcBorders>
              <w:top w:val="nil"/>
              <w:left w:val="nil"/>
              <w:bottom w:val="nil"/>
              <w:right w:val="nil"/>
            </w:tcBorders>
            <w:shd w:val="clear" w:color="auto" w:fill="auto"/>
            <w:noWrap/>
            <w:vAlign w:val="bottom"/>
            <w:hideMark/>
          </w:tcPr>
          <w:p w14:paraId="60C88D6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8E649A5"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42,026 </w:t>
            </w:r>
          </w:p>
        </w:tc>
      </w:tr>
      <w:tr w:rsidR="00B95993" w:rsidRPr="00B95993" w14:paraId="15542598" w14:textId="77777777" w:rsidTr="000A566E">
        <w:trPr>
          <w:trHeight w:val="308"/>
        </w:trPr>
        <w:tc>
          <w:tcPr>
            <w:tcW w:w="7561" w:type="dxa"/>
            <w:tcBorders>
              <w:top w:val="nil"/>
              <w:left w:val="nil"/>
              <w:bottom w:val="nil"/>
              <w:right w:val="nil"/>
            </w:tcBorders>
            <w:shd w:val="clear" w:color="auto" w:fill="auto"/>
            <w:noWrap/>
            <w:vAlign w:val="bottom"/>
            <w:hideMark/>
          </w:tcPr>
          <w:p w14:paraId="7E5B3BBF"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Intangible assets, net</w:t>
            </w:r>
          </w:p>
        </w:tc>
        <w:tc>
          <w:tcPr>
            <w:tcW w:w="1561" w:type="dxa"/>
            <w:tcBorders>
              <w:top w:val="nil"/>
              <w:left w:val="nil"/>
              <w:bottom w:val="nil"/>
              <w:right w:val="nil"/>
            </w:tcBorders>
            <w:shd w:val="clear" w:color="auto" w:fill="auto"/>
            <w:noWrap/>
            <w:vAlign w:val="bottom"/>
            <w:hideMark/>
          </w:tcPr>
          <w:p w14:paraId="0D10027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7,038 </w:t>
            </w:r>
          </w:p>
        </w:tc>
        <w:tc>
          <w:tcPr>
            <w:tcW w:w="272" w:type="dxa"/>
            <w:tcBorders>
              <w:top w:val="nil"/>
              <w:left w:val="nil"/>
              <w:bottom w:val="nil"/>
              <w:right w:val="nil"/>
            </w:tcBorders>
            <w:shd w:val="clear" w:color="auto" w:fill="auto"/>
            <w:noWrap/>
            <w:vAlign w:val="bottom"/>
            <w:hideMark/>
          </w:tcPr>
          <w:p w14:paraId="3A3ADD8E"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F525A03"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7,750 </w:t>
            </w:r>
          </w:p>
        </w:tc>
      </w:tr>
      <w:tr w:rsidR="00B95993" w:rsidRPr="00B95993" w14:paraId="73D9726E" w14:textId="77777777" w:rsidTr="000A566E">
        <w:trPr>
          <w:trHeight w:val="308"/>
        </w:trPr>
        <w:tc>
          <w:tcPr>
            <w:tcW w:w="7561" w:type="dxa"/>
            <w:tcBorders>
              <w:top w:val="nil"/>
              <w:left w:val="nil"/>
              <w:bottom w:val="single" w:sz="4" w:space="0" w:color="auto"/>
              <w:right w:val="nil"/>
            </w:tcBorders>
            <w:shd w:val="clear" w:color="auto" w:fill="auto"/>
            <w:noWrap/>
            <w:vAlign w:val="bottom"/>
            <w:hideMark/>
          </w:tcPr>
          <w:p w14:paraId="5832FF79"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Other long-term assets</w:t>
            </w:r>
          </w:p>
        </w:tc>
        <w:tc>
          <w:tcPr>
            <w:tcW w:w="1561" w:type="dxa"/>
            <w:tcBorders>
              <w:top w:val="nil"/>
              <w:left w:val="nil"/>
              <w:bottom w:val="single" w:sz="4" w:space="0" w:color="auto"/>
              <w:right w:val="nil"/>
            </w:tcBorders>
            <w:shd w:val="clear" w:color="auto" w:fill="auto"/>
            <w:noWrap/>
            <w:vAlign w:val="bottom"/>
            <w:hideMark/>
          </w:tcPr>
          <w:p w14:paraId="377FBB32"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13,138 </w:t>
            </w:r>
          </w:p>
        </w:tc>
        <w:tc>
          <w:tcPr>
            <w:tcW w:w="272" w:type="dxa"/>
            <w:tcBorders>
              <w:top w:val="nil"/>
              <w:left w:val="nil"/>
              <w:bottom w:val="nil"/>
              <w:right w:val="nil"/>
            </w:tcBorders>
            <w:shd w:val="clear" w:color="auto" w:fill="auto"/>
            <w:noWrap/>
            <w:vAlign w:val="bottom"/>
            <w:hideMark/>
          </w:tcPr>
          <w:p w14:paraId="3A3D38C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59B79B9B"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14,723 </w:t>
            </w:r>
          </w:p>
        </w:tc>
      </w:tr>
      <w:tr w:rsidR="00B95993" w:rsidRPr="00B95993" w14:paraId="729D0264" w14:textId="77777777" w:rsidTr="000A566E">
        <w:trPr>
          <w:trHeight w:val="302"/>
        </w:trPr>
        <w:tc>
          <w:tcPr>
            <w:tcW w:w="7561" w:type="dxa"/>
            <w:tcBorders>
              <w:top w:val="nil"/>
              <w:left w:val="nil"/>
              <w:bottom w:val="nil"/>
              <w:right w:val="nil"/>
            </w:tcBorders>
            <w:shd w:val="clear" w:color="auto" w:fill="auto"/>
            <w:noWrap/>
            <w:vAlign w:val="bottom"/>
            <w:hideMark/>
          </w:tcPr>
          <w:p w14:paraId="7807E017"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assets</w:t>
            </w:r>
          </w:p>
        </w:tc>
        <w:tc>
          <w:tcPr>
            <w:tcW w:w="1561" w:type="dxa"/>
            <w:tcBorders>
              <w:top w:val="nil"/>
              <w:left w:val="nil"/>
              <w:bottom w:val="single" w:sz="8" w:space="0" w:color="auto"/>
              <w:right w:val="nil"/>
            </w:tcBorders>
            <w:shd w:val="clear" w:color="auto" w:fill="auto"/>
            <w:noWrap/>
            <w:vAlign w:val="bottom"/>
            <w:hideMark/>
          </w:tcPr>
          <w:p w14:paraId="612CD58E"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 $301,311 </w:t>
            </w:r>
          </w:p>
        </w:tc>
        <w:tc>
          <w:tcPr>
            <w:tcW w:w="272" w:type="dxa"/>
            <w:tcBorders>
              <w:top w:val="nil"/>
              <w:left w:val="nil"/>
              <w:bottom w:val="nil"/>
              <w:right w:val="nil"/>
            </w:tcBorders>
            <w:shd w:val="clear" w:color="auto" w:fill="auto"/>
            <w:noWrap/>
            <w:vAlign w:val="bottom"/>
            <w:hideMark/>
          </w:tcPr>
          <w:p w14:paraId="10098487"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8" w:space="0" w:color="auto"/>
              <w:right w:val="nil"/>
            </w:tcBorders>
            <w:shd w:val="clear" w:color="auto" w:fill="auto"/>
            <w:noWrap/>
            <w:vAlign w:val="bottom"/>
            <w:hideMark/>
          </w:tcPr>
          <w:p w14:paraId="582DDDA6"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$286,556 </w:t>
            </w:r>
          </w:p>
        </w:tc>
      </w:tr>
      <w:tr w:rsidR="00B95993" w:rsidRPr="00B95993" w14:paraId="7B2E78CE" w14:textId="77777777" w:rsidTr="000A566E">
        <w:trPr>
          <w:trHeight w:val="308"/>
        </w:trPr>
        <w:tc>
          <w:tcPr>
            <w:tcW w:w="7561" w:type="dxa"/>
            <w:tcBorders>
              <w:top w:val="nil"/>
              <w:left w:val="nil"/>
              <w:bottom w:val="nil"/>
              <w:right w:val="nil"/>
            </w:tcBorders>
            <w:shd w:val="clear" w:color="auto" w:fill="auto"/>
            <w:noWrap/>
            <w:vAlign w:val="bottom"/>
            <w:hideMark/>
          </w:tcPr>
          <w:p w14:paraId="0C71B569" w14:textId="77777777" w:rsidR="00B95993" w:rsidRPr="00B95993" w:rsidRDefault="00B95993" w:rsidP="00B95993">
            <w:pPr>
              <w:spacing w:after="0" w:line="240" w:lineRule="auto"/>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Liabilities and stockholders' equity</w:t>
            </w:r>
          </w:p>
        </w:tc>
        <w:tc>
          <w:tcPr>
            <w:tcW w:w="1561" w:type="dxa"/>
            <w:tcBorders>
              <w:top w:val="nil"/>
              <w:left w:val="nil"/>
              <w:bottom w:val="nil"/>
              <w:right w:val="nil"/>
            </w:tcBorders>
            <w:shd w:val="clear" w:color="auto" w:fill="auto"/>
            <w:noWrap/>
            <w:vAlign w:val="bottom"/>
            <w:hideMark/>
          </w:tcPr>
          <w:p w14:paraId="01493306" w14:textId="77777777" w:rsidR="00B95993" w:rsidRPr="00B95993" w:rsidRDefault="00B95993" w:rsidP="00B9599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037114B"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0B9F5938"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0E7F5CDC" w14:textId="77777777" w:rsidTr="000A566E">
        <w:trPr>
          <w:trHeight w:val="308"/>
        </w:trPr>
        <w:tc>
          <w:tcPr>
            <w:tcW w:w="7561" w:type="dxa"/>
            <w:tcBorders>
              <w:top w:val="nil"/>
              <w:left w:val="nil"/>
              <w:bottom w:val="nil"/>
              <w:right w:val="nil"/>
            </w:tcBorders>
            <w:shd w:val="clear" w:color="auto" w:fill="auto"/>
            <w:noWrap/>
            <w:vAlign w:val="bottom"/>
            <w:hideMark/>
          </w:tcPr>
          <w:p w14:paraId="40DD7145"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Current liabilities:</w:t>
            </w:r>
          </w:p>
        </w:tc>
        <w:tc>
          <w:tcPr>
            <w:tcW w:w="1561" w:type="dxa"/>
            <w:tcBorders>
              <w:top w:val="nil"/>
              <w:left w:val="nil"/>
              <w:bottom w:val="nil"/>
              <w:right w:val="nil"/>
            </w:tcBorders>
            <w:shd w:val="clear" w:color="auto" w:fill="auto"/>
            <w:noWrap/>
            <w:vAlign w:val="bottom"/>
            <w:hideMark/>
          </w:tcPr>
          <w:p w14:paraId="0A4F366B" w14:textId="77777777" w:rsidR="00B95993" w:rsidRPr="00B95993" w:rsidRDefault="00B95993" w:rsidP="00B9599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BE74BE3"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135712F8"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5F7AAF8C" w14:textId="77777777" w:rsidTr="000A566E">
        <w:trPr>
          <w:trHeight w:val="308"/>
        </w:trPr>
        <w:tc>
          <w:tcPr>
            <w:tcW w:w="7561" w:type="dxa"/>
            <w:tcBorders>
              <w:top w:val="nil"/>
              <w:left w:val="nil"/>
              <w:bottom w:val="nil"/>
              <w:right w:val="nil"/>
            </w:tcBorders>
            <w:shd w:val="clear" w:color="auto" w:fill="auto"/>
            <w:noWrap/>
            <w:vAlign w:val="bottom"/>
            <w:hideMark/>
          </w:tcPr>
          <w:p w14:paraId="471A1034"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Accounts payable</w:t>
            </w:r>
          </w:p>
        </w:tc>
        <w:tc>
          <w:tcPr>
            <w:tcW w:w="1561" w:type="dxa"/>
            <w:tcBorders>
              <w:top w:val="nil"/>
              <w:left w:val="nil"/>
              <w:bottom w:val="nil"/>
              <w:right w:val="nil"/>
            </w:tcBorders>
            <w:shd w:val="clear" w:color="auto" w:fill="auto"/>
            <w:noWrap/>
            <w:vAlign w:val="bottom"/>
            <w:hideMark/>
          </w:tcPr>
          <w:p w14:paraId="4DEC822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 $12,530 </w:t>
            </w:r>
          </w:p>
        </w:tc>
        <w:tc>
          <w:tcPr>
            <w:tcW w:w="272" w:type="dxa"/>
            <w:tcBorders>
              <w:top w:val="nil"/>
              <w:left w:val="nil"/>
              <w:bottom w:val="nil"/>
              <w:right w:val="nil"/>
            </w:tcBorders>
            <w:shd w:val="clear" w:color="auto" w:fill="auto"/>
            <w:noWrap/>
            <w:vAlign w:val="bottom"/>
            <w:hideMark/>
          </w:tcPr>
          <w:p w14:paraId="05498476"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06B4D20"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$9,382 </w:t>
            </w:r>
          </w:p>
        </w:tc>
      </w:tr>
      <w:tr w:rsidR="00B95993" w:rsidRPr="00B95993" w14:paraId="3D8FB75C" w14:textId="77777777" w:rsidTr="000A566E">
        <w:trPr>
          <w:trHeight w:val="308"/>
        </w:trPr>
        <w:tc>
          <w:tcPr>
            <w:tcW w:w="7561" w:type="dxa"/>
            <w:tcBorders>
              <w:top w:val="nil"/>
              <w:left w:val="nil"/>
              <w:bottom w:val="nil"/>
              <w:right w:val="nil"/>
            </w:tcBorders>
            <w:shd w:val="clear" w:color="auto" w:fill="auto"/>
            <w:noWrap/>
            <w:vAlign w:val="bottom"/>
            <w:hideMark/>
          </w:tcPr>
          <w:p w14:paraId="00AD6F7F"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Current portion of long-term debt</w:t>
            </w:r>
          </w:p>
        </w:tc>
        <w:tc>
          <w:tcPr>
            <w:tcW w:w="1561" w:type="dxa"/>
            <w:tcBorders>
              <w:top w:val="nil"/>
              <w:left w:val="nil"/>
              <w:bottom w:val="nil"/>
              <w:right w:val="nil"/>
            </w:tcBorders>
            <w:shd w:val="clear" w:color="auto" w:fill="auto"/>
            <w:noWrap/>
            <w:vAlign w:val="bottom"/>
            <w:hideMark/>
          </w:tcPr>
          <w:p w14:paraId="189B024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3,749 </w:t>
            </w:r>
          </w:p>
        </w:tc>
        <w:tc>
          <w:tcPr>
            <w:tcW w:w="272" w:type="dxa"/>
            <w:tcBorders>
              <w:top w:val="nil"/>
              <w:left w:val="nil"/>
              <w:bottom w:val="nil"/>
              <w:right w:val="nil"/>
            </w:tcBorders>
            <w:shd w:val="clear" w:color="auto" w:fill="auto"/>
            <w:noWrap/>
            <w:vAlign w:val="bottom"/>
            <w:hideMark/>
          </w:tcPr>
          <w:p w14:paraId="0DB2240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61DBAB0"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5,516 </w:t>
            </w:r>
          </w:p>
        </w:tc>
      </w:tr>
      <w:tr w:rsidR="00B95993" w:rsidRPr="00B95993" w14:paraId="2AE36021" w14:textId="77777777" w:rsidTr="000A566E">
        <w:trPr>
          <w:trHeight w:val="308"/>
        </w:trPr>
        <w:tc>
          <w:tcPr>
            <w:tcW w:w="7561" w:type="dxa"/>
            <w:tcBorders>
              <w:top w:val="nil"/>
              <w:left w:val="nil"/>
              <w:bottom w:val="nil"/>
              <w:right w:val="nil"/>
            </w:tcBorders>
            <w:shd w:val="clear" w:color="auto" w:fill="auto"/>
            <w:noWrap/>
            <w:vAlign w:val="bottom"/>
            <w:hideMark/>
          </w:tcPr>
          <w:p w14:paraId="4D7A1635"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Accrued compensation</w:t>
            </w:r>
          </w:p>
        </w:tc>
        <w:tc>
          <w:tcPr>
            <w:tcW w:w="1561" w:type="dxa"/>
            <w:tcBorders>
              <w:top w:val="nil"/>
              <w:left w:val="nil"/>
              <w:bottom w:val="nil"/>
              <w:right w:val="nil"/>
            </w:tcBorders>
            <w:shd w:val="clear" w:color="auto" w:fill="auto"/>
            <w:noWrap/>
            <w:vAlign w:val="bottom"/>
            <w:hideMark/>
          </w:tcPr>
          <w:p w14:paraId="5FB2BFE0"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7,874 </w:t>
            </w:r>
          </w:p>
        </w:tc>
        <w:tc>
          <w:tcPr>
            <w:tcW w:w="272" w:type="dxa"/>
            <w:tcBorders>
              <w:top w:val="nil"/>
              <w:left w:val="nil"/>
              <w:bottom w:val="nil"/>
              <w:right w:val="nil"/>
            </w:tcBorders>
            <w:shd w:val="clear" w:color="auto" w:fill="auto"/>
            <w:noWrap/>
            <w:vAlign w:val="bottom"/>
            <w:hideMark/>
          </w:tcPr>
          <w:p w14:paraId="6777DF4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CBE482A"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6,830 </w:t>
            </w:r>
          </w:p>
        </w:tc>
      </w:tr>
      <w:tr w:rsidR="00B95993" w:rsidRPr="00B95993" w14:paraId="1A7DEAC2" w14:textId="77777777" w:rsidTr="000A566E">
        <w:trPr>
          <w:trHeight w:val="308"/>
        </w:trPr>
        <w:tc>
          <w:tcPr>
            <w:tcW w:w="7561" w:type="dxa"/>
            <w:tcBorders>
              <w:top w:val="nil"/>
              <w:left w:val="nil"/>
              <w:bottom w:val="nil"/>
              <w:right w:val="nil"/>
            </w:tcBorders>
            <w:shd w:val="clear" w:color="auto" w:fill="auto"/>
            <w:noWrap/>
            <w:vAlign w:val="bottom"/>
            <w:hideMark/>
          </w:tcPr>
          <w:p w14:paraId="6FEBA8FA"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Short-term income taxes</w:t>
            </w:r>
          </w:p>
        </w:tc>
        <w:tc>
          <w:tcPr>
            <w:tcW w:w="1561" w:type="dxa"/>
            <w:tcBorders>
              <w:top w:val="nil"/>
              <w:left w:val="nil"/>
              <w:bottom w:val="nil"/>
              <w:right w:val="nil"/>
            </w:tcBorders>
            <w:shd w:val="clear" w:color="auto" w:fill="auto"/>
            <w:noWrap/>
            <w:vAlign w:val="bottom"/>
            <w:hideMark/>
          </w:tcPr>
          <w:p w14:paraId="3EBE7A9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2,130 </w:t>
            </w:r>
          </w:p>
        </w:tc>
        <w:tc>
          <w:tcPr>
            <w:tcW w:w="272" w:type="dxa"/>
            <w:tcBorders>
              <w:top w:val="nil"/>
              <w:left w:val="nil"/>
              <w:bottom w:val="nil"/>
              <w:right w:val="nil"/>
            </w:tcBorders>
            <w:shd w:val="clear" w:color="auto" w:fill="auto"/>
            <w:noWrap/>
            <w:vAlign w:val="bottom"/>
            <w:hideMark/>
          </w:tcPr>
          <w:p w14:paraId="2C72427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366D4F09"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5,665 </w:t>
            </w:r>
          </w:p>
        </w:tc>
      </w:tr>
      <w:tr w:rsidR="00B95993" w:rsidRPr="00B95993" w14:paraId="52F92B2A" w14:textId="77777777" w:rsidTr="000A566E">
        <w:trPr>
          <w:trHeight w:val="308"/>
        </w:trPr>
        <w:tc>
          <w:tcPr>
            <w:tcW w:w="7561" w:type="dxa"/>
            <w:tcBorders>
              <w:top w:val="nil"/>
              <w:left w:val="nil"/>
              <w:bottom w:val="nil"/>
              <w:right w:val="nil"/>
            </w:tcBorders>
            <w:shd w:val="clear" w:color="auto" w:fill="auto"/>
            <w:noWrap/>
            <w:vAlign w:val="bottom"/>
            <w:hideMark/>
          </w:tcPr>
          <w:p w14:paraId="6BA3C9D3"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Short-term unearned revenue</w:t>
            </w:r>
          </w:p>
        </w:tc>
        <w:tc>
          <w:tcPr>
            <w:tcW w:w="1561" w:type="dxa"/>
            <w:tcBorders>
              <w:top w:val="nil"/>
              <w:left w:val="nil"/>
              <w:bottom w:val="nil"/>
              <w:right w:val="nil"/>
            </w:tcBorders>
            <w:shd w:val="clear" w:color="auto" w:fill="auto"/>
            <w:noWrap/>
            <w:vAlign w:val="bottom"/>
            <w:hideMark/>
          </w:tcPr>
          <w:p w14:paraId="05828A1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36,000 </w:t>
            </w:r>
          </w:p>
        </w:tc>
        <w:tc>
          <w:tcPr>
            <w:tcW w:w="272" w:type="dxa"/>
            <w:tcBorders>
              <w:top w:val="nil"/>
              <w:left w:val="nil"/>
              <w:bottom w:val="nil"/>
              <w:right w:val="nil"/>
            </w:tcBorders>
            <w:shd w:val="clear" w:color="auto" w:fill="auto"/>
            <w:noWrap/>
            <w:vAlign w:val="bottom"/>
            <w:hideMark/>
          </w:tcPr>
          <w:p w14:paraId="7BF806C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529784D"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32,676 </w:t>
            </w:r>
          </w:p>
        </w:tc>
      </w:tr>
      <w:tr w:rsidR="00B95993" w:rsidRPr="00B95993" w14:paraId="4142B8AD" w14:textId="77777777" w:rsidTr="000A566E">
        <w:trPr>
          <w:trHeight w:val="308"/>
        </w:trPr>
        <w:tc>
          <w:tcPr>
            <w:tcW w:w="7561" w:type="dxa"/>
            <w:tcBorders>
              <w:top w:val="nil"/>
              <w:left w:val="nil"/>
              <w:bottom w:val="single" w:sz="4" w:space="0" w:color="auto"/>
              <w:right w:val="nil"/>
            </w:tcBorders>
            <w:shd w:val="clear" w:color="auto" w:fill="auto"/>
            <w:noWrap/>
            <w:vAlign w:val="bottom"/>
            <w:hideMark/>
          </w:tcPr>
          <w:p w14:paraId="3BF9DA93"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Other current liabilities</w:t>
            </w:r>
          </w:p>
        </w:tc>
        <w:tc>
          <w:tcPr>
            <w:tcW w:w="1561" w:type="dxa"/>
            <w:tcBorders>
              <w:top w:val="nil"/>
              <w:left w:val="nil"/>
              <w:bottom w:val="single" w:sz="4" w:space="0" w:color="auto"/>
              <w:right w:val="nil"/>
            </w:tcBorders>
            <w:shd w:val="clear" w:color="auto" w:fill="auto"/>
            <w:noWrap/>
            <w:vAlign w:val="bottom"/>
            <w:hideMark/>
          </w:tcPr>
          <w:p w14:paraId="7B431DF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10,027 </w:t>
            </w:r>
          </w:p>
        </w:tc>
        <w:tc>
          <w:tcPr>
            <w:tcW w:w="272" w:type="dxa"/>
            <w:tcBorders>
              <w:top w:val="nil"/>
              <w:left w:val="nil"/>
              <w:bottom w:val="nil"/>
              <w:right w:val="nil"/>
            </w:tcBorders>
            <w:shd w:val="clear" w:color="auto" w:fill="auto"/>
            <w:noWrap/>
            <w:vAlign w:val="bottom"/>
            <w:hideMark/>
          </w:tcPr>
          <w:p w14:paraId="58E110B3"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4D4A94FE"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9,351 </w:t>
            </w:r>
          </w:p>
        </w:tc>
      </w:tr>
      <w:tr w:rsidR="00B95993" w:rsidRPr="00B95993" w14:paraId="54FD62AA" w14:textId="77777777" w:rsidTr="000A566E">
        <w:trPr>
          <w:trHeight w:val="308"/>
        </w:trPr>
        <w:tc>
          <w:tcPr>
            <w:tcW w:w="7561" w:type="dxa"/>
            <w:tcBorders>
              <w:top w:val="nil"/>
              <w:left w:val="nil"/>
              <w:bottom w:val="nil"/>
              <w:right w:val="nil"/>
            </w:tcBorders>
            <w:shd w:val="clear" w:color="auto" w:fill="auto"/>
            <w:noWrap/>
            <w:vAlign w:val="bottom"/>
            <w:hideMark/>
          </w:tcPr>
          <w:p w14:paraId="37B3ADF9"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current liabilities</w:t>
            </w:r>
          </w:p>
        </w:tc>
        <w:tc>
          <w:tcPr>
            <w:tcW w:w="1561" w:type="dxa"/>
            <w:tcBorders>
              <w:top w:val="nil"/>
              <w:left w:val="nil"/>
              <w:bottom w:val="nil"/>
              <w:right w:val="nil"/>
            </w:tcBorders>
            <w:shd w:val="clear" w:color="auto" w:fill="auto"/>
            <w:noWrap/>
            <w:vAlign w:val="bottom"/>
            <w:hideMark/>
          </w:tcPr>
          <w:p w14:paraId="0325FD3B"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72,310 </w:t>
            </w:r>
          </w:p>
        </w:tc>
        <w:tc>
          <w:tcPr>
            <w:tcW w:w="272" w:type="dxa"/>
            <w:tcBorders>
              <w:top w:val="nil"/>
              <w:left w:val="nil"/>
              <w:bottom w:val="nil"/>
              <w:right w:val="nil"/>
            </w:tcBorders>
            <w:shd w:val="clear" w:color="auto" w:fill="auto"/>
            <w:noWrap/>
            <w:vAlign w:val="bottom"/>
            <w:hideMark/>
          </w:tcPr>
          <w:p w14:paraId="637076C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6C88BE67"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69,420 </w:t>
            </w:r>
          </w:p>
        </w:tc>
      </w:tr>
      <w:tr w:rsidR="00B95993" w:rsidRPr="00B95993" w14:paraId="7FA62C9C" w14:textId="77777777" w:rsidTr="000A566E">
        <w:trPr>
          <w:trHeight w:val="308"/>
        </w:trPr>
        <w:tc>
          <w:tcPr>
            <w:tcW w:w="7561" w:type="dxa"/>
            <w:tcBorders>
              <w:top w:val="nil"/>
              <w:left w:val="nil"/>
              <w:bottom w:val="nil"/>
              <w:right w:val="nil"/>
            </w:tcBorders>
            <w:shd w:val="clear" w:color="auto" w:fill="auto"/>
            <w:noWrap/>
            <w:vAlign w:val="bottom"/>
            <w:hideMark/>
          </w:tcPr>
          <w:p w14:paraId="17BEE74E"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Long-term debt</w:t>
            </w:r>
          </w:p>
        </w:tc>
        <w:tc>
          <w:tcPr>
            <w:tcW w:w="1561" w:type="dxa"/>
            <w:tcBorders>
              <w:top w:val="nil"/>
              <w:left w:val="nil"/>
              <w:bottom w:val="nil"/>
              <w:right w:val="nil"/>
            </w:tcBorders>
            <w:shd w:val="clear" w:color="auto" w:fill="auto"/>
            <w:noWrap/>
            <w:vAlign w:val="bottom"/>
            <w:hideMark/>
          </w:tcPr>
          <w:p w14:paraId="11BC631F"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59,578 </w:t>
            </w:r>
          </w:p>
        </w:tc>
        <w:tc>
          <w:tcPr>
            <w:tcW w:w="272" w:type="dxa"/>
            <w:tcBorders>
              <w:top w:val="nil"/>
              <w:left w:val="nil"/>
              <w:bottom w:val="nil"/>
              <w:right w:val="nil"/>
            </w:tcBorders>
            <w:shd w:val="clear" w:color="auto" w:fill="auto"/>
            <w:noWrap/>
            <w:vAlign w:val="bottom"/>
            <w:hideMark/>
          </w:tcPr>
          <w:p w14:paraId="0333503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6298168E"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66,662 </w:t>
            </w:r>
          </w:p>
        </w:tc>
      </w:tr>
      <w:tr w:rsidR="00B95993" w:rsidRPr="00B95993" w14:paraId="4ECDAEEF" w14:textId="77777777" w:rsidTr="000A566E">
        <w:trPr>
          <w:trHeight w:val="308"/>
        </w:trPr>
        <w:tc>
          <w:tcPr>
            <w:tcW w:w="7561" w:type="dxa"/>
            <w:tcBorders>
              <w:top w:val="nil"/>
              <w:left w:val="nil"/>
              <w:bottom w:val="nil"/>
              <w:right w:val="nil"/>
            </w:tcBorders>
            <w:shd w:val="clear" w:color="auto" w:fill="auto"/>
            <w:noWrap/>
            <w:vAlign w:val="bottom"/>
            <w:hideMark/>
          </w:tcPr>
          <w:p w14:paraId="250A6A83"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Long-term income taxes</w:t>
            </w:r>
          </w:p>
        </w:tc>
        <w:tc>
          <w:tcPr>
            <w:tcW w:w="1561" w:type="dxa"/>
            <w:tcBorders>
              <w:top w:val="nil"/>
              <w:left w:val="nil"/>
              <w:bottom w:val="nil"/>
              <w:right w:val="nil"/>
            </w:tcBorders>
            <w:shd w:val="clear" w:color="auto" w:fill="auto"/>
            <w:noWrap/>
            <w:vAlign w:val="bottom"/>
            <w:hideMark/>
          </w:tcPr>
          <w:p w14:paraId="1BA4F796"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29,432 </w:t>
            </w:r>
          </w:p>
        </w:tc>
        <w:tc>
          <w:tcPr>
            <w:tcW w:w="272" w:type="dxa"/>
            <w:tcBorders>
              <w:top w:val="nil"/>
              <w:left w:val="nil"/>
              <w:bottom w:val="nil"/>
              <w:right w:val="nil"/>
            </w:tcBorders>
            <w:shd w:val="clear" w:color="auto" w:fill="auto"/>
            <w:noWrap/>
            <w:vAlign w:val="bottom"/>
            <w:hideMark/>
          </w:tcPr>
          <w:p w14:paraId="22BB00B9"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7B177AC4"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29,612 </w:t>
            </w:r>
          </w:p>
        </w:tc>
      </w:tr>
      <w:tr w:rsidR="00B95993" w:rsidRPr="00B95993" w14:paraId="14D4A11D" w14:textId="77777777" w:rsidTr="000A566E">
        <w:trPr>
          <w:trHeight w:val="308"/>
        </w:trPr>
        <w:tc>
          <w:tcPr>
            <w:tcW w:w="7561" w:type="dxa"/>
            <w:tcBorders>
              <w:top w:val="nil"/>
              <w:left w:val="nil"/>
              <w:bottom w:val="nil"/>
              <w:right w:val="nil"/>
            </w:tcBorders>
            <w:shd w:val="clear" w:color="auto" w:fill="auto"/>
            <w:noWrap/>
            <w:vAlign w:val="bottom"/>
            <w:hideMark/>
          </w:tcPr>
          <w:p w14:paraId="43BCD8DF"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Long-term unearned revenue</w:t>
            </w:r>
          </w:p>
        </w:tc>
        <w:tc>
          <w:tcPr>
            <w:tcW w:w="1561" w:type="dxa"/>
            <w:tcBorders>
              <w:top w:val="nil"/>
              <w:left w:val="nil"/>
              <w:bottom w:val="nil"/>
              <w:right w:val="nil"/>
            </w:tcBorders>
            <w:shd w:val="clear" w:color="auto" w:fill="auto"/>
            <w:noWrap/>
            <w:vAlign w:val="bottom"/>
            <w:hideMark/>
          </w:tcPr>
          <w:p w14:paraId="3ED8B8E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3,180 </w:t>
            </w:r>
          </w:p>
        </w:tc>
        <w:tc>
          <w:tcPr>
            <w:tcW w:w="272" w:type="dxa"/>
            <w:tcBorders>
              <w:top w:val="nil"/>
              <w:left w:val="nil"/>
              <w:bottom w:val="nil"/>
              <w:right w:val="nil"/>
            </w:tcBorders>
            <w:shd w:val="clear" w:color="auto" w:fill="auto"/>
            <w:noWrap/>
            <w:vAlign w:val="bottom"/>
            <w:hideMark/>
          </w:tcPr>
          <w:p w14:paraId="1B396FB9"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57FD9D6"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4,530 </w:t>
            </w:r>
          </w:p>
        </w:tc>
      </w:tr>
      <w:tr w:rsidR="00B95993" w:rsidRPr="00B95993" w14:paraId="563FE63D" w14:textId="77777777" w:rsidTr="000A566E">
        <w:trPr>
          <w:trHeight w:val="308"/>
        </w:trPr>
        <w:tc>
          <w:tcPr>
            <w:tcW w:w="7561" w:type="dxa"/>
            <w:tcBorders>
              <w:top w:val="nil"/>
              <w:left w:val="nil"/>
              <w:bottom w:val="nil"/>
              <w:right w:val="nil"/>
            </w:tcBorders>
            <w:shd w:val="clear" w:color="auto" w:fill="auto"/>
            <w:noWrap/>
            <w:vAlign w:val="bottom"/>
            <w:hideMark/>
          </w:tcPr>
          <w:p w14:paraId="3C359C1E"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Deferred income taxes</w:t>
            </w:r>
          </w:p>
        </w:tc>
        <w:tc>
          <w:tcPr>
            <w:tcW w:w="1561" w:type="dxa"/>
            <w:tcBorders>
              <w:top w:val="nil"/>
              <w:left w:val="nil"/>
              <w:bottom w:val="nil"/>
              <w:right w:val="nil"/>
            </w:tcBorders>
            <w:shd w:val="clear" w:color="auto" w:fill="auto"/>
            <w:noWrap/>
            <w:vAlign w:val="bottom"/>
            <w:hideMark/>
          </w:tcPr>
          <w:p w14:paraId="6FB308C8"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204 </w:t>
            </w:r>
          </w:p>
        </w:tc>
        <w:tc>
          <w:tcPr>
            <w:tcW w:w="272" w:type="dxa"/>
            <w:tcBorders>
              <w:top w:val="nil"/>
              <w:left w:val="nil"/>
              <w:bottom w:val="nil"/>
              <w:right w:val="nil"/>
            </w:tcBorders>
            <w:shd w:val="clear" w:color="auto" w:fill="auto"/>
            <w:noWrap/>
            <w:vAlign w:val="bottom"/>
            <w:hideMark/>
          </w:tcPr>
          <w:p w14:paraId="4264D159"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30C0245E"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233 </w:t>
            </w:r>
          </w:p>
        </w:tc>
      </w:tr>
      <w:tr w:rsidR="00B95993" w:rsidRPr="00B95993" w14:paraId="65EDB05E" w14:textId="77777777" w:rsidTr="000A566E">
        <w:trPr>
          <w:trHeight w:val="308"/>
        </w:trPr>
        <w:tc>
          <w:tcPr>
            <w:tcW w:w="7561" w:type="dxa"/>
            <w:tcBorders>
              <w:top w:val="nil"/>
              <w:left w:val="nil"/>
              <w:bottom w:val="nil"/>
              <w:right w:val="nil"/>
            </w:tcBorders>
            <w:shd w:val="clear" w:color="auto" w:fill="auto"/>
            <w:noWrap/>
            <w:vAlign w:val="bottom"/>
            <w:hideMark/>
          </w:tcPr>
          <w:p w14:paraId="6C70A5EC"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Operating lease liabilities</w:t>
            </w:r>
          </w:p>
        </w:tc>
        <w:tc>
          <w:tcPr>
            <w:tcW w:w="1561" w:type="dxa"/>
            <w:tcBorders>
              <w:top w:val="nil"/>
              <w:left w:val="nil"/>
              <w:bottom w:val="nil"/>
              <w:right w:val="nil"/>
            </w:tcBorders>
            <w:shd w:val="clear" w:color="auto" w:fill="auto"/>
            <w:noWrap/>
            <w:vAlign w:val="bottom"/>
            <w:hideMark/>
          </w:tcPr>
          <w:p w14:paraId="389A40E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7,671 </w:t>
            </w:r>
          </w:p>
        </w:tc>
        <w:tc>
          <w:tcPr>
            <w:tcW w:w="272" w:type="dxa"/>
            <w:tcBorders>
              <w:top w:val="nil"/>
              <w:left w:val="nil"/>
              <w:bottom w:val="nil"/>
              <w:right w:val="nil"/>
            </w:tcBorders>
            <w:shd w:val="clear" w:color="auto" w:fill="auto"/>
            <w:noWrap/>
            <w:vAlign w:val="bottom"/>
            <w:hideMark/>
          </w:tcPr>
          <w:p w14:paraId="10B9970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3AE45DC2"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6,188 </w:t>
            </w:r>
          </w:p>
        </w:tc>
      </w:tr>
      <w:tr w:rsidR="00B95993" w:rsidRPr="00B95993" w14:paraId="6F450D3D" w14:textId="77777777" w:rsidTr="000A566E">
        <w:trPr>
          <w:trHeight w:val="353"/>
        </w:trPr>
        <w:tc>
          <w:tcPr>
            <w:tcW w:w="7561" w:type="dxa"/>
            <w:tcBorders>
              <w:top w:val="nil"/>
              <w:left w:val="nil"/>
              <w:bottom w:val="single" w:sz="4" w:space="0" w:color="auto"/>
              <w:right w:val="nil"/>
            </w:tcBorders>
            <w:shd w:val="clear" w:color="auto" w:fill="auto"/>
            <w:noWrap/>
            <w:vAlign w:val="bottom"/>
            <w:hideMark/>
          </w:tcPr>
          <w:p w14:paraId="6A93FEA1"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Other long-term liabilities</w:t>
            </w:r>
          </w:p>
        </w:tc>
        <w:tc>
          <w:tcPr>
            <w:tcW w:w="1561" w:type="dxa"/>
            <w:tcBorders>
              <w:top w:val="nil"/>
              <w:left w:val="nil"/>
              <w:bottom w:val="single" w:sz="4" w:space="0" w:color="auto"/>
              <w:right w:val="nil"/>
            </w:tcBorders>
            <w:shd w:val="clear" w:color="auto" w:fill="auto"/>
            <w:noWrap/>
            <w:vAlign w:val="bottom"/>
            <w:hideMark/>
          </w:tcPr>
          <w:p w14:paraId="4A9C69B0"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10,632 </w:t>
            </w:r>
          </w:p>
        </w:tc>
        <w:tc>
          <w:tcPr>
            <w:tcW w:w="272" w:type="dxa"/>
            <w:tcBorders>
              <w:top w:val="nil"/>
              <w:left w:val="nil"/>
              <w:bottom w:val="nil"/>
              <w:right w:val="nil"/>
            </w:tcBorders>
            <w:shd w:val="clear" w:color="auto" w:fill="auto"/>
            <w:noWrap/>
            <w:vAlign w:val="bottom"/>
            <w:hideMark/>
          </w:tcPr>
          <w:p w14:paraId="6D8F60CC"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30816679"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7,581 </w:t>
            </w:r>
          </w:p>
        </w:tc>
      </w:tr>
      <w:tr w:rsidR="00B95993" w:rsidRPr="00B95993" w14:paraId="0A7FDC90" w14:textId="77777777" w:rsidTr="000A566E">
        <w:trPr>
          <w:trHeight w:val="308"/>
        </w:trPr>
        <w:tc>
          <w:tcPr>
            <w:tcW w:w="7561" w:type="dxa"/>
            <w:tcBorders>
              <w:top w:val="nil"/>
              <w:left w:val="nil"/>
              <w:bottom w:val="single" w:sz="4" w:space="0" w:color="auto"/>
              <w:right w:val="nil"/>
            </w:tcBorders>
            <w:shd w:val="clear" w:color="auto" w:fill="auto"/>
            <w:noWrap/>
            <w:vAlign w:val="bottom"/>
            <w:hideMark/>
          </w:tcPr>
          <w:p w14:paraId="4719E2D5"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liabilities</w:t>
            </w:r>
          </w:p>
        </w:tc>
        <w:tc>
          <w:tcPr>
            <w:tcW w:w="1561" w:type="dxa"/>
            <w:tcBorders>
              <w:top w:val="nil"/>
              <w:left w:val="nil"/>
              <w:bottom w:val="single" w:sz="4" w:space="0" w:color="auto"/>
              <w:right w:val="nil"/>
            </w:tcBorders>
            <w:shd w:val="clear" w:color="auto" w:fill="auto"/>
            <w:noWrap/>
            <w:vAlign w:val="bottom"/>
            <w:hideMark/>
          </w:tcPr>
          <w:p w14:paraId="471FE10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183,007 </w:t>
            </w:r>
          </w:p>
        </w:tc>
        <w:tc>
          <w:tcPr>
            <w:tcW w:w="272" w:type="dxa"/>
            <w:tcBorders>
              <w:top w:val="nil"/>
              <w:left w:val="nil"/>
              <w:bottom w:val="nil"/>
              <w:right w:val="nil"/>
            </w:tcBorders>
            <w:shd w:val="clear" w:color="auto" w:fill="auto"/>
            <w:noWrap/>
            <w:vAlign w:val="bottom"/>
            <w:hideMark/>
          </w:tcPr>
          <w:p w14:paraId="2D0835EA"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4" w:space="0" w:color="auto"/>
              <w:right w:val="nil"/>
            </w:tcBorders>
            <w:shd w:val="clear" w:color="auto" w:fill="auto"/>
            <w:noWrap/>
            <w:vAlign w:val="bottom"/>
            <w:hideMark/>
          </w:tcPr>
          <w:p w14:paraId="2F091538"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184,226 </w:t>
            </w:r>
          </w:p>
        </w:tc>
      </w:tr>
      <w:tr w:rsidR="00B95993" w:rsidRPr="00B95993" w14:paraId="389AF1CB" w14:textId="77777777" w:rsidTr="000A566E">
        <w:trPr>
          <w:trHeight w:val="308"/>
        </w:trPr>
        <w:tc>
          <w:tcPr>
            <w:tcW w:w="7561" w:type="dxa"/>
            <w:tcBorders>
              <w:top w:val="nil"/>
              <w:left w:val="nil"/>
              <w:bottom w:val="nil"/>
              <w:right w:val="nil"/>
            </w:tcBorders>
            <w:shd w:val="clear" w:color="auto" w:fill="auto"/>
            <w:noWrap/>
            <w:vAlign w:val="bottom"/>
            <w:hideMark/>
          </w:tcPr>
          <w:p w14:paraId="663D4445"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Commitments and contingencies</w:t>
            </w:r>
          </w:p>
        </w:tc>
        <w:tc>
          <w:tcPr>
            <w:tcW w:w="1561" w:type="dxa"/>
            <w:tcBorders>
              <w:top w:val="nil"/>
              <w:left w:val="nil"/>
              <w:bottom w:val="nil"/>
              <w:right w:val="nil"/>
            </w:tcBorders>
            <w:shd w:val="clear" w:color="auto" w:fill="auto"/>
            <w:noWrap/>
            <w:vAlign w:val="bottom"/>
            <w:hideMark/>
          </w:tcPr>
          <w:p w14:paraId="5771019A" w14:textId="77777777" w:rsidR="00B95993" w:rsidRPr="00B95993" w:rsidRDefault="00B95993" w:rsidP="00B9599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557586C"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22E7FB28"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4CD246E6" w14:textId="77777777" w:rsidTr="000A566E">
        <w:trPr>
          <w:trHeight w:val="308"/>
        </w:trPr>
        <w:tc>
          <w:tcPr>
            <w:tcW w:w="7561" w:type="dxa"/>
            <w:tcBorders>
              <w:top w:val="nil"/>
              <w:left w:val="nil"/>
              <w:bottom w:val="nil"/>
              <w:right w:val="nil"/>
            </w:tcBorders>
            <w:shd w:val="clear" w:color="auto" w:fill="auto"/>
            <w:noWrap/>
            <w:vAlign w:val="bottom"/>
            <w:hideMark/>
          </w:tcPr>
          <w:p w14:paraId="2B3ABE6E"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Stockholders' equity:</w:t>
            </w:r>
          </w:p>
        </w:tc>
        <w:tc>
          <w:tcPr>
            <w:tcW w:w="1561" w:type="dxa"/>
            <w:tcBorders>
              <w:top w:val="nil"/>
              <w:left w:val="nil"/>
              <w:bottom w:val="nil"/>
              <w:right w:val="nil"/>
            </w:tcBorders>
            <w:shd w:val="clear" w:color="auto" w:fill="auto"/>
            <w:noWrap/>
            <w:vAlign w:val="bottom"/>
            <w:hideMark/>
          </w:tcPr>
          <w:p w14:paraId="07A858F5" w14:textId="77777777" w:rsidR="00B95993" w:rsidRPr="00B95993" w:rsidRDefault="00B95993" w:rsidP="00B9599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0695E0F" w14:textId="77777777" w:rsidR="00B95993" w:rsidRPr="00B95993" w:rsidRDefault="00B95993" w:rsidP="00B95993">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shd w:val="clear" w:color="auto" w:fill="auto"/>
            <w:noWrap/>
            <w:vAlign w:val="bottom"/>
            <w:hideMark/>
          </w:tcPr>
          <w:p w14:paraId="454A41FC" w14:textId="77777777" w:rsidR="00B95993" w:rsidRPr="00B95993" w:rsidRDefault="00B95993" w:rsidP="00B95993">
            <w:pPr>
              <w:spacing w:after="0" w:line="240" w:lineRule="auto"/>
              <w:rPr>
                <w:rFonts w:ascii="Times New Roman" w:eastAsia="Times New Roman" w:hAnsi="Times New Roman"/>
                <w:sz w:val="20"/>
                <w:szCs w:val="20"/>
              </w:rPr>
            </w:pPr>
          </w:p>
        </w:tc>
      </w:tr>
      <w:tr w:rsidR="00B95993" w:rsidRPr="00B95993" w14:paraId="6BDC5C2E" w14:textId="77777777" w:rsidTr="000A566E">
        <w:trPr>
          <w:trHeight w:val="645"/>
        </w:trPr>
        <w:tc>
          <w:tcPr>
            <w:tcW w:w="7561" w:type="dxa"/>
            <w:tcBorders>
              <w:top w:val="nil"/>
              <w:left w:val="nil"/>
              <w:bottom w:val="nil"/>
              <w:right w:val="nil"/>
            </w:tcBorders>
            <w:shd w:val="clear" w:color="auto" w:fill="auto"/>
            <w:vAlign w:val="bottom"/>
            <w:hideMark/>
          </w:tcPr>
          <w:p w14:paraId="39F6C40A"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Common stock and paid-in capital - shares</w:t>
            </w:r>
            <w:r w:rsidRPr="00B95993">
              <w:rPr>
                <w:rFonts w:ascii="Segoe UI" w:eastAsia="Times New Roman" w:hAnsi="Segoe UI" w:cs="Segoe UI"/>
                <w:color w:val="666666"/>
                <w:sz w:val="20"/>
                <w:szCs w:val="20"/>
              </w:rPr>
              <w:br/>
              <w:t xml:space="preserve">      authorized 24,000; outstanding </w:t>
            </w:r>
            <w:r w:rsidRPr="00B95993">
              <w:rPr>
                <w:rFonts w:ascii="Segoe UI" w:eastAsia="Times New Roman" w:hAnsi="Segoe UI" w:cs="Segoe UI"/>
                <w:b/>
                <w:bCs/>
                <w:color w:val="666666"/>
                <w:sz w:val="20"/>
                <w:szCs w:val="20"/>
              </w:rPr>
              <w:t>7,571</w:t>
            </w:r>
            <w:r w:rsidRPr="00B95993">
              <w:rPr>
                <w:rFonts w:ascii="Segoe UI" w:eastAsia="Times New Roman" w:hAnsi="Segoe UI" w:cs="Segoe UI"/>
                <w:color w:val="666666"/>
                <w:sz w:val="20"/>
                <w:szCs w:val="20"/>
              </w:rPr>
              <w:t xml:space="preserve"> and 7,643</w:t>
            </w:r>
          </w:p>
        </w:tc>
        <w:tc>
          <w:tcPr>
            <w:tcW w:w="1561" w:type="dxa"/>
            <w:tcBorders>
              <w:top w:val="nil"/>
              <w:left w:val="nil"/>
              <w:bottom w:val="nil"/>
              <w:right w:val="nil"/>
            </w:tcBorders>
            <w:shd w:val="clear" w:color="auto" w:fill="auto"/>
            <w:noWrap/>
            <w:vAlign w:val="bottom"/>
            <w:hideMark/>
          </w:tcPr>
          <w:p w14:paraId="4ACB8F58"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80,552 </w:t>
            </w:r>
          </w:p>
        </w:tc>
        <w:tc>
          <w:tcPr>
            <w:tcW w:w="272" w:type="dxa"/>
            <w:tcBorders>
              <w:top w:val="nil"/>
              <w:left w:val="nil"/>
              <w:bottom w:val="nil"/>
              <w:right w:val="nil"/>
            </w:tcBorders>
            <w:shd w:val="clear" w:color="auto" w:fill="auto"/>
            <w:noWrap/>
            <w:vAlign w:val="bottom"/>
            <w:hideMark/>
          </w:tcPr>
          <w:p w14:paraId="7E470964"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06404D26"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78,520 </w:t>
            </w:r>
          </w:p>
        </w:tc>
      </w:tr>
      <w:tr w:rsidR="00B95993" w:rsidRPr="00B95993" w14:paraId="743BD693" w14:textId="77777777" w:rsidTr="000A566E">
        <w:trPr>
          <w:trHeight w:val="308"/>
        </w:trPr>
        <w:tc>
          <w:tcPr>
            <w:tcW w:w="7561" w:type="dxa"/>
            <w:tcBorders>
              <w:top w:val="nil"/>
              <w:left w:val="nil"/>
              <w:bottom w:val="nil"/>
              <w:right w:val="nil"/>
            </w:tcBorders>
            <w:shd w:val="clear" w:color="auto" w:fill="auto"/>
            <w:vAlign w:val="bottom"/>
            <w:hideMark/>
          </w:tcPr>
          <w:p w14:paraId="7FC94572"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Retained earnings</w:t>
            </w:r>
          </w:p>
        </w:tc>
        <w:tc>
          <w:tcPr>
            <w:tcW w:w="1561" w:type="dxa"/>
            <w:tcBorders>
              <w:top w:val="nil"/>
              <w:left w:val="nil"/>
              <w:bottom w:val="nil"/>
              <w:right w:val="nil"/>
            </w:tcBorders>
            <w:shd w:val="clear" w:color="auto" w:fill="auto"/>
            <w:noWrap/>
            <w:vAlign w:val="bottom"/>
            <w:hideMark/>
          </w:tcPr>
          <w:p w14:paraId="677A269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34,566 </w:t>
            </w:r>
          </w:p>
        </w:tc>
        <w:tc>
          <w:tcPr>
            <w:tcW w:w="272" w:type="dxa"/>
            <w:tcBorders>
              <w:top w:val="nil"/>
              <w:left w:val="nil"/>
              <w:bottom w:val="nil"/>
              <w:right w:val="nil"/>
            </w:tcBorders>
            <w:shd w:val="clear" w:color="auto" w:fill="auto"/>
            <w:noWrap/>
            <w:vAlign w:val="bottom"/>
            <w:hideMark/>
          </w:tcPr>
          <w:p w14:paraId="54284D2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292464CD"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24,150 </w:t>
            </w:r>
          </w:p>
        </w:tc>
      </w:tr>
      <w:tr w:rsidR="00B95993" w:rsidRPr="00B95993" w14:paraId="6C700AB6" w14:textId="77777777" w:rsidTr="000A566E">
        <w:trPr>
          <w:trHeight w:val="308"/>
        </w:trPr>
        <w:tc>
          <w:tcPr>
            <w:tcW w:w="7561" w:type="dxa"/>
            <w:tcBorders>
              <w:top w:val="nil"/>
              <w:left w:val="nil"/>
              <w:bottom w:val="single" w:sz="4" w:space="0" w:color="auto"/>
              <w:right w:val="nil"/>
            </w:tcBorders>
            <w:shd w:val="clear" w:color="auto" w:fill="auto"/>
            <w:noWrap/>
            <w:vAlign w:val="bottom"/>
            <w:hideMark/>
          </w:tcPr>
          <w:p w14:paraId="36A3B7E5"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Accumulated other comprehensive income (loss)</w:t>
            </w:r>
          </w:p>
        </w:tc>
        <w:tc>
          <w:tcPr>
            <w:tcW w:w="1561" w:type="dxa"/>
            <w:tcBorders>
              <w:top w:val="nil"/>
              <w:left w:val="nil"/>
              <w:bottom w:val="single" w:sz="4" w:space="0" w:color="auto"/>
              <w:right w:val="nil"/>
            </w:tcBorders>
            <w:shd w:val="clear" w:color="auto" w:fill="auto"/>
            <w:noWrap/>
            <w:vAlign w:val="bottom"/>
            <w:hideMark/>
          </w:tcPr>
          <w:p w14:paraId="41D294A6"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3,186 </w:t>
            </w:r>
          </w:p>
        </w:tc>
        <w:tc>
          <w:tcPr>
            <w:tcW w:w="272" w:type="dxa"/>
            <w:tcBorders>
              <w:top w:val="nil"/>
              <w:left w:val="nil"/>
              <w:bottom w:val="nil"/>
              <w:right w:val="nil"/>
            </w:tcBorders>
            <w:shd w:val="clear" w:color="auto" w:fill="auto"/>
            <w:noWrap/>
            <w:vAlign w:val="bottom"/>
            <w:hideMark/>
          </w:tcPr>
          <w:p w14:paraId="469D7095"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nil"/>
              <w:right w:val="nil"/>
            </w:tcBorders>
            <w:shd w:val="clear" w:color="auto" w:fill="auto"/>
            <w:noWrap/>
            <w:vAlign w:val="bottom"/>
            <w:hideMark/>
          </w:tcPr>
          <w:p w14:paraId="20F4DA86"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(340)</w:t>
            </w:r>
          </w:p>
        </w:tc>
      </w:tr>
      <w:tr w:rsidR="00B95993" w:rsidRPr="00B95993" w14:paraId="2F7FFE90" w14:textId="77777777" w:rsidTr="000A566E">
        <w:trPr>
          <w:trHeight w:val="302"/>
        </w:trPr>
        <w:tc>
          <w:tcPr>
            <w:tcW w:w="7561" w:type="dxa"/>
            <w:tcBorders>
              <w:top w:val="nil"/>
              <w:left w:val="nil"/>
              <w:bottom w:val="single" w:sz="4" w:space="0" w:color="auto"/>
              <w:right w:val="nil"/>
            </w:tcBorders>
            <w:shd w:val="clear" w:color="auto" w:fill="auto"/>
            <w:noWrap/>
            <w:vAlign w:val="bottom"/>
            <w:hideMark/>
          </w:tcPr>
          <w:p w14:paraId="2157E5A0"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stockholders' equity</w:t>
            </w:r>
          </w:p>
        </w:tc>
        <w:tc>
          <w:tcPr>
            <w:tcW w:w="1561" w:type="dxa"/>
            <w:tcBorders>
              <w:top w:val="nil"/>
              <w:left w:val="nil"/>
              <w:bottom w:val="single" w:sz="4" w:space="0" w:color="auto"/>
              <w:right w:val="nil"/>
            </w:tcBorders>
            <w:shd w:val="clear" w:color="auto" w:fill="auto"/>
            <w:noWrap/>
            <w:vAlign w:val="bottom"/>
            <w:hideMark/>
          </w:tcPr>
          <w:p w14:paraId="4410E831"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118,304 </w:t>
            </w:r>
          </w:p>
        </w:tc>
        <w:tc>
          <w:tcPr>
            <w:tcW w:w="272" w:type="dxa"/>
            <w:tcBorders>
              <w:top w:val="nil"/>
              <w:left w:val="nil"/>
              <w:bottom w:val="nil"/>
              <w:right w:val="nil"/>
            </w:tcBorders>
            <w:shd w:val="clear" w:color="auto" w:fill="auto"/>
            <w:noWrap/>
            <w:vAlign w:val="bottom"/>
            <w:hideMark/>
          </w:tcPr>
          <w:p w14:paraId="57A87B10"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single" w:sz="4" w:space="0" w:color="auto"/>
              <w:left w:val="nil"/>
              <w:bottom w:val="single" w:sz="4" w:space="0" w:color="auto"/>
              <w:right w:val="nil"/>
            </w:tcBorders>
            <w:shd w:val="clear" w:color="auto" w:fill="auto"/>
            <w:noWrap/>
            <w:vAlign w:val="bottom"/>
            <w:hideMark/>
          </w:tcPr>
          <w:p w14:paraId="7585F7CA"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102,330 </w:t>
            </w:r>
          </w:p>
        </w:tc>
      </w:tr>
      <w:tr w:rsidR="00B95993" w:rsidRPr="00B95993" w14:paraId="30759966" w14:textId="77777777" w:rsidTr="000A566E">
        <w:trPr>
          <w:trHeight w:val="338"/>
        </w:trPr>
        <w:tc>
          <w:tcPr>
            <w:tcW w:w="7561" w:type="dxa"/>
            <w:tcBorders>
              <w:top w:val="nil"/>
              <w:left w:val="nil"/>
              <w:bottom w:val="nil"/>
              <w:right w:val="nil"/>
            </w:tcBorders>
            <w:shd w:val="clear" w:color="auto" w:fill="auto"/>
            <w:noWrap/>
            <w:vAlign w:val="bottom"/>
            <w:hideMark/>
          </w:tcPr>
          <w:p w14:paraId="5C55AFA8" w14:textId="77777777" w:rsidR="00B95993" w:rsidRPr="00B95993" w:rsidRDefault="00B95993" w:rsidP="00B95993">
            <w:pPr>
              <w:spacing w:after="0" w:line="240" w:lineRule="auto"/>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Total liabilities and stockholders' equity</w:t>
            </w:r>
          </w:p>
        </w:tc>
        <w:tc>
          <w:tcPr>
            <w:tcW w:w="1561" w:type="dxa"/>
            <w:tcBorders>
              <w:top w:val="nil"/>
              <w:left w:val="nil"/>
              <w:bottom w:val="single" w:sz="8" w:space="0" w:color="auto"/>
              <w:right w:val="nil"/>
            </w:tcBorders>
            <w:shd w:val="clear" w:color="auto" w:fill="auto"/>
            <w:noWrap/>
            <w:vAlign w:val="bottom"/>
            <w:hideMark/>
          </w:tcPr>
          <w:p w14:paraId="5E409599"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r w:rsidRPr="00B95993">
              <w:rPr>
                <w:rFonts w:ascii="Segoe UI" w:eastAsia="Times New Roman" w:hAnsi="Segoe UI" w:cs="Segoe UI"/>
                <w:b/>
                <w:bCs/>
                <w:color w:val="666666"/>
                <w:sz w:val="20"/>
                <w:szCs w:val="20"/>
              </w:rPr>
              <w:t xml:space="preserve"> $301,311 </w:t>
            </w:r>
          </w:p>
        </w:tc>
        <w:tc>
          <w:tcPr>
            <w:tcW w:w="272" w:type="dxa"/>
            <w:tcBorders>
              <w:top w:val="nil"/>
              <w:left w:val="nil"/>
              <w:bottom w:val="nil"/>
              <w:right w:val="nil"/>
            </w:tcBorders>
            <w:shd w:val="clear" w:color="auto" w:fill="auto"/>
            <w:noWrap/>
            <w:vAlign w:val="bottom"/>
            <w:hideMark/>
          </w:tcPr>
          <w:p w14:paraId="6EB7F90D" w14:textId="77777777" w:rsidR="00B95993" w:rsidRPr="00B95993" w:rsidRDefault="00B95993" w:rsidP="00B95993">
            <w:pPr>
              <w:spacing w:after="0" w:line="240" w:lineRule="auto"/>
              <w:jc w:val="right"/>
              <w:rPr>
                <w:rFonts w:ascii="Segoe UI" w:eastAsia="Times New Roman" w:hAnsi="Segoe UI" w:cs="Segoe UI"/>
                <w:b/>
                <w:bCs/>
                <w:color w:val="666666"/>
                <w:sz w:val="20"/>
                <w:szCs w:val="20"/>
              </w:rPr>
            </w:pPr>
          </w:p>
        </w:tc>
        <w:tc>
          <w:tcPr>
            <w:tcW w:w="1222" w:type="dxa"/>
            <w:tcBorders>
              <w:top w:val="nil"/>
              <w:left w:val="nil"/>
              <w:bottom w:val="single" w:sz="8" w:space="0" w:color="auto"/>
              <w:right w:val="nil"/>
            </w:tcBorders>
            <w:shd w:val="clear" w:color="auto" w:fill="auto"/>
            <w:noWrap/>
            <w:vAlign w:val="bottom"/>
            <w:hideMark/>
          </w:tcPr>
          <w:p w14:paraId="22DA6C33" w14:textId="77777777" w:rsidR="00B95993" w:rsidRPr="00B95993" w:rsidRDefault="00B95993" w:rsidP="00B95993">
            <w:pPr>
              <w:spacing w:after="0" w:line="240" w:lineRule="auto"/>
              <w:jc w:val="right"/>
              <w:rPr>
                <w:rFonts w:ascii="Segoe UI" w:eastAsia="Times New Roman" w:hAnsi="Segoe UI" w:cs="Segoe UI"/>
                <w:color w:val="666666"/>
                <w:sz w:val="20"/>
                <w:szCs w:val="20"/>
              </w:rPr>
            </w:pPr>
            <w:r w:rsidRPr="00B95993">
              <w:rPr>
                <w:rFonts w:ascii="Segoe UI" w:eastAsia="Times New Roman" w:hAnsi="Segoe UI" w:cs="Segoe UI"/>
                <w:color w:val="666666"/>
                <w:sz w:val="20"/>
                <w:szCs w:val="20"/>
              </w:rPr>
              <w:t xml:space="preserve"> $286,556 </w:t>
            </w:r>
          </w:p>
        </w:tc>
      </w:tr>
    </w:tbl>
    <w:p w14:paraId="794FBEF3" w14:textId="77777777" w:rsidR="000A566E" w:rsidRDefault="000A566E" w:rsidP="009842B4">
      <w:pPr>
        <w:spacing w:after="0" w:line="240" w:lineRule="auto"/>
        <w:jc w:val="center"/>
        <w:rPr>
          <w:rFonts w:ascii="Segoe UI" w:eastAsia="Times New Roman" w:hAnsi="Segoe UI" w:cs="Segoe UI"/>
          <w:color w:val="666666"/>
          <w:sz w:val="20"/>
          <w:szCs w:val="20"/>
        </w:rPr>
        <w:sectPr w:rsidR="000A566E" w:rsidSect="007A363E">
          <w:headerReference w:type="default" r:id="rId22"/>
          <w:footerReference w:type="default" r:id="rId23"/>
          <w:pgSz w:w="12240" w:h="15840"/>
          <w:pgMar w:top="0" w:right="1440" w:bottom="0" w:left="1440" w:header="720" w:footer="720" w:gutter="0"/>
          <w:cols w:space="720"/>
          <w:docGrid w:linePitch="360"/>
        </w:sectPr>
      </w:pPr>
      <w:bookmarkStart w:id="13" w:name="RANGE!A3:H46"/>
    </w:p>
    <w:tbl>
      <w:tblPr>
        <w:tblW w:w="10557" w:type="dxa"/>
        <w:tblInd w:w="-630" w:type="dxa"/>
        <w:tblLook w:val="04A0" w:firstRow="1" w:lastRow="0" w:firstColumn="1" w:lastColumn="0" w:noHBand="0" w:noVBand="1"/>
      </w:tblPr>
      <w:tblGrid>
        <w:gridCol w:w="5760"/>
        <w:gridCol w:w="1027"/>
        <w:gridCol w:w="272"/>
        <w:gridCol w:w="961"/>
        <w:gridCol w:w="272"/>
        <w:gridCol w:w="1027"/>
        <w:gridCol w:w="272"/>
        <w:gridCol w:w="966"/>
      </w:tblGrid>
      <w:tr w:rsidR="009842B4" w:rsidRPr="009842B4" w14:paraId="3BF8772D" w14:textId="77777777" w:rsidTr="00226E2E">
        <w:trPr>
          <w:trHeight w:val="308"/>
        </w:trPr>
        <w:tc>
          <w:tcPr>
            <w:tcW w:w="10557" w:type="dxa"/>
            <w:gridSpan w:val="8"/>
            <w:tcBorders>
              <w:top w:val="nil"/>
              <w:left w:val="nil"/>
              <w:bottom w:val="nil"/>
              <w:right w:val="nil"/>
            </w:tcBorders>
            <w:shd w:val="clear" w:color="auto" w:fill="auto"/>
            <w:noWrap/>
            <w:vAlign w:val="bottom"/>
            <w:hideMark/>
          </w:tcPr>
          <w:p w14:paraId="3E6175FE" w14:textId="62CD4EAA" w:rsidR="009842B4" w:rsidRPr="009842B4" w:rsidRDefault="009842B4" w:rsidP="009842B4">
            <w:pPr>
              <w:spacing w:after="0" w:line="240" w:lineRule="auto"/>
              <w:jc w:val="center"/>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CASH FLOWS STATEMENTS</w:t>
            </w:r>
            <w:bookmarkEnd w:id="13"/>
          </w:p>
        </w:tc>
      </w:tr>
      <w:tr w:rsidR="009842B4" w:rsidRPr="009842B4" w14:paraId="28E0A80B" w14:textId="77777777" w:rsidTr="00226E2E">
        <w:trPr>
          <w:trHeight w:val="308"/>
        </w:trPr>
        <w:tc>
          <w:tcPr>
            <w:tcW w:w="10557" w:type="dxa"/>
            <w:gridSpan w:val="8"/>
            <w:tcBorders>
              <w:top w:val="nil"/>
              <w:left w:val="nil"/>
              <w:bottom w:val="nil"/>
              <w:right w:val="nil"/>
            </w:tcBorders>
            <w:shd w:val="clear" w:color="auto" w:fill="auto"/>
            <w:noWrap/>
            <w:vAlign w:val="bottom"/>
            <w:hideMark/>
          </w:tcPr>
          <w:p w14:paraId="4600D463" w14:textId="77777777" w:rsidR="009842B4" w:rsidRPr="009842B4" w:rsidRDefault="009842B4" w:rsidP="009842B4">
            <w:pPr>
              <w:spacing w:after="0" w:line="240" w:lineRule="auto"/>
              <w:jc w:val="center"/>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(In millions) (Unaudited)</w:t>
            </w:r>
          </w:p>
        </w:tc>
      </w:tr>
      <w:tr w:rsidR="009842B4" w:rsidRPr="009842B4" w14:paraId="414665CA" w14:textId="77777777" w:rsidTr="00226E2E">
        <w:trPr>
          <w:trHeight w:val="300"/>
        </w:trPr>
        <w:tc>
          <w:tcPr>
            <w:tcW w:w="5760" w:type="dxa"/>
            <w:tcBorders>
              <w:top w:val="nil"/>
              <w:left w:val="nil"/>
              <w:bottom w:val="nil"/>
              <w:right w:val="nil"/>
            </w:tcBorders>
            <w:shd w:val="clear" w:color="auto" w:fill="auto"/>
            <w:noWrap/>
            <w:vAlign w:val="bottom"/>
            <w:hideMark/>
          </w:tcPr>
          <w:p w14:paraId="654BFE5D" w14:textId="77777777" w:rsidR="009842B4" w:rsidRPr="009842B4" w:rsidRDefault="009842B4" w:rsidP="009842B4">
            <w:pPr>
              <w:spacing w:after="0" w:line="240" w:lineRule="auto"/>
              <w:jc w:val="center"/>
              <w:rPr>
                <w:rFonts w:ascii="Times New Roman" w:eastAsia="Times New Roman" w:hAnsi="Times New Roman"/>
                <w:sz w:val="20"/>
                <w:szCs w:val="20"/>
              </w:rPr>
            </w:pPr>
          </w:p>
        </w:tc>
        <w:tc>
          <w:tcPr>
            <w:tcW w:w="2260" w:type="dxa"/>
            <w:gridSpan w:val="3"/>
            <w:vMerge w:val="restart"/>
            <w:tcBorders>
              <w:top w:val="nil"/>
              <w:left w:val="nil"/>
              <w:bottom w:val="nil"/>
              <w:right w:val="nil"/>
            </w:tcBorders>
            <w:shd w:val="clear" w:color="auto" w:fill="auto"/>
            <w:vAlign w:val="bottom"/>
            <w:hideMark/>
          </w:tcPr>
          <w:p w14:paraId="2F6A1B5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noWrap/>
            <w:vAlign w:val="bottom"/>
            <w:hideMark/>
          </w:tcPr>
          <w:p w14:paraId="14A6C1A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2265" w:type="dxa"/>
            <w:gridSpan w:val="3"/>
            <w:vMerge w:val="restart"/>
            <w:tcBorders>
              <w:top w:val="nil"/>
              <w:left w:val="nil"/>
              <w:bottom w:val="nil"/>
              <w:right w:val="nil"/>
            </w:tcBorders>
            <w:shd w:val="clear" w:color="auto" w:fill="auto"/>
            <w:vAlign w:val="bottom"/>
            <w:hideMark/>
          </w:tcPr>
          <w:p w14:paraId="5C5EF0B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Twelve Months Ended June 30,</w:t>
            </w:r>
          </w:p>
        </w:tc>
      </w:tr>
      <w:tr w:rsidR="009842B4" w:rsidRPr="009842B4" w14:paraId="67F5FFFA" w14:textId="77777777" w:rsidTr="00226E2E">
        <w:trPr>
          <w:trHeight w:val="308"/>
        </w:trPr>
        <w:tc>
          <w:tcPr>
            <w:tcW w:w="5760" w:type="dxa"/>
            <w:tcBorders>
              <w:top w:val="nil"/>
              <w:left w:val="nil"/>
              <w:bottom w:val="nil"/>
              <w:right w:val="nil"/>
            </w:tcBorders>
            <w:shd w:val="clear" w:color="auto" w:fill="auto"/>
            <w:noWrap/>
            <w:vAlign w:val="bottom"/>
            <w:hideMark/>
          </w:tcPr>
          <w:p w14:paraId="44BBDC2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2260" w:type="dxa"/>
            <w:gridSpan w:val="3"/>
            <w:vMerge/>
            <w:tcBorders>
              <w:top w:val="nil"/>
              <w:left w:val="nil"/>
              <w:bottom w:val="nil"/>
              <w:right w:val="nil"/>
            </w:tcBorders>
            <w:vAlign w:val="center"/>
            <w:hideMark/>
          </w:tcPr>
          <w:p w14:paraId="75F8F7D0" w14:textId="77777777" w:rsidR="009842B4" w:rsidRPr="009842B4" w:rsidRDefault="009842B4" w:rsidP="009842B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B47E33E" w14:textId="77777777" w:rsidR="009842B4" w:rsidRPr="009842B4" w:rsidRDefault="009842B4" w:rsidP="009842B4">
            <w:pPr>
              <w:spacing w:after="0" w:line="240" w:lineRule="auto"/>
              <w:rPr>
                <w:rFonts w:ascii="Times New Roman" w:eastAsia="Times New Roman" w:hAnsi="Times New Roman"/>
                <w:sz w:val="20"/>
                <w:szCs w:val="20"/>
              </w:rPr>
            </w:pPr>
          </w:p>
        </w:tc>
        <w:tc>
          <w:tcPr>
            <w:tcW w:w="2265" w:type="dxa"/>
            <w:gridSpan w:val="3"/>
            <w:vMerge/>
            <w:tcBorders>
              <w:top w:val="nil"/>
              <w:left w:val="nil"/>
              <w:bottom w:val="nil"/>
              <w:right w:val="nil"/>
            </w:tcBorders>
            <w:vAlign w:val="center"/>
            <w:hideMark/>
          </w:tcPr>
          <w:p w14:paraId="3FE5A4F4" w14:textId="77777777" w:rsidR="009842B4" w:rsidRPr="009842B4" w:rsidRDefault="009842B4" w:rsidP="009842B4">
            <w:pPr>
              <w:spacing w:after="0" w:line="240" w:lineRule="auto"/>
              <w:rPr>
                <w:rFonts w:ascii="Segoe UI" w:eastAsia="Times New Roman" w:hAnsi="Segoe UI" w:cs="Segoe UI"/>
                <w:b/>
                <w:bCs/>
                <w:color w:val="666666"/>
                <w:sz w:val="20"/>
                <w:szCs w:val="20"/>
              </w:rPr>
            </w:pPr>
          </w:p>
        </w:tc>
      </w:tr>
      <w:tr w:rsidR="009842B4" w:rsidRPr="009842B4" w14:paraId="7C09983D" w14:textId="77777777" w:rsidTr="00226E2E">
        <w:trPr>
          <w:trHeight w:val="308"/>
        </w:trPr>
        <w:tc>
          <w:tcPr>
            <w:tcW w:w="5760" w:type="dxa"/>
            <w:tcBorders>
              <w:top w:val="nil"/>
              <w:left w:val="nil"/>
              <w:bottom w:val="single" w:sz="4" w:space="0" w:color="auto"/>
              <w:right w:val="nil"/>
            </w:tcBorders>
            <w:shd w:val="clear" w:color="auto" w:fill="auto"/>
            <w:noWrap/>
            <w:vAlign w:val="bottom"/>
            <w:hideMark/>
          </w:tcPr>
          <w:p w14:paraId="636A03C4" w14:textId="77777777" w:rsidR="009842B4" w:rsidRPr="009842B4" w:rsidRDefault="009842B4" w:rsidP="009842B4">
            <w:pPr>
              <w:spacing w:after="0" w:line="240" w:lineRule="auto"/>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751F704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5222900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w:t>
            </w:r>
          </w:p>
        </w:tc>
        <w:tc>
          <w:tcPr>
            <w:tcW w:w="961" w:type="dxa"/>
            <w:tcBorders>
              <w:top w:val="nil"/>
              <w:left w:val="nil"/>
              <w:bottom w:val="single" w:sz="4" w:space="0" w:color="auto"/>
              <w:right w:val="nil"/>
            </w:tcBorders>
            <w:shd w:val="clear" w:color="auto" w:fill="auto"/>
            <w:noWrap/>
            <w:vAlign w:val="bottom"/>
            <w:hideMark/>
          </w:tcPr>
          <w:p w14:paraId="12FD618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1D921B02" w14:textId="77777777" w:rsidR="009842B4" w:rsidRPr="009842B4" w:rsidRDefault="009842B4" w:rsidP="009842B4">
            <w:pPr>
              <w:spacing w:after="0" w:line="240" w:lineRule="auto"/>
              <w:jc w:val="center"/>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w:t>
            </w:r>
          </w:p>
        </w:tc>
        <w:tc>
          <w:tcPr>
            <w:tcW w:w="1027" w:type="dxa"/>
            <w:tcBorders>
              <w:top w:val="nil"/>
              <w:left w:val="nil"/>
              <w:bottom w:val="single" w:sz="4" w:space="0" w:color="auto"/>
              <w:right w:val="nil"/>
            </w:tcBorders>
            <w:shd w:val="clear" w:color="auto" w:fill="auto"/>
            <w:noWrap/>
            <w:vAlign w:val="bottom"/>
            <w:hideMark/>
          </w:tcPr>
          <w:p w14:paraId="0922D55A"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185F84F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w:t>
            </w:r>
          </w:p>
        </w:tc>
        <w:tc>
          <w:tcPr>
            <w:tcW w:w="966" w:type="dxa"/>
            <w:tcBorders>
              <w:top w:val="nil"/>
              <w:left w:val="nil"/>
              <w:bottom w:val="single" w:sz="4" w:space="0" w:color="auto"/>
              <w:right w:val="nil"/>
            </w:tcBorders>
            <w:shd w:val="clear" w:color="auto" w:fill="auto"/>
            <w:noWrap/>
            <w:vAlign w:val="bottom"/>
            <w:hideMark/>
          </w:tcPr>
          <w:p w14:paraId="237C8BB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2019</w:t>
            </w:r>
          </w:p>
        </w:tc>
      </w:tr>
      <w:tr w:rsidR="009842B4" w:rsidRPr="009842B4" w14:paraId="469278EB" w14:textId="77777777" w:rsidTr="00226E2E">
        <w:trPr>
          <w:trHeight w:val="308"/>
        </w:trPr>
        <w:tc>
          <w:tcPr>
            <w:tcW w:w="5760" w:type="dxa"/>
            <w:tcBorders>
              <w:top w:val="nil"/>
              <w:left w:val="nil"/>
              <w:bottom w:val="nil"/>
              <w:right w:val="nil"/>
            </w:tcBorders>
            <w:shd w:val="clear" w:color="auto" w:fill="auto"/>
            <w:noWrap/>
            <w:vAlign w:val="bottom"/>
            <w:hideMark/>
          </w:tcPr>
          <w:p w14:paraId="17226069" w14:textId="77777777" w:rsidR="009842B4" w:rsidRPr="009842B4" w:rsidRDefault="009842B4" w:rsidP="009842B4">
            <w:pPr>
              <w:spacing w:after="0" w:line="240" w:lineRule="auto"/>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Operations</w:t>
            </w:r>
          </w:p>
        </w:tc>
        <w:tc>
          <w:tcPr>
            <w:tcW w:w="1027" w:type="dxa"/>
            <w:tcBorders>
              <w:top w:val="nil"/>
              <w:left w:val="nil"/>
              <w:bottom w:val="nil"/>
              <w:right w:val="nil"/>
            </w:tcBorders>
            <w:shd w:val="clear" w:color="auto" w:fill="auto"/>
            <w:noWrap/>
            <w:vAlign w:val="bottom"/>
            <w:hideMark/>
          </w:tcPr>
          <w:p w14:paraId="1CD9668D" w14:textId="77777777" w:rsidR="009842B4" w:rsidRPr="009842B4" w:rsidRDefault="009842B4" w:rsidP="009842B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B3FF0DC"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3F080642" w14:textId="77777777" w:rsidR="009842B4" w:rsidRPr="009842B4" w:rsidRDefault="009842B4" w:rsidP="009842B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E4DFC1"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3468B76C" w14:textId="77777777" w:rsidR="009842B4" w:rsidRPr="009842B4" w:rsidRDefault="009842B4" w:rsidP="009842B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0516893"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6" w:type="dxa"/>
            <w:tcBorders>
              <w:top w:val="nil"/>
              <w:left w:val="nil"/>
              <w:bottom w:val="nil"/>
              <w:right w:val="nil"/>
            </w:tcBorders>
            <w:shd w:val="clear" w:color="auto" w:fill="auto"/>
            <w:noWrap/>
            <w:vAlign w:val="bottom"/>
            <w:hideMark/>
          </w:tcPr>
          <w:p w14:paraId="3E25AE0A" w14:textId="77777777" w:rsidR="009842B4" w:rsidRPr="009842B4" w:rsidRDefault="009842B4" w:rsidP="009842B4">
            <w:pPr>
              <w:spacing w:after="0" w:line="240" w:lineRule="auto"/>
              <w:jc w:val="center"/>
              <w:rPr>
                <w:rFonts w:ascii="Times New Roman" w:eastAsia="Times New Roman" w:hAnsi="Times New Roman"/>
                <w:sz w:val="20"/>
                <w:szCs w:val="20"/>
              </w:rPr>
            </w:pPr>
          </w:p>
        </w:tc>
      </w:tr>
      <w:tr w:rsidR="009842B4" w:rsidRPr="009842B4" w14:paraId="26F489C1" w14:textId="77777777" w:rsidTr="00226E2E">
        <w:trPr>
          <w:trHeight w:val="308"/>
        </w:trPr>
        <w:tc>
          <w:tcPr>
            <w:tcW w:w="5760" w:type="dxa"/>
            <w:tcBorders>
              <w:top w:val="nil"/>
              <w:left w:val="nil"/>
              <w:bottom w:val="nil"/>
              <w:right w:val="nil"/>
            </w:tcBorders>
            <w:shd w:val="clear" w:color="auto" w:fill="auto"/>
            <w:noWrap/>
            <w:vAlign w:val="bottom"/>
            <w:hideMark/>
          </w:tcPr>
          <w:p w14:paraId="7C35AD8D"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Net income</w:t>
            </w:r>
          </w:p>
        </w:tc>
        <w:tc>
          <w:tcPr>
            <w:tcW w:w="1027" w:type="dxa"/>
            <w:tcBorders>
              <w:top w:val="nil"/>
              <w:left w:val="nil"/>
              <w:bottom w:val="nil"/>
              <w:right w:val="nil"/>
            </w:tcBorders>
            <w:shd w:val="clear" w:color="auto" w:fill="auto"/>
            <w:noWrap/>
            <w:vAlign w:val="bottom"/>
            <w:hideMark/>
          </w:tcPr>
          <w:p w14:paraId="325006CA"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 $11,202 </w:t>
            </w:r>
          </w:p>
        </w:tc>
        <w:tc>
          <w:tcPr>
            <w:tcW w:w="272" w:type="dxa"/>
            <w:tcBorders>
              <w:top w:val="nil"/>
              <w:left w:val="nil"/>
              <w:bottom w:val="nil"/>
              <w:right w:val="nil"/>
            </w:tcBorders>
            <w:shd w:val="clear" w:color="auto" w:fill="auto"/>
            <w:noWrap/>
            <w:vAlign w:val="bottom"/>
            <w:hideMark/>
          </w:tcPr>
          <w:p w14:paraId="432143E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E37E56A" w14:textId="278D23B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$13,187 </w:t>
            </w:r>
          </w:p>
        </w:tc>
        <w:tc>
          <w:tcPr>
            <w:tcW w:w="272" w:type="dxa"/>
            <w:tcBorders>
              <w:top w:val="nil"/>
              <w:left w:val="nil"/>
              <w:bottom w:val="nil"/>
              <w:right w:val="nil"/>
            </w:tcBorders>
            <w:shd w:val="clear" w:color="auto" w:fill="auto"/>
            <w:noWrap/>
            <w:vAlign w:val="bottom"/>
            <w:hideMark/>
          </w:tcPr>
          <w:p w14:paraId="7168F92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32C6CA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 $44,281 </w:t>
            </w:r>
          </w:p>
        </w:tc>
        <w:tc>
          <w:tcPr>
            <w:tcW w:w="272" w:type="dxa"/>
            <w:tcBorders>
              <w:top w:val="nil"/>
              <w:left w:val="nil"/>
              <w:bottom w:val="nil"/>
              <w:right w:val="nil"/>
            </w:tcBorders>
            <w:shd w:val="clear" w:color="auto" w:fill="auto"/>
            <w:noWrap/>
            <w:vAlign w:val="bottom"/>
            <w:hideMark/>
          </w:tcPr>
          <w:p w14:paraId="3A50D76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A65302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$39,240 </w:t>
            </w:r>
          </w:p>
        </w:tc>
      </w:tr>
      <w:tr w:rsidR="009842B4" w:rsidRPr="009842B4" w14:paraId="40BDF487" w14:textId="77777777" w:rsidTr="00226E2E">
        <w:trPr>
          <w:trHeight w:val="615"/>
        </w:trPr>
        <w:tc>
          <w:tcPr>
            <w:tcW w:w="5760" w:type="dxa"/>
            <w:tcBorders>
              <w:top w:val="nil"/>
              <w:left w:val="nil"/>
              <w:bottom w:val="nil"/>
              <w:right w:val="nil"/>
            </w:tcBorders>
            <w:shd w:val="clear" w:color="auto" w:fill="auto"/>
            <w:vAlign w:val="bottom"/>
            <w:hideMark/>
          </w:tcPr>
          <w:p w14:paraId="0E557F31" w14:textId="1606B61F" w:rsidR="009842B4" w:rsidRPr="009842B4" w:rsidRDefault="009842B4" w:rsidP="005B1155">
            <w:pPr>
              <w:spacing w:after="0" w:line="240" w:lineRule="auto"/>
              <w:ind w:left="168" w:hanging="168"/>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Adjustments to reconcile net income to net cash from operations:</w:t>
            </w:r>
          </w:p>
        </w:tc>
        <w:tc>
          <w:tcPr>
            <w:tcW w:w="1027" w:type="dxa"/>
            <w:tcBorders>
              <w:top w:val="nil"/>
              <w:left w:val="nil"/>
              <w:bottom w:val="nil"/>
              <w:right w:val="nil"/>
            </w:tcBorders>
            <w:shd w:val="clear" w:color="auto" w:fill="auto"/>
            <w:noWrap/>
            <w:vAlign w:val="bottom"/>
            <w:hideMark/>
          </w:tcPr>
          <w:p w14:paraId="00FD389F" w14:textId="77777777" w:rsidR="009842B4" w:rsidRPr="009842B4" w:rsidRDefault="009842B4" w:rsidP="009842B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D71D99F"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63B66288"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6EEE278"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7572FCB1"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755101B"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6" w:type="dxa"/>
            <w:tcBorders>
              <w:top w:val="nil"/>
              <w:left w:val="nil"/>
              <w:bottom w:val="nil"/>
              <w:right w:val="nil"/>
            </w:tcBorders>
            <w:shd w:val="clear" w:color="auto" w:fill="auto"/>
            <w:noWrap/>
            <w:vAlign w:val="bottom"/>
            <w:hideMark/>
          </w:tcPr>
          <w:p w14:paraId="7557B4BF" w14:textId="77777777" w:rsidR="009842B4" w:rsidRPr="009842B4" w:rsidRDefault="009842B4" w:rsidP="009842B4">
            <w:pPr>
              <w:spacing w:after="0" w:line="240" w:lineRule="auto"/>
              <w:rPr>
                <w:rFonts w:ascii="Times New Roman" w:eastAsia="Times New Roman" w:hAnsi="Times New Roman"/>
                <w:sz w:val="20"/>
                <w:szCs w:val="20"/>
              </w:rPr>
            </w:pPr>
          </w:p>
        </w:tc>
      </w:tr>
      <w:tr w:rsidR="009842B4" w:rsidRPr="009842B4" w14:paraId="66570017" w14:textId="77777777" w:rsidTr="00226E2E">
        <w:trPr>
          <w:trHeight w:val="308"/>
        </w:trPr>
        <w:tc>
          <w:tcPr>
            <w:tcW w:w="5760" w:type="dxa"/>
            <w:tcBorders>
              <w:top w:val="nil"/>
              <w:left w:val="nil"/>
              <w:bottom w:val="nil"/>
              <w:right w:val="nil"/>
            </w:tcBorders>
            <w:shd w:val="clear" w:color="auto" w:fill="auto"/>
            <w:vAlign w:val="bottom"/>
            <w:hideMark/>
          </w:tcPr>
          <w:p w14:paraId="525AC3AC"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Depreciation, amortization, and other</w:t>
            </w:r>
          </w:p>
        </w:tc>
        <w:tc>
          <w:tcPr>
            <w:tcW w:w="1027" w:type="dxa"/>
            <w:tcBorders>
              <w:top w:val="nil"/>
              <w:left w:val="nil"/>
              <w:bottom w:val="nil"/>
              <w:right w:val="nil"/>
            </w:tcBorders>
            <w:shd w:val="clear" w:color="auto" w:fill="auto"/>
            <w:noWrap/>
            <w:vAlign w:val="bottom"/>
            <w:hideMark/>
          </w:tcPr>
          <w:p w14:paraId="7F11752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3,504 </w:t>
            </w:r>
          </w:p>
        </w:tc>
        <w:tc>
          <w:tcPr>
            <w:tcW w:w="272" w:type="dxa"/>
            <w:tcBorders>
              <w:top w:val="nil"/>
              <w:left w:val="nil"/>
              <w:bottom w:val="nil"/>
              <w:right w:val="nil"/>
            </w:tcBorders>
            <w:shd w:val="clear" w:color="auto" w:fill="auto"/>
            <w:noWrap/>
            <w:vAlign w:val="bottom"/>
            <w:hideMark/>
          </w:tcPr>
          <w:p w14:paraId="5BC8209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796854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2,924 </w:t>
            </w:r>
          </w:p>
        </w:tc>
        <w:tc>
          <w:tcPr>
            <w:tcW w:w="272" w:type="dxa"/>
            <w:tcBorders>
              <w:top w:val="nil"/>
              <w:left w:val="nil"/>
              <w:bottom w:val="nil"/>
              <w:right w:val="nil"/>
            </w:tcBorders>
            <w:shd w:val="clear" w:color="auto" w:fill="auto"/>
            <w:noWrap/>
            <w:vAlign w:val="bottom"/>
            <w:hideMark/>
          </w:tcPr>
          <w:p w14:paraId="5484323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E8722A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12,796 </w:t>
            </w:r>
          </w:p>
        </w:tc>
        <w:tc>
          <w:tcPr>
            <w:tcW w:w="272" w:type="dxa"/>
            <w:tcBorders>
              <w:top w:val="nil"/>
              <w:left w:val="nil"/>
              <w:bottom w:val="nil"/>
              <w:right w:val="nil"/>
            </w:tcBorders>
            <w:shd w:val="clear" w:color="auto" w:fill="auto"/>
            <w:noWrap/>
            <w:vAlign w:val="bottom"/>
            <w:hideMark/>
          </w:tcPr>
          <w:p w14:paraId="51491CC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CE1326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11,682 </w:t>
            </w:r>
          </w:p>
        </w:tc>
      </w:tr>
      <w:tr w:rsidR="009842B4" w:rsidRPr="009842B4" w14:paraId="591033B3" w14:textId="77777777" w:rsidTr="00226E2E">
        <w:trPr>
          <w:trHeight w:val="308"/>
        </w:trPr>
        <w:tc>
          <w:tcPr>
            <w:tcW w:w="5760" w:type="dxa"/>
            <w:tcBorders>
              <w:top w:val="nil"/>
              <w:left w:val="nil"/>
              <w:bottom w:val="nil"/>
              <w:right w:val="nil"/>
            </w:tcBorders>
            <w:shd w:val="clear" w:color="auto" w:fill="auto"/>
            <w:vAlign w:val="bottom"/>
            <w:hideMark/>
          </w:tcPr>
          <w:p w14:paraId="32AB6393"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Stock-based compensation expense</w:t>
            </w:r>
          </w:p>
        </w:tc>
        <w:tc>
          <w:tcPr>
            <w:tcW w:w="1027" w:type="dxa"/>
            <w:tcBorders>
              <w:top w:val="nil"/>
              <w:left w:val="nil"/>
              <w:bottom w:val="nil"/>
              <w:right w:val="nil"/>
            </w:tcBorders>
            <w:shd w:val="clear" w:color="auto" w:fill="auto"/>
            <w:noWrap/>
            <w:vAlign w:val="bottom"/>
            <w:hideMark/>
          </w:tcPr>
          <w:p w14:paraId="7417C37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1,349 </w:t>
            </w:r>
          </w:p>
        </w:tc>
        <w:tc>
          <w:tcPr>
            <w:tcW w:w="272" w:type="dxa"/>
            <w:tcBorders>
              <w:top w:val="nil"/>
              <w:left w:val="nil"/>
              <w:bottom w:val="nil"/>
              <w:right w:val="nil"/>
            </w:tcBorders>
            <w:shd w:val="clear" w:color="auto" w:fill="auto"/>
            <w:noWrap/>
            <w:vAlign w:val="bottom"/>
            <w:hideMark/>
          </w:tcPr>
          <w:p w14:paraId="4EB3580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14487E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1,190 </w:t>
            </w:r>
          </w:p>
        </w:tc>
        <w:tc>
          <w:tcPr>
            <w:tcW w:w="272" w:type="dxa"/>
            <w:tcBorders>
              <w:top w:val="nil"/>
              <w:left w:val="nil"/>
              <w:bottom w:val="nil"/>
              <w:right w:val="nil"/>
            </w:tcBorders>
            <w:shd w:val="clear" w:color="auto" w:fill="auto"/>
            <w:noWrap/>
            <w:vAlign w:val="bottom"/>
            <w:hideMark/>
          </w:tcPr>
          <w:p w14:paraId="4D1EFC8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38CA2BF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5,289 </w:t>
            </w:r>
          </w:p>
        </w:tc>
        <w:tc>
          <w:tcPr>
            <w:tcW w:w="272" w:type="dxa"/>
            <w:tcBorders>
              <w:top w:val="nil"/>
              <w:left w:val="nil"/>
              <w:bottom w:val="nil"/>
              <w:right w:val="nil"/>
            </w:tcBorders>
            <w:shd w:val="clear" w:color="auto" w:fill="auto"/>
            <w:noWrap/>
            <w:vAlign w:val="bottom"/>
            <w:hideMark/>
          </w:tcPr>
          <w:p w14:paraId="3F06998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B3C72E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4,652 </w:t>
            </w:r>
          </w:p>
        </w:tc>
      </w:tr>
      <w:tr w:rsidR="009842B4" w:rsidRPr="009842B4" w14:paraId="6B9FA4EF" w14:textId="77777777" w:rsidTr="00226E2E">
        <w:trPr>
          <w:trHeight w:val="302"/>
        </w:trPr>
        <w:tc>
          <w:tcPr>
            <w:tcW w:w="5760" w:type="dxa"/>
            <w:tcBorders>
              <w:top w:val="nil"/>
              <w:left w:val="nil"/>
              <w:bottom w:val="nil"/>
              <w:right w:val="nil"/>
            </w:tcBorders>
            <w:shd w:val="clear" w:color="auto" w:fill="auto"/>
            <w:vAlign w:val="bottom"/>
            <w:hideMark/>
          </w:tcPr>
          <w:p w14:paraId="5D9C2D92" w14:textId="108638CD"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Net recognized gains on investments and derivatives</w:t>
            </w:r>
          </w:p>
        </w:tc>
        <w:tc>
          <w:tcPr>
            <w:tcW w:w="1027" w:type="dxa"/>
            <w:tcBorders>
              <w:top w:val="nil"/>
              <w:left w:val="nil"/>
              <w:bottom w:val="nil"/>
              <w:right w:val="nil"/>
            </w:tcBorders>
            <w:shd w:val="clear" w:color="auto" w:fill="auto"/>
            <w:noWrap/>
            <w:vAlign w:val="bottom"/>
            <w:hideMark/>
          </w:tcPr>
          <w:p w14:paraId="4B8D282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(79)</w:t>
            </w:r>
          </w:p>
        </w:tc>
        <w:tc>
          <w:tcPr>
            <w:tcW w:w="272" w:type="dxa"/>
            <w:tcBorders>
              <w:top w:val="nil"/>
              <w:left w:val="nil"/>
              <w:bottom w:val="nil"/>
              <w:right w:val="nil"/>
            </w:tcBorders>
            <w:shd w:val="clear" w:color="auto" w:fill="auto"/>
            <w:noWrap/>
            <w:vAlign w:val="bottom"/>
            <w:hideMark/>
          </w:tcPr>
          <w:p w14:paraId="014B6D5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5AF5DE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(322)</w:t>
            </w:r>
          </w:p>
        </w:tc>
        <w:tc>
          <w:tcPr>
            <w:tcW w:w="272" w:type="dxa"/>
            <w:tcBorders>
              <w:top w:val="nil"/>
              <w:left w:val="nil"/>
              <w:bottom w:val="nil"/>
              <w:right w:val="nil"/>
            </w:tcBorders>
            <w:shd w:val="clear" w:color="auto" w:fill="auto"/>
            <w:noWrap/>
            <w:vAlign w:val="bottom"/>
            <w:hideMark/>
          </w:tcPr>
          <w:p w14:paraId="73B24DF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1A6518D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(219)</w:t>
            </w:r>
          </w:p>
        </w:tc>
        <w:tc>
          <w:tcPr>
            <w:tcW w:w="272" w:type="dxa"/>
            <w:tcBorders>
              <w:top w:val="nil"/>
              <w:left w:val="nil"/>
              <w:bottom w:val="nil"/>
              <w:right w:val="nil"/>
            </w:tcBorders>
            <w:shd w:val="clear" w:color="auto" w:fill="auto"/>
            <w:noWrap/>
            <w:vAlign w:val="bottom"/>
            <w:hideMark/>
          </w:tcPr>
          <w:p w14:paraId="3377383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FB55C3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(792)</w:t>
            </w:r>
          </w:p>
        </w:tc>
      </w:tr>
      <w:tr w:rsidR="009842B4" w:rsidRPr="009842B4" w14:paraId="07B7FF12" w14:textId="77777777" w:rsidTr="00226E2E">
        <w:trPr>
          <w:trHeight w:val="308"/>
        </w:trPr>
        <w:tc>
          <w:tcPr>
            <w:tcW w:w="5760" w:type="dxa"/>
            <w:tcBorders>
              <w:top w:val="nil"/>
              <w:left w:val="nil"/>
              <w:bottom w:val="nil"/>
              <w:right w:val="nil"/>
            </w:tcBorders>
            <w:shd w:val="clear" w:color="auto" w:fill="auto"/>
            <w:vAlign w:val="bottom"/>
            <w:hideMark/>
          </w:tcPr>
          <w:p w14:paraId="668767DF"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Deferred income taxes</w:t>
            </w:r>
          </w:p>
        </w:tc>
        <w:tc>
          <w:tcPr>
            <w:tcW w:w="1027" w:type="dxa"/>
            <w:tcBorders>
              <w:top w:val="nil"/>
              <w:left w:val="nil"/>
              <w:bottom w:val="nil"/>
              <w:right w:val="nil"/>
            </w:tcBorders>
            <w:shd w:val="clear" w:color="auto" w:fill="auto"/>
            <w:noWrap/>
            <w:vAlign w:val="bottom"/>
            <w:hideMark/>
          </w:tcPr>
          <w:p w14:paraId="73A8CA5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447 </w:t>
            </w:r>
          </w:p>
        </w:tc>
        <w:tc>
          <w:tcPr>
            <w:tcW w:w="272" w:type="dxa"/>
            <w:tcBorders>
              <w:top w:val="nil"/>
              <w:left w:val="nil"/>
              <w:bottom w:val="nil"/>
              <w:right w:val="nil"/>
            </w:tcBorders>
            <w:shd w:val="clear" w:color="auto" w:fill="auto"/>
            <w:noWrap/>
            <w:vAlign w:val="bottom"/>
            <w:hideMark/>
          </w:tcPr>
          <w:p w14:paraId="2D68A21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21EFE5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(5,723)</w:t>
            </w:r>
          </w:p>
        </w:tc>
        <w:tc>
          <w:tcPr>
            <w:tcW w:w="272" w:type="dxa"/>
            <w:tcBorders>
              <w:top w:val="nil"/>
              <w:left w:val="nil"/>
              <w:bottom w:val="nil"/>
              <w:right w:val="nil"/>
            </w:tcBorders>
            <w:shd w:val="clear" w:color="auto" w:fill="auto"/>
            <w:noWrap/>
            <w:vAlign w:val="bottom"/>
            <w:hideMark/>
          </w:tcPr>
          <w:p w14:paraId="1A0FE2A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E76664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11 </w:t>
            </w:r>
          </w:p>
        </w:tc>
        <w:tc>
          <w:tcPr>
            <w:tcW w:w="272" w:type="dxa"/>
            <w:tcBorders>
              <w:top w:val="nil"/>
              <w:left w:val="nil"/>
              <w:bottom w:val="nil"/>
              <w:right w:val="nil"/>
            </w:tcBorders>
            <w:shd w:val="clear" w:color="auto" w:fill="auto"/>
            <w:noWrap/>
            <w:vAlign w:val="bottom"/>
            <w:hideMark/>
          </w:tcPr>
          <w:p w14:paraId="4F3F5EB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D210B3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(6,463)</w:t>
            </w:r>
          </w:p>
        </w:tc>
      </w:tr>
      <w:tr w:rsidR="009842B4" w:rsidRPr="009842B4" w14:paraId="33E7F683" w14:textId="77777777" w:rsidTr="00226E2E">
        <w:trPr>
          <w:trHeight w:val="302"/>
        </w:trPr>
        <w:tc>
          <w:tcPr>
            <w:tcW w:w="5760" w:type="dxa"/>
            <w:tcBorders>
              <w:top w:val="nil"/>
              <w:left w:val="nil"/>
              <w:bottom w:val="nil"/>
              <w:right w:val="nil"/>
            </w:tcBorders>
            <w:shd w:val="clear" w:color="auto" w:fill="auto"/>
            <w:vAlign w:val="bottom"/>
            <w:hideMark/>
          </w:tcPr>
          <w:p w14:paraId="38C110F5" w14:textId="3755364A"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Changes in operating assets and liabilities:</w:t>
            </w:r>
          </w:p>
        </w:tc>
        <w:tc>
          <w:tcPr>
            <w:tcW w:w="1027" w:type="dxa"/>
            <w:tcBorders>
              <w:top w:val="nil"/>
              <w:left w:val="nil"/>
              <w:bottom w:val="nil"/>
              <w:right w:val="nil"/>
            </w:tcBorders>
            <w:shd w:val="clear" w:color="auto" w:fill="auto"/>
            <w:noWrap/>
            <w:vAlign w:val="bottom"/>
            <w:hideMark/>
          </w:tcPr>
          <w:p w14:paraId="61B4626A" w14:textId="77777777" w:rsidR="009842B4" w:rsidRPr="009842B4" w:rsidRDefault="009842B4" w:rsidP="009842B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60306D6C"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3CE2BE2C"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1A67413"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49BFF1CA"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3ABBA02"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6" w:type="dxa"/>
            <w:tcBorders>
              <w:top w:val="nil"/>
              <w:left w:val="nil"/>
              <w:bottom w:val="nil"/>
              <w:right w:val="nil"/>
            </w:tcBorders>
            <w:shd w:val="clear" w:color="auto" w:fill="auto"/>
            <w:noWrap/>
            <w:vAlign w:val="bottom"/>
            <w:hideMark/>
          </w:tcPr>
          <w:p w14:paraId="4E0BC095" w14:textId="77777777" w:rsidR="009842B4" w:rsidRPr="009842B4" w:rsidRDefault="009842B4" w:rsidP="009842B4">
            <w:pPr>
              <w:spacing w:after="0" w:line="240" w:lineRule="auto"/>
              <w:rPr>
                <w:rFonts w:ascii="Times New Roman" w:eastAsia="Times New Roman" w:hAnsi="Times New Roman"/>
                <w:sz w:val="20"/>
                <w:szCs w:val="20"/>
              </w:rPr>
            </w:pPr>
          </w:p>
        </w:tc>
      </w:tr>
      <w:tr w:rsidR="009842B4" w:rsidRPr="009842B4" w14:paraId="1F31D4F8" w14:textId="77777777" w:rsidTr="00226E2E">
        <w:trPr>
          <w:trHeight w:val="308"/>
        </w:trPr>
        <w:tc>
          <w:tcPr>
            <w:tcW w:w="5760" w:type="dxa"/>
            <w:tcBorders>
              <w:top w:val="nil"/>
              <w:left w:val="nil"/>
              <w:bottom w:val="nil"/>
              <w:right w:val="nil"/>
            </w:tcBorders>
            <w:shd w:val="clear" w:color="auto" w:fill="auto"/>
            <w:vAlign w:val="bottom"/>
            <w:hideMark/>
          </w:tcPr>
          <w:p w14:paraId="64E8C605"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Accounts receivable</w:t>
            </w:r>
          </w:p>
        </w:tc>
        <w:tc>
          <w:tcPr>
            <w:tcW w:w="1027" w:type="dxa"/>
            <w:tcBorders>
              <w:top w:val="nil"/>
              <w:left w:val="nil"/>
              <w:bottom w:val="nil"/>
              <w:right w:val="nil"/>
            </w:tcBorders>
            <w:shd w:val="clear" w:color="auto" w:fill="auto"/>
            <w:noWrap/>
            <w:vAlign w:val="bottom"/>
            <w:hideMark/>
          </w:tcPr>
          <w:p w14:paraId="5101A42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(9,355)</w:t>
            </w:r>
          </w:p>
        </w:tc>
        <w:tc>
          <w:tcPr>
            <w:tcW w:w="272" w:type="dxa"/>
            <w:tcBorders>
              <w:top w:val="nil"/>
              <w:left w:val="nil"/>
              <w:bottom w:val="nil"/>
              <w:right w:val="nil"/>
            </w:tcBorders>
            <w:shd w:val="clear" w:color="auto" w:fill="auto"/>
            <w:noWrap/>
            <w:vAlign w:val="bottom"/>
            <w:hideMark/>
          </w:tcPr>
          <w:p w14:paraId="4702588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00C463B"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(10,070)</w:t>
            </w:r>
          </w:p>
        </w:tc>
        <w:tc>
          <w:tcPr>
            <w:tcW w:w="272" w:type="dxa"/>
            <w:tcBorders>
              <w:top w:val="nil"/>
              <w:left w:val="nil"/>
              <w:bottom w:val="nil"/>
              <w:right w:val="nil"/>
            </w:tcBorders>
            <w:shd w:val="clear" w:color="auto" w:fill="auto"/>
            <w:noWrap/>
            <w:vAlign w:val="bottom"/>
            <w:hideMark/>
          </w:tcPr>
          <w:p w14:paraId="31EF2EE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3FE8571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(2,577)</w:t>
            </w:r>
          </w:p>
        </w:tc>
        <w:tc>
          <w:tcPr>
            <w:tcW w:w="272" w:type="dxa"/>
            <w:tcBorders>
              <w:top w:val="nil"/>
              <w:left w:val="nil"/>
              <w:bottom w:val="nil"/>
              <w:right w:val="nil"/>
            </w:tcBorders>
            <w:shd w:val="clear" w:color="auto" w:fill="auto"/>
            <w:noWrap/>
            <w:vAlign w:val="bottom"/>
            <w:hideMark/>
          </w:tcPr>
          <w:p w14:paraId="4F613BF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60470258"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(2,812)</w:t>
            </w:r>
          </w:p>
        </w:tc>
      </w:tr>
      <w:tr w:rsidR="009842B4" w:rsidRPr="009842B4" w14:paraId="6573A190" w14:textId="77777777" w:rsidTr="00226E2E">
        <w:trPr>
          <w:trHeight w:val="308"/>
        </w:trPr>
        <w:tc>
          <w:tcPr>
            <w:tcW w:w="5760" w:type="dxa"/>
            <w:tcBorders>
              <w:top w:val="nil"/>
              <w:left w:val="nil"/>
              <w:bottom w:val="nil"/>
              <w:right w:val="nil"/>
            </w:tcBorders>
            <w:shd w:val="clear" w:color="auto" w:fill="auto"/>
            <w:vAlign w:val="bottom"/>
            <w:hideMark/>
          </w:tcPr>
          <w:p w14:paraId="55C3F041"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Inventories</w:t>
            </w:r>
          </w:p>
        </w:tc>
        <w:tc>
          <w:tcPr>
            <w:tcW w:w="1027" w:type="dxa"/>
            <w:tcBorders>
              <w:top w:val="nil"/>
              <w:left w:val="nil"/>
              <w:bottom w:val="nil"/>
              <w:right w:val="nil"/>
            </w:tcBorders>
            <w:shd w:val="clear" w:color="auto" w:fill="auto"/>
            <w:noWrap/>
            <w:vAlign w:val="bottom"/>
            <w:hideMark/>
          </w:tcPr>
          <w:p w14:paraId="58E4D65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(251)</w:t>
            </w:r>
          </w:p>
        </w:tc>
        <w:tc>
          <w:tcPr>
            <w:tcW w:w="272" w:type="dxa"/>
            <w:tcBorders>
              <w:top w:val="nil"/>
              <w:left w:val="nil"/>
              <w:bottom w:val="nil"/>
              <w:right w:val="nil"/>
            </w:tcBorders>
            <w:shd w:val="clear" w:color="auto" w:fill="auto"/>
            <w:noWrap/>
            <w:vAlign w:val="bottom"/>
            <w:hideMark/>
          </w:tcPr>
          <w:p w14:paraId="5E00851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4FE1B3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(113)</w:t>
            </w:r>
          </w:p>
        </w:tc>
        <w:tc>
          <w:tcPr>
            <w:tcW w:w="272" w:type="dxa"/>
            <w:tcBorders>
              <w:top w:val="nil"/>
              <w:left w:val="nil"/>
              <w:bottom w:val="nil"/>
              <w:right w:val="nil"/>
            </w:tcBorders>
            <w:shd w:val="clear" w:color="auto" w:fill="auto"/>
            <w:noWrap/>
            <w:vAlign w:val="bottom"/>
            <w:hideMark/>
          </w:tcPr>
          <w:p w14:paraId="33661938"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EE23AD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168 </w:t>
            </w:r>
          </w:p>
        </w:tc>
        <w:tc>
          <w:tcPr>
            <w:tcW w:w="272" w:type="dxa"/>
            <w:tcBorders>
              <w:top w:val="nil"/>
              <w:left w:val="nil"/>
              <w:bottom w:val="nil"/>
              <w:right w:val="nil"/>
            </w:tcBorders>
            <w:shd w:val="clear" w:color="auto" w:fill="auto"/>
            <w:noWrap/>
            <w:vAlign w:val="bottom"/>
            <w:hideMark/>
          </w:tcPr>
          <w:p w14:paraId="77F7CDC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89E216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597 </w:t>
            </w:r>
          </w:p>
        </w:tc>
      </w:tr>
      <w:tr w:rsidR="009842B4" w:rsidRPr="009842B4" w14:paraId="646D6BF3" w14:textId="77777777" w:rsidTr="00226E2E">
        <w:trPr>
          <w:trHeight w:val="308"/>
        </w:trPr>
        <w:tc>
          <w:tcPr>
            <w:tcW w:w="5760" w:type="dxa"/>
            <w:tcBorders>
              <w:top w:val="nil"/>
              <w:left w:val="nil"/>
              <w:bottom w:val="nil"/>
              <w:right w:val="nil"/>
            </w:tcBorders>
            <w:shd w:val="clear" w:color="auto" w:fill="auto"/>
            <w:vAlign w:val="bottom"/>
            <w:hideMark/>
          </w:tcPr>
          <w:p w14:paraId="2009FFFC"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Other current assets</w:t>
            </w:r>
          </w:p>
        </w:tc>
        <w:tc>
          <w:tcPr>
            <w:tcW w:w="1027" w:type="dxa"/>
            <w:tcBorders>
              <w:top w:val="nil"/>
              <w:left w:val="nil"/>
              <w:bottom w:val="nil"/>
              <w:right w:val="nil"/>
            </w:tcBorders>
            <w:shd w:val="clear" w:color="auto" w:fill="auto"/>
            <w:noWrap/>
            <w:vAlign w:val="bottom"/>
            <w:hideMark/>
          </w:tcPr>
          <w:p w14:paraId="3AAE24E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(2,151)</w:t>
            </w:r>
          </w:p>
        </w:tc>
        <w:tc>
          <w:tcPr>
            <w:tcW w:w="272" w:type="dxa"/>
            <w:tcBorders>
              <w:top w:val="nil"/>
              <w:left w:val="nil"/>
              <w:bottom w:val="nil"/>
              <w:right w:val="nil"/>
            </w:tcBorders>
            <w:shd w:val="clear" w:color="auto" w:fill="auto"/>
            <w:noWrap/>
            <w:vAlign w:val="bottom"/>
            <w:hideMark/>
          </w:tcPr>
          <w:p w14:paraId="45C9F71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01963B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(854)</w:t>
            </w:r>
          </w:p>
        </w:tc>
        <w:tc>
          <w:tcPr>
            <w:tcW w:w="272" w:type="dxa"/>
            <w:tcBorders>
              <w:top w:val="nil"/>
              <w:left w:val="nil"/>
              <w:bottom w:val="nil"/>
              <w:right w:val="nil"/>
            </w:tcBorders>
            <w:shd w:val="clear" w:color="auto" w:fill="auto"/>
            <w:noWrap/>
            <w:vAlign w:val="bottom"/>
            <w:hideMark/>
          </w:tcPr>
          <w:p w14:paraId="1913DB1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9C9F42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(2,330)</w:t>
            </w:r>
          </w:p>
        </w:tc>
        <w:tc>
          <w:tcPr>
            <w:tcW w:w="272" w:type="dxa"/>
            <w:tcBorders>
              <w:top w:val="nil"/>
              <w:left w:val="nil"/>
              <w:bottom w:val="nil"/>
              <w:right w:val="nil"/>
            </w:tcBorders>
            <w:shd w:val="clear" w:color="auto" w:fill="auto"/>
            <w:noWrap/>
            <w:vAlign w:val="bottom"/>
            <w:hideMark/>
          </w:tcPr>
          <w:p w14:paraId="43A939D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E1DB31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(1,718)</w:t>
            </w:r>
          </w:p>
        </w:tc>
      </w:tr>
      <w:tr w:rsidR="009842B4" w:rsidRPr="009842B4" w14:paraId="7D307D73" w14:textId="77777777" w:rsidTr="00226E2E">
        <w:trPr>
          <w:trHeight w:val="308"/>
        </w:trPr>
        <w:tc>
          <w:tcPr>
            <w:tcW w:w="5760" w:type="dxa"/>
            <w:tcBorders>
              <w:top w:val="nil"/>
              <w:left w:val="nil"/>
              <w:bottom w:val="nil"/>
              <w:right w:val="nil"/>
            </w:tcBorders>
            <w:shd w:val="clear" w:color="auto" w:fill="auto"/>
            <w:vAlign w:val="bottom"/>
            <w:hideMark/>
          </w:tcPr>
          <w:p w14:paraId="54D33240"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Other long-term assets</w:t>
            </w:r>
          </w:p>
        </w:tc>
        <w:tc>
          <w:tcPr>
            <w:tcW w:w="1027" w:type="dxa"/>
            <w:tcBorders>
              <w:top w:val="nil"/>
              <w:left w:val="nil"/>
              <w:bottom w:val="nil"/>
              <w:right w:val="nil"/>
            </w:tcBorders>
            <w:shd w:val="clear" w:color="auto" w:fill="auto"/>
            <w:noWrap/>
            <w:vAlign w:val="bottom"/>
            <w:hideMark/>
          </w:tcPr>
          <w:p w14:paraId="453BAD7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(311)</w:t>
            </w:r>
          </w:p>
        </w:tc>
        <w:tc>
          <w:tcPr>
            <w:tcW w:w="272" w:type="dxa"/>
            <w:tcBorders>
              <w:top w:val="nil"/>
              <w:left w:val="nil"/>
              <w:bottom w:val="nil"/>
              <w:right w:val="nil"/>
            </w:tcBorders>
            <w:shd w:val="clear" w:color="auto" w:fill="auto"/>
            <w:noWrap/>
            <w:vAlign w:val="bottom"/>
            <w:hideMark/>
          </w:tcPr>
          <w:p w14:paraId="1D79D35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65ADA425"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(865)</w:t>
            </w:r>
          </w:p>
        </w:tc>
        <w:tc>
          <w:tcPr>
            <w:tcW w:w="272" w:type="dxa"/>
            <w:tcBorders>
              <w:top w:val="nil"/>
              <w:left w:val="nil"/>
              <w:bottom w:val="nil"/>
              <w:right w:val="nil"/>
            </w:tcBorders>
            <w:shd w:val="clear" w:color="auto" w:fill="auto"/>
            <w:noWrap/>
            <w:vAlign w:val="bottom"/>
            <w:hideMark/>
          </w:tcPr>
          <w:p w14:paraId="517EFCB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0FB24AE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(1,037)</w:t>
            </w:r>
          </w:p>
        </w:tc>
        <w:tc>
          <w:tcPr>
            <w:tcW w:w="272" w:type="dxa"/>
            <w:tcBorders>
              <w:top w:val="nil"/>
              <w:left w:val="nil"/>
              <w:bottom w:val="nil"/>
              <w:right w:val="nil"/>
            </w:tcBorders>
            <w:shd w:val="clear" w:color="auto" w:fill="auto"/>
            <w:noWrap/>
            <w:vAlign w:val="bottom"/>
            <w:hideMark/>
          </w:tcPr>
          <w:p w14:paraId="45EF756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0E76C35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(1,834)</w:t>
            </w:r>
          </w:p>
        </w:tc>
      </w:tr>
      <w:tr w:rsidR="009842B4" w:rsidRPr="009842B4" w14:paraId="76915BA6" w14:textId="77777777" w:rsidTr="00226E2E">
        <w:trPr>
          <w:trHeight w:val="308"/>
        </w:trPr>
        <w:tc>
          <w:tcPr>
            <w:tcW w:w="5760" w:type="dxa"/>
            <w:tcBorders>
              <w:top w:val="nil"/>
              <w:left w:val="nil"/>
              <w:bottom w:val="nil"/>
              <w:right w:val="nil"/>
            </w:tcBorders>
            <w:shd w:val="clear" w:color="auto" w:fill="auto"/>
            <w:vAlign w:val="bottom"/>
            <w:hideMark/>
          </w:tcPr>
          <w:p w14:paraId="4849A25B"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Accounts payable</w:t>
            </w:r>
          </w:p>
        </w:tc>
        <w:tc>
          <w:tcPr>
            <w:tcW w:w="1027" w:type="dxa"/>
            <w:tcBorders>
              <w:top w:val="nil"/>
              <w:left w:val="nil"/>
              <w:bottom w:val="nil"/>
              <w:right w:val="nil"/>
            </w:tcBorders>
            <w:shd w:val="clear" w:color="auto" w:fill="auto"/>
            <w:noWrap/>
            <w:vAlign w:val="bottom"/>
            <w:hideMark/>
          </w:tcPr>
          <w:p w14:paraId="4BE6676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3,026 </w:t>
            </w:r>
          </w:p>
        </w:tc>
        <w:tc>
          <w:tcPr>
            <w:tcW w:w="272" w:type="dxa"/>
            <w:tcBorders>
              <w:top w:val="nil"/>
              <w:left w:val="nil"/>
              <w:bottom w:val="nil"/>
              <w:right w:val="nil"/>
            </w:tcBorders>
            <w:shd w:val="clear" w:color="auto" w:fill="auto"/>
            <w:noWrap/>
            <w:vAlign w:val="bottom"/>
            <w:hideMark/>
          </w:tcPr>
          <w:p w14:paraId="6118EAC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3F39569"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1,264 </w:t>
            </w:r>
          </w:p>
        </w:tc>
        <w:tc>
          <w:tcPr>
            <w:tcW w:w="272" w:type="dxa"/>
            <w:tcBorders>
              <w:top w:val="nil"/>
              <w:left w:val="nil"/>
              <w:bottom w:val="nil"/>
              <w:right w:val="nil"/>
            </w:tcBorders>
            <w:shd w:val="clear" w:color="auto" w:fill="auto"/>
            <w:noWrap/>
            <w:vAlign w:val="bottom"/>
            <w:hideMark/>
          </w:tcPr>
          <w:p w14:paraId="02B78AB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650DFA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3,018 </w:t>
            </w:r>
          </w:p>
        </w:tc>
        <w:tc>
          <w:tcPr>
            <w:tcW w:w="272" w:type="dxa"/>
            <w:tcBorders>
              <w:top w:val="nil"/>
              <w:left w:val="nil"/>
              <w:bottom w:val="nil"/>
              <w:right w:val="nil"/>
            </w:tcBorders>
            <w:shd w:val="clear" w:color="auto" w:fill="auto"/>
            <w:noWrap/>
            <w:vAlign w:val="bottom"/>
            <w:hideMark/>
          </w:tcPr>
          <w:p w14:paraId="77A0CF5A"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6F3F9DB0"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232 </w:t>
            </w:r>
          </w:p>
        </w:tc>
      </w:tr>
      <w:tr w:rsidR="009842B4" w:rsidRPr="009842B4" w14:paraId="79FE9824" w14:textId="77777777" w:rsidTr="00226E2E">
        <w:trPr>
          <w:trHeight w:val="308"/>
        </w:trPr>
        <w:tc>
          <w:tcPr>
            <w:tcW w:w="5760" w:type="dxa"/>
            <w:tcBorders>
              <w:top w:val="nil"/>
              <w:left w:val="nil"/>
              <w:bottom w:val="nil"/>
              <w:right w:val="nil"/>
            </w:tcBorders>
            <w:shd w:val="clear" w:color="auto" w:fill="auto"/>
            <w:vAlign w:val="bottom"/>
            <w:hideMark/>
          </w:tcPr>
          <w:p w14:paraId="4175F31B"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Unearned revenue</w:t>
            </w:r>
          </w:p>
        </w:tc>
        <w:tc>
          <w:tcPr>
            <w:tcW w:w="1027" w:type="dxa"/>
            <w:tcBorders>
              <w:top w:val="nil"/>
              <w:left w:val="nil"/>
              <w:bottom w:val="nil"/>
              <w:right w:val="nil"/>
            </w:tcBorders>
            <w:shd w:val="clear" w:color="auto" w:fill="auto"/>
            <w:noWrap/>
            <w:vAlign w:val="bottom"/>
            <w:hideMark/>
          </w:tcPr>
          <w:p w14:paraId="64FC19C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8,776 </w:t>
            </w:r>
          </w:p>
        </w:tc>
        <w:tc>
          <w:tcPr>
            <w:tcW w:w="272" w:type="dxa"/>
            <w:tcBorders>
              <w:top w:val="nil"/>
              <w:left w:val="nil"/>
              <w:bottom w:val="nil"/>
              <w:right w:val="nil"/>
            </w:tcBorders>
            <w:shd w:val="clear" w:color="auto" w:fill="auto"/>
            <w:noWrap/>
            <w:vAlign w:val="bottom"/>
            <w:hideMark/>
          </w:tcPr>
          <w:p w14:paraId="36754E9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D53ECC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9,005 </w:t>
            </w:r>
          </w:p>
        </w:tc>
        <w:tc>
          <w:tcPr>
            <w:tcW w:w="272" w:type="dxa"/>
            <w:tcBorders>
              <w:top w:val="nil"/>
              <w:left w:val="nil"/>
              <w:bottom w:val="nil"/>
              <w:right w:val="nil"/>
            </w:tcBorders>
            <w:shd w:val="clear" w:color="auto" w:fill="auto"/>
            <w:noWrap/>
            <w:vAlign w:val="bottom"/>
            <w:hideMark/>
          </w:tcPr>
          <w:p w14:paraId="27AED7B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79978B3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2,212 </w:t>
            </w:r>
          </w:p>
        </w:tc>
        <w:tc>
          <w:tcPr>
            <w:tcW w:w="272" w:type="dxa"/>
            <w:tcBorders>
              <w:top w:val="nil"/>
              <w:left w:val="nil"/>
              <w:bottom w:val="nil"/>
              <w:right w:val="nil"/>
            </w:tcBorders>
            <w:shd w:val="clear" w:color="auto" w:fill="auto"/>
            <w:noWrap/>
            <w:vAlign w:val="bottom"/>
            <w:hideMark/>
          </w:tcPr>
          <w:p w14:paraId="45C5564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3E8B1DA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4,462 </w:t>
            </w:r>
          </w:p>
        </w:tc>
      </w:tr>
      <w:tr w:rsidR="009842B4" w:rsidRPr="009842B4" w14:paraId="5D7CCA42" w14:textId="77777777" w:rsidTr="00226E2E">
        <w:trPr>
          <w:trHeight w:val="308"/>
        </w:trPr>
        <w:tc>
          <w:tcPr>
            <w:tcW w:w="5760" w:type="dxa"/>
            <w:tcBorders>
              <w:top w:val="nil"/>
              <w:left w:val="nil"/>
              <w:bottom w:val="nil"/>
              <w:right w:val="nil"/>
            </w:tcBorders>
            <w:shd w:val="clear" w:color="auto" w:fill="auto"/>
            <w:vAlign w:val="bottom"/>
            <w:hideMark/>
          </w:tcPr>
          <w:p w14:paraId="371F878D"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Income taxes</w:t>
            </w:r>
          </w:p>
        </w:tc>
        <w:tc>
          <w:tcPr>
            <w:tcW w:w="1027" w:type="dxa"/>
            <w:tcBorders>
              <w:top w:val="nil"/>
              <w:left w:val="nil"/>
              <w:bottom w:val="nil"/>
              <w:right w:val="nil"/>
            </w:tcBorders>
            <w:shd w:val="clear" w:color="auto" w:fill="auto"/>
            <w:noWrap/>
            <w:vAlign w:val="bottom"/>
            <w:hideMark/>
          </w:tcPr>
          <w:p w14:paraId="4FA00A6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(589)</w:t>
            </w:r>
          </w:p>
        </w:tc>
        <w:tc>
          <w:tcPr>
            <w:tcW w:w="272" w:type="dxa"/>
            <w:tcBorders>
              <w:top w:val="nil"/>
              <w:left w:val="nil"/>
              <w:bottom w:val="nil"/>
              <w:right w:val="nil"/>
            </w:tcBorders>
            <w:shd w:val="clear" w:color="auto" w:fill="auto"/>
            <w:noWrap/>
            <w:vAlign w:val="bottom"/>
            <w:hideMark/>
          </w:tcPr>
          <w:p w14:paraId="49BC1DF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0D71D18"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3,808 </w:t>
            </w:r>
          </w:p>
        </w:tc>
        <w:tc>
          <w:tcPr>
            <w:tcW w:w="272" w:type="dxa"/>
            <w:tcBorders>
              <w:top w:val="nil"/>
              <w:left w:val="nil"/>
              <w:bottom w:val="nil"/>
              <w:right w:val="nil"/>
            </w:tcBorders>
            <w:shd w:val="clear" w:color="auto" w:fill="auto"/>
            <w:noWrap/>
            <w:vAlign w:val="bottom"/>
            <w:hideMark/>
          </w:tcPr>
          <w:p w14:paraId="678405AC"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4EDA7D2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(3,631)</w:t>
            </w:r>
          </w:p>
        </w:tc>
        <w:tc>
          <w:tcPr>
            <w:tcW w:w="272" w:type="dxa"/>
            <w:tcBorders>
              <w:top w:val="nil"/>
              <w:left w:val="nil"/>
              <w:bottom w:val="nil"/>
              <w:right w:val="nil"/>
            </w:tcBorders>
            <w:shd w:val="clear" w:color="auto" w:fill="auto"/>
            <w:noWrap/>
            <w:vAlign w:val="bottom"/>
            <w:hideMark/>
          </w:tcPr>
          <w:p w14:paraId="2F007A6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06428C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2,929 </w:t>
            </w:r>
          </w:p>
        </w:tc>
      </w:tr>
      <w:tr w:rsidR="009842B4" w:rsidRPr="009842B4" w14:paraId="666C59F4" w14:textId="77777777" w:rsidTr="00226E2E">
        <w:trPr>
          <w:trHeight w:val="308"/>
        </w:trPr>
        <w:tc>
          <w:tcPr>
            <w:tcW w:w="5760" w:type="dxa"/>
            <w:tcBorders>
              <w:top w:val="nil"/>
              <w:left w:val="nil"/>
              <w:bottom w:val="nil"/>
              <w:right w:val="nil"/>
            </w:tcBorders>
            <w:shd w:val="clear" w:color="auto" w:fill="auto"/>
            <w:vAlign w:val="bottom"/>
            <w:hideMark/>
          </w:tcPr>
          <w:p w14:paraId="176824C3"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Other current liabilities</w:t>
            </w:r>
          </w:p>
        </w:tc>
        <w:tc>
          <w:tcPr>
            <w:tcW w:w="1027" w:type="dxa"/>
            <w:tcBorders>
              <w:top w:val="nil"/>
              <w:left w:val="nil"/>
              <w:bottom w:val="nil"/>
              <w:right w:val="nil"/>
            </w:tcBorders>
            <w:shd w:val="clear" w:color="auto" w:fill="auto"/>
            <w:noWrap/>
            <w:vAlign w:val="bottom"/>
            <w:hideMark/>
          </w:tcPr>
          <w:p w14:paraId="11571E1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2,482 </w:t>
            </w:r>
          </w:p>
        </w:tc>
        <w:tc>
          <w:tcPr>
            <w:tcW w:w="272" w:type="dxa"/>
            <w:tcBorders>
              <w:top w:val="nil"/>
              <w:left w:val="nil"/>
              <w:bottom w:val="nil"/>
              <w:right w:val="nil"/>
            </w:tcBorders>
            <w:shd w:val="clear" w:color="auto" w:fill="auto"/>
            <w:noWrap/>
            <w:vAlign w:val="bottom"/>
            <w:hideMark/>
          </w:tcPr>
          <w:p w14:paraId="562921C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300D01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2,436 </w:t>
            </w:r>
          </w:p>
        </w:tc>
        <w:tc>
          <w:tcPr>
            <w:tcW w:w="272" w:type="dxa"/>
            <w:tcBorders>
              <w:top w:val="nil"/>
              <w:left w:val="nil"/>
              <w:bottom w:val="nil"/>
              <w:right w:val="nil"/>
            </w:tcBorders>
            <w:shd w:val="clear" w:color="auto" w:fill="auto"/>
            <w:noWrap/>
            <w:vAlign w:val="bottom"/>
            <w:hideMark/>
          </w:tcPr>
          <w:p w14:paraId="513AE5A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B8A255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1,346 </w:t>
            </w:r>
          </w:p>
        </w:tc>
        <w:tc>
          <w:tcPr>
            <w:tcW w:w="272" w:type="dxa"/>
            <w:tcBorders>
              <w:top w:val="nil"/>
              <w:left w:val="nil"/>
              <w:bottom w:val="nil"/>
              <w:right w:val="nil"/>
            </w:tcBorders>
            <w:shd w:val="clear" w:color="auto" w:fill="auto"/>
            <w:noWrap/>
            <w:vAlign w:val="bottom"/>
            <w:hideMark/>
          </w:tcPr>
          <w:p w14:paraId="5DC694DA"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264955C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1,419 </w:t>
            </w:r>
          </w:p>
        </w:tc>
      </w:tr>
      <w:tr w:rsidR="009842B4" w:rsidRPr="009842B4" w14:paraId="7576E592" w14:textId="77777777" w:rsidTr="00226E2E">
        <w:trPr>
          <w:trHeight w:val="308"/>
        </w:trPr>
        <w:tc>
          <w:tcPr>
            <w:tcW w:w="5760" w:type="dxa"/>
            <w:tcBorders>
              <w:top w:val="nil"/>
              <w:left w:val="nil"/>
              <w:bottom w:val="single" w:sz="4" w:space="0" w:color="auto"/>
              <w:right w:val="nil"/>
            </w:tcBorders>
            <w:shd w:val="clear" w:color="auto" w:fill="auto"/>
            <w:noWrap/>
            <w:vAlign w:val="bottom"/>
            <w:hideMark/>
          </w:tcPr>
          <w:p w14:paraId="65C3DB5A"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Other long-term liabilities</w:t>
            </w:r>
          </w:p>
        </w:tc>
        <w:tc>
          <w:tcPr>
            <w:tcW w:w="1027" w:type="dxa"/>
            <w:tcBorders>
              <w:top w:val="nil"/>
              <w:left w:val="nil"/>
              <w:bottom w:val="single" w:sz="4" w:space="0" w:color="auto"/>
              <w:right w:val="nil"/>
            </w:tcBorders>
            <w:shd w:val="clear" w:color="auto" w:fill="auto"/>
            <w:noWrap/>
            <w:vAlign w:val="bottom"/>
            <w:hideMark/>
          </w:tcPr>
          <w:p w14:paraId="25C2F34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623 </w:t>
            </w:r>
          </w:p>
        </w:tc>
        <w:tc>
          <w:tcPr>
            <w:tcW w:w="272" w:type="dxa"/>
            <w:tcBorders>
              <w:top w:val="nil"/>
              <w:left w:val="nil"/>
              <w:bottom w:val="nil"/>
              <w:right w:val="nil"/>
            </w:tcBorders>
            <w:shd w:val="clear" w:color="auto" w:fill="auto"/>
            <w:noWrap/>
            <w:vAlign w:val="bottom"/>
            <w:hideMark/>
          </w:tcPr>
          <w:p w14:paraId="42FA92C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21DD9C6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241 </w:t>
            </w:r>
          </w:p>
        </w:tc>
        <w:tc>
          <w:tcPr>
            <w:tcW w:w="272" w:type="dxa"/>
            <w:tcBorders>
              <w:top w:val="nil"/>
              <w:left w:val="nil"/>
              <w:bottom w:val="nil"/>
              <w:right w:val="nil"/>
            </w:tcBorders>
            <w:shd w:val="clear" w:color="auto" w:fill="auto"/>
            <w:noWrap/>
            <w:vAlign w:val="bottom"/>
            <w:hideMark/>
          </w:tcPr>
          <w:p w14:paraId="4DC7146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6965C71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1,348 </w:t>
            </w:r>
          </w:p>
        </w:tc>
        <w:tc>
          <w:tcPr>
            <w:tcW w:w="272" w:type="dxa"/>
            <w:tcBorders>
              <w:top w:val="nil"/>
              <w:left w:val="nil"/>
              <w:bottom w:val="nil"/>
              <w:right w:val="nil"/>
            </w:tcBorders>
            <w:shd w:val="clear" w:color="auto" w:fill="auto"/>
            <w:noWrap/>
            <w:vAlign w:val="bottom"/>
            <w:hideMark/>
          </w:tcPr>
          <w:p w14:paraId="0092E4B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1E5D1EE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591 </w:t>
            </w:r>
          </w:p>
        </w:tc>
      </w:tr>
      <w:tr w:rsidR="009842B4" w:rsidRPr="009842B4" w14:paraId="0B71C569" w14:textId="77777777" w:rsidTr="00226E2E">
        <w:trPr>
          <w:trHeight w:val="308"/>
        </w:trPr>
        <w:tc>
          <w:tcPr>
            <w:tcW w:w="5760" w:type="dxa"/>
            <w:tcBorders>
              <w:top w:val="nil"/>
              <w:left w:val="nil"/>
              <w:bottom w:val="single" w:sz="4" w:space="0" w:color="auto"/>
              <w:right w:val="nil"/>
            </w:tcBorders>
            <w:shd w:val="clear" w:color="auto" w:fill="auto"/>
            <w:vAlign w:val="bottom"/>
            <w:hideMark/>
          </w:tcPr>
          <w:p w14:paraId="6D520816"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Net cash from operations</w:t>
            </w:r>
          </w:p>
        </w:tc>
        <w:tc>
          <w:tcPr>
            <w:tcW w:w="1027" w:type="dxa"/>
            <w:tcBorders>
              <w:top w:val="nil"/>
              <w:left w:val="nil"/>
              <w:bottom w:val="single" w:sz="4" w:space="0" w:color="auto"/>
              <w:right w:val="nil"/>
            </w:tcBorders>
            <w:shd w:val="clear" w:color="auto" w:fill="auto"/>
            <w:noWrap/>
            <w:vAlign w:val="bottom"/>
            <w:hideMark/>
          </w:tcPr>
          <w:p w14:paraId="7F0D27C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18,673 </w:t>
            </w:r>
          </w:p>
        </w:tc>
        <w:tc>
          <w:tcPr>
            <w:tcW w:w="272" w:type="dxa"/>
            <w:tcBorders>
              <w:top w:val="nil"/>
              <w:left w:val="nil"/>
              <w:bottom w:val="nil"/>
              <w:right w:val="nil"/>
            </w:tcBorders>
            <w:shd w:val="clear" w:color="auto" w:fill="auto"/>
            <w:noWrap/>
            <w:vAlign w:val="bottom"/>
            <w:hideMark/>
          </w:tcPr>
          <w:p w14:paraId="36BB096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4063A83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16,108 </w:t>
            </w:r>
          </w:p>
        </w:tc>
        <w:tc>
          <w:tcPr>
            <w:tcW w:w="272" w:type="dxa"/>
            <w:tcBorders>
              <w:top w:val="nil"/>
              <w:left w:val="nil"/>
              <w:bottom w:val="nil"/>
              <w:right w:val="nil"/>
            </w:tcBorders>
            <w:shd w:val="clear" w:color="auto" w:fill="auto"/>
            <w:noWrap/>
            <w:vAlign w:val="bottom"/>
            <w:hideMark/>
          </w:tcPr>
          <w:p w14:paraId="4A3998A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1EA31C5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60,675 </w:t>
            </w:r>
          </w:p>
        </w:tc>
        <w:tc>
          <w:tcPr>
            <w:tcW w:w="272" w:type="dxa"/>
            <w:tcBorders>
              <w:top w:val="nil"/>
              <w:left w:val="nil"/>
              <w:bottom w:val="nil"/>
              <w:right w:val="nil"/>
            </w:tcBorders>
            <w:shd w:val="clear" w:color="auto" w:fill="auto"/>
            <w:noWrap/>
            <w:vAlign w:val="bottom"/>
            <w:hideMark/>
          </w:tcPr>
          <w:p w14:paraId="7283C46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441241C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52,185 </w:t>
            </w:r>
          </w:p>
        </w:tc>
      </w:tr>
      <w:tr w:rsidR="009842B4" w:rsidRPr="009842B4" w14:paraId="70E80E81" w14:textId="77777777" w:rsidTr="00226E2E">
        <w:trPr>
          <w:trHeight w:val="308"/>
        </w:trPr>
        <w:tc>
          <w:tcPr>
            <w:tcW w:w="5760" w:type="dxa"/>
            <w:tcBorders>
              <w:top w:val="nil"/>
              <w:left w:val="nil"/>
              <w:bottom w:val="nil"/>
              <w:right w:val="nil"/>
            </w:tcBorders>
            <w:shd w:val="clear" w:color="auto" w:fill="auto"/>
            <w:noWrap/>
            <w:vAlign w:val="bottom"/>
            <w:hideMark/>
          </w:tcPr>
          <w:p w14:paraId="26AF1261" w14:textId="77777777" w:rsidR="009842B4" w:rsidRPr="009842B4" w:rsidRDefault="009842B4" w:rsidP="009842B4">
            <w:pPr>
              <w:spacing w:after="0" w:line="240" w:lineRule="auto"/>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Financing</w:t>
            </w:r>
          </w:p>
        </w:tc>
        <w:tc>
          <w:tcPr>
            <w:tcW w:w="1027" w:type="dxa"/>
            <w:tcBorders>
              <w:top w:val="nil"/>
              <w:left w:val="nil"/>
              <w:bottom w:val="nil"/>
              <w:right w:val="nil"/>
            </w:tcBorders>
            <w:shd w:val="clear" w:color="auto" w:fill="auto"/>
            <w:noWrap/>
            <w:vAlign w:val="bottom"/>
            <w:hideMark/>
          </w:tcPr>
          <w:p w14:paraId="2560E6C9" w14:textId="77777777" w:rsidR="009842B4" w:rsidRPr="009842B4" w:rsidRDefault="009842B4" w:rsidP="009842B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18274CE"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54C7B6C3"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CBB2BF6"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03923D09"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C3C2C62"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6" w:type="dxa"/>
            <w:tcBorders>
              <w:top w:val="nil"/>
              <w:left w:val="nil"/>
              <w:bottom w:val="nil"/>
              <w:right w:val="nil"/>
            </w:tcBorders>
            <w:shd w:val="clear" w:color="auto" w:fill="auto"/>
            <w:noWrap/>
            <w:vAlign w:val="bottom"/>
            <w:hideMark/>
          </w:tcPr>
          <w:p w14:paraId="4B7F6239" w14:textId="77777777" w:rsidR="009842B4" w:rsidRPr="009842B4" w:rsidRDefault="009842B4" w:rsidP="009842B4">
            <w:pPr>
              <w:spacing w:after="0" w:line="240" w:lineRule="auto"/>
              <w:rPr>
                <w:rFonts w:ascii="Times New Roman" w:eastAsia="Times New Roman" w:hAnsi="Times New Roman"/>
                <w:sz w:val="20"/>
                <w:szCs w:val="20"/>
              </w:rPr>
            </w:pPr>
          </w:p>
        </w:tc>
      </w:tr>
      <w:tr w:rsidR="009842B4" w:rsidRPr="009842B4" w14:paraId="34834CF7" w14:textId="77777777" w:rsidTr="00226E2E">
        <w:trPr>
          <w:trHeight w:val="308"/>
        </w:trPr>
        <w:tc>
          <w:tcPr>
            <w:tcW w:w="5760" w:type="dxa"/>
            <w:tcBorders>
              <w:top w:val="nil"/>
              <w:left w:val="nil"/>
              <w:bottom w:val="nil"/>
              <w:right w:val="nil"/>
            </w:tcBorders>
            <w:shd w:val="clear" w:color="auto" w:fill="auto"/>
            <w:noWrap/>
            <w:vAlign w:val="bottom"/>
            <w:hideMark/>
          </w:tcPr>
          <w:p w14:paraId="118156FD"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Cash premium on debt exchange</w:t>
            </w:r>
          </w:p>
        </w:tc>
        <w:tc>
          <w:tcPr>
            <w:tcW w:w="1027" w:type="dxa"/>
            <w:tcBorders>
              <w:top w:val="nil"/>
              <w:left w:val="nil"/>
              <w:bottom w:val="nil"/>
              <w:right w:val="nil"/>
            </w:tcBorders>
            <w:shd w:val="clear" w:color="auto" w:fill="auto"/>
            <w:noWrap/>
            <w:vAlign w:val="bottom"/>
            <w:hideMark/>
          </w:tcPr>
          <w:p w14:paraId="29F2DF9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(3,417)</w:t>
            </w:r>
          </w:p>
        </w:tc>
        <w:tc>
          <w:tcPr>
            <w:tcW w:w="272" w:type="dxa"/>
            <w:tcBorders>
              <w:top w:val="nil"/>
              <w:left w:val="nil"/>
              <w:bottom w:val="nil"/>
              <w:right w:val="nil"/>
            </w:tcBorders>
            <w:shd w:val="clear" w:color="auto" w:fill="auto"/>
            <w:noWrap/>
            <w:vAlign w:val="bottom"/>
            <w:hideMark/>
          </w:tcPr>
          <w:p w14:paraId="65782F6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EBF0E7B"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129B67E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EED5C2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(3,417)</w:t>
            </w:r>
          </w:p>
        </w:tc>
        <w:tc>
          <w:tcPr>
            <w:tcW w:w="272" w:type="dxa"/>
            <w:tcBorders>
              <w:top w:val="nil"/>
              <w:left w:val="nil"/>
              <w:bottom w:val="nil"/>
              <w:right w:val="nil"/>
            </w:tcBorders>
            <w:shd w:val="clear" w:color="auto" w:fill="auto"/>
            <w:noWrap/>
            <w:vAlign w:val="bottom"/>
            <w:hideMark/>
          </w:tcPr>
          <w:p w14:paraId="22F6666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61C3EDB6"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0 </w:t>
            </w:r>
          </w:p>
        </w:tc>
      </w:tr>
      <w:tr w:rsidR="009842B4" w:rsidRPr="009842B4" w14:paraId="5987DF3D" w14:textId="77777777" w:rsidTr="00226E2E">
        <w:trPr>
          <w:trHeight w:val="308"/>
        </w:trPr>
        <w:tc>
          <w:tcPr>
            <w:tcW w:w="5760" w:type="dxa"/>
            <w:tcBorders>
              <w:top w:val="nil"/>
              <w:left w:val="nil"/>
              <w:bottom w:val="nil"/>
              <w:right w:val="nil"/>
            </w:tcBorders>
            <w:shd w:val="clear" w:color="auto" w:fill="auto"/>
            <w:vAlign w:val="bottom"/>
            <w:hideMark/>
          </w:tcPr>
          <w:p w14:paraId="2C2C5E26"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Repayments of debt</w:t>
            </w:r>
          </w:p>
        </w:tc>
        <w:tc>
          <w:tcPr>
            <w:tcW w:w="1027" w:type="dxa"/>
            <w:tcBorders>
              <w:top w:val="nil"/>
              <w:left w:val="nil"/>
              <w:bottom w:val="nil"/>
              <w:right w:val="nil"/>
            </w:tcBorders>
            <w:shd w:val="clear" w:color="auto" w:fill="auto"/>
            <w:noWrap/>
            <w:vAlign w:val="bottom"/>
            <w:hideMark/>
          </w:tcPr>
          <w:p w14:paraId="3D24970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3FC3668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4641013D"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(1,000)</w:t>
            </w:r>
          </w:p>
        </w:tc>
        <w:tc>
          <w:tcPr>
            <w:tcW w:w="272" w:type="dxa"/>
            <w:tcBorders>
              <w:top w:val="nil"/>
              <w:left w:val="nil"/>
              <w:bottom w:val="nil"/>
              <w:right w:val="nil"/>
            </w:tcBorders>
            <w:shd w:val="clear" w:color="auto" w:fill="auto"/>
            <w:noWrap/>
            <w:vAlign w:val="bottom"/>
            <w:hideMark/>
          </w:tcPr>
          <w:p w14:paraId="46D963D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1CD8116A"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(5,518)</w:t>
            </w:r>
          </w:p>
        </w:tc>
        <w:tc>
          <w:tcPr>
            <w:tcW w:w="272" w:type="dxa"/>
            <w:tcBorders>
              <w:top w:val="nil"/>
              <w:left w:val="nil"/>
              <w:bottom w:val="nil"/>
              <w:right w:val="nil"/>
            </w:tcBorders>
            <w:shd w:val="clear" w:color="auto" w:fill="auto"/>
            <w:noWrap/>
            <w:vAlign w:val="bottom"/>
            <w:hideMark/>
          </w:tcPr>
          <w:p w14:paraId="2820CEF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0DB0FA88"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(4,000)</w:t>
            </w:r>
          </w:p>
        </w:tc>
      </w:tr>
      <w:tr w:rsidR="009842B4" w:rsidRPr="009842B4" w14:paraId="3432C889" w14:textId="77777777" w:rsidTr="00226E2E">
        <w:trPr>
          <w:trHeight w:val="308"/>
        </w:trPr>
        <w:tc>
          <w:tcPr>
            <w:tcW w:w="5760" w:type="dxa"/>
            <w:tcBorders>
              <w:top w:val="nil"/>
              <w:left w:val="nil"/>
              <w:bottom w:val="nil"/>
              <w:right w:val="nil"/>
            </w:tcBorders>
            <w:shd w:val="clear" w:color="auto" w:fill="auto"/>
            <w:noWrap/>
            <w:vAlign w:val="bottom"/>
            <w:hideMark/>
          </w:tcPr>
          <w:p w14:paraId="4C8C0AF7"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Common stock issued</w:t>
            </w:r>
          </w:p>
        </w:tc>
        <w:tc>
          <w:tcPr>
            <w:tcW w:w="1027" w:type="dxa"/>
            <w:tcBorders>
              <w:top w:val="nil"/>
              <w:left w:val="nil"/>
              <w:bottom w:val="nil"/>
              <w:right w:val="nil"/>
            </w:tcBorders>
            <w:shd w:val="clear" w:color="auto" w:fill="auto"/>
            <w:noWrap/>
            <w:vAlign w:val="bottom"/>
            <w:hideMark/>
          </w:tcPr>
          <w:p w14:paraId="338D7D7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340 </w:t>
            </w:r>
          </w:p>
        </w:tc>
        <w:tc>
          <w:tcPr>
            <w:tcW w:w="272" w:type="dxa"/>
            <w:tcBorders>
              <w:top w:val="nil"/>
              <w:left w:val="nil"/>
              <w:bottom w:val="nil"/>
              <w:right w:val="nil"/>
            </w:tcBorders>
            <w:shd w:val="clear" w:color="auto" w:fill="auto"/>
            <w:noWrap/>
            <w:vAlign w:val="bottom"/>
            <w:hideMark/>
          </w:tcPr>
          <w:p w14:paraId="5613595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F56EB9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308 </w:t>
            </w:r>
          </w:p>
        </w:tc>
        <w:tc>
          <w:tcPr>
            <w:tcW w:w="272" w:type="dxa"/>
            <w:tcBorders>
              <w:top w:val="nil"/>
              <w:left w:val="nil"/>
              <w:bottom w:val="nil"/>
              <w:right w:val="nil"/>
            </w:tcBorders>
            <w:shd w:val="clear" w:color="auto" w:fill="auto"/>
            <w:noWrap/>
            <w:vAlign w:val="bottom"/>
            <w:hideMark/>
          </w:tcPr>
          <w:p w14:paraId="049803C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56D5A48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1,343 </w:t>
            </w:r>
          </w:p>
        </w:tc>
        <w:tc>
          <w:tcPr>
            <w:tcW w:w="272" w:type="dxa"/>
            <w:tcBorders>
              <w:top w:val="nil"/>
              <w:left w:val="nil"/>
              <w:bottom w:val="nil"/>
              <w:right w:val="nil"/>
            </w:tcBorders>
            <w:shd w:val="clear" w:color="auto" w:fill="auto"/>
            <w:noWrap/>
            <w:vAlign w:val="bottom"/>
            <w:hideMark/>
          </w:tcPr>
          <w:p w14:paraId="5D16F5C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54E0192D"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1,142 </w:t>
            </w:r>
          </w:p>
        </w:tc>
      </w:tr>
      <w:tr w:rsidR="009842B4" w:rsidRPr="009842B4" w14:paraId="6723EEA3" w14:textId="77777777" w:rsidTr="00226E2E">
        <w:trPr>
          <w:trHeight w:val="308"/>
        </w:trPr>
        <w:tc>
          <w:tcPr>
            <w:tcW w:w="5760" w:type="dxa"/>
            <w:tcBorders>
              <w:top w:val="nil"/>
              <w:left w:val="nil"/>
              <w:bottom w:val="nil"/>
              <w:right w:val="nil"/>
            </w:tcBorders>
            <w:shd w:val="clear" w:color="auto" w:fill="auto"/>
            <w:noWrap/>
            <w:vAlign w:val="bottom"/>
            <w:hideMark/>
          </w:tcPr>
          <w:p w14:paraId="1B440CE8"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Common stock repurchased</w:t>
            </w:r>
          </w:p>
        </w:tc>
        <w:tc>
          <w:tcPr>
            <w:tcW w:w="1027" w:type="dxa"/>
            <w:tcBorders>
              <w:top w:val="nil"/>
              <w:left w:val="nil"/>
              <w:bottom w:val="nil"/>
              <w:right w:val="nil"/>
            </w:tcBorders>
            <w:shd w:val="clear" w:color="auto" w:fill="auto"/>
            <w:noWrap/>
            <w:vAlign w:val="bottom"/>
            <w:hideMark/>
          </w:tcPr>
          <w:p w14:paraId="1CAFF1A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(5,791)</w:t>
            </w:r>
          </w:p>
        </w:tc>
        <w:tc>
          <w:tcPr>
            <w:tcW w:w="272" w:type="dxa"/>
            <w:tcBorders>
              <w:top w:val="nil"/>
              <w:left w:val="nil"/>
              <w:bottom w:val="nil"/>
              <w:right w:val="nil"/>
            </w:tcBorders>
            <w:shd w:val="clear" w:color="auto" w:fill="auto"/>
            <w:noWrap/>
            <w:vAlign w:val="bottom"/>
            <w:hideMark/>
          </w:tcPr>
          <w:p w14:paraId="24D6778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2B5149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(4,633)</w:t>
            </w:r>
          </w:p>
        </w:tc>
        <w:tc>
          <w:tcPr>
            <w:tcW w:w="272" w:type="dxa"/>
            <w:tcBorders>
              <w:top w:val="nil"/>
              <w:left w:val="nil"/>
              <w:bottom w:val="nil"/>
              <w:right w:val="nil"/>
            </w:tcBorders>
            <w:shd w:val="clear" w:color="auto" w:fill="auto"/>
            <w:noWrap/>
            <w:vAlign w:val="bottom"/>
            <w:hideMark/>
          </w:tcPr>
          <w:p w14:paraId="07E2EF4C"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802EA5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(22,968)</w:t>
            </w:r>
          </w:p>
        </w:tc>
        <w:tc>
          <w:tcPr>
            <w:tcW w:w="272" w:type="dxa"/>
            <w:tcBorders>
              <w:top w:val="nil"/>
              <w:left w:val="nil"/>
              <w:bottom w:val="nil"/>
              <w:right w:val="nil"/>
            </w:tcBorders>
            <w:shd w:val="clear" w:color="auto" w:fill="auto"/>
            <w:noWrap/>
            <w:vAlign w:val="bottom"/>
            <w:hideMark/>
          </w:tcPr>
          <w:p w14:paraId="12E3BF47"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62DD3D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(19,543)</w:t>
            </w:r>
          </w:p>
        </w:tc>
      </w:tr>
      <w:tr w:rsidR="009842B4" w:rsidRPr="009842B4" w14:paraId="372A5FA3" w14:textId="77777777" w:rsidTr="00226E2E">
        <w:trPr>
          <w:trHeight w:val="308"/>
        </w:trPr>
        <w:tc>
          <w:tcPr>
            <w:tcW w:w="5760" w:type="dxa"/>
            <w:tcBorders>
              <w:top w:val="nil"/>
              <w:left w:val="nil"/>
              <w:bottom w:val="nil"/>
              <w:right w:val="nil"/>
            </w:tcBorders>
            <w:shd w:val="clear" w:color="auto" w:fill="auto"/>
            <w:noWrap/>
            <w:vAlign w:val="bottom"/>
            <w:hideMark/>
          </w:tcPr>
          <w:p w14:paraId="6886CAC3"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Common stock cash dividends paid</w:t>
            </w:r>
          </w:p>
        </w:tc>
        <w:tc>
          <w:tcPr>
            <w:tcW w:w="1027" w:type="dxa"/>
            <w:tcBorders>
              <w:top w:val="nil"/>
              <w:left w:val="nil"/>
              <w:bottom w:val="nil"/>
              <w:right w:val="nil"/>
            </w:tcBorders>
            <w:shd w:val="clear" w:color="auto" w:fill="auto"/>
            <w:noWrap/>
            <w:vAlign w:val="bottom"/>
            <w:hideMark/>
          </w:tcPr>
          <w:p w14:paraId="161D9C1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(3,865)</w:t>
            </w:r>
          </w:p>
        </w:tc>
        <w:tc>
          <w:tcPr>
            <w:tcW w:w="272" w:type="dxa"/>
            <w:tcBorders>
              <w:top w:val="nil"/>
              <w:left w:val="nil"/>
              <w:bottom w:val="nil"/>
              <w:right w:val="nil"/>
            </w:tcBorders>
            <w:shd w:val="clear" w:color="auto" w:fill="auto"/>
            <w:noWrap/>
            <w:vAlign w:val="bottom"/>
            <w:hideMark/>
          </w:tcPr>
          <w:p w14:paraId="08FA04D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7A9931F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(3,521)</w:t>
            </w:r>
          </w:p>
        </w:tc>
        <w:tc>
          <w:tcPr>
            <w:tcW w:w="272" w:type="dxa"/>
            <w:tcBorders>
              <w:top w:val="nil"/>
              <w:left w:val="nil"/>
              <w:bottom w:val="nil"/>
              <w:right w:val="nil"/>
            </w:tcBorders>
            <w:shd w:val="clear" w:color="auto" w:fill="auto"/>
            <w:noWrap/>
            <w:vAlign w:val="bottom"/>
            <w:hideMark/>
          </w:tcPr>
          <w:p w14:paraId="621F3DA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38D16F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(15,137)</w:t>
            </w:r>
          </w:p>
        </w:tc>
        <w:tc>
          <w:tcPr>
            <w:tcW w:w="272" w:type="dxa"/>
            <w:tcBorders>
              <w:top w:val="nil"/>
              <w:left w:val="nil"/>
              <w:bottom w:val="nil"/>
              <w:right w:val="nil"/>
            </w:tcBorders>
            <w:shd w:val="clear" w:color="auto" w:fill="auto"/>
            <w:noWrap/>
            <w:vAlign w:val="bottom"/>
            <w:hideMark/>
          </w:tcPr>
          <w:p w14:paraId="36B7FA9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B16724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(13,811)</w:t>
            </w:r>
          </w:p>
        </w:tc>
      </w:tr>
      <w:tr w:rsidR="009842B4" w:rsidRPr="009842B4" w14:paraId="5A48AF1F" w14:textId="77777777" w:rsidTr="00226E2E">
        <w:trPr>
          <w:trHeight w:val="308"/>
        </w:trPr>
        <w:tc>
          <w:tcPr>
            <w:tcW w:w="5760" w:type="dxa"/>
            <w:tcBorders>
              <w:top w:val="nil"/>
              <w:left w:val="nil"/>
              <w:bottom w:val="single" w:sz="4" w:space="0" w:color="auto"/>
              <w:right w:val="nil"/>
            </w:tcBorders>
            <w:shd w:val="clear" w:color="auto" w:fill="auto"/>
            <w:vAlign w:val="bottom"/>
            <w:hideMark/>
          </w:tcPr>
          <w:p w14:paraId="6FA3CE3F"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Other, net</w:t>
            </w:r>
          </w:p>
        </w:tc>
        <w:tc>
          <w:tcPr>
            <w:tcW w:w="1027" w:type="dxa"/>
            <w:tcBorders>
              <w:top w:val="nil"/>
              <w:left w:val="nil"/>
              <w:bottom w:val="single" w:sz="4" w:space="0" w:color="auto"/>
              <w:right w:val="nil"/>
            </w:tcBorders>
            <w:shd w:val="clear" w:color="auto" w:fill="auto"/>
            <w:noWrap/>
            <w:vAlign w:val="bottom"/>
            <w:hideMark/>
          </w:tcPr>
          <w:p w14:paraId="7A2C458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471 </w:t>
            </w:r>
          </w:p>
        </w:tc>
        <w:tc>
          <w:tcPr>
            <w:tcW w:w="272" w:type="dxa"/>
            <w:tcBorders>
              <w:top w:val="nil"/>
              <w:left w:val="nil"/>
              <w:bottom w:val="nil"/>
              <w:right w:val="nil"/>
            </w:tcBorders>
            <w:shd w:val="clear" w:color="auto" w:fill="auto"/>
            <w:noWrap/>
            <w:vAlign w:val="bottom"/>
            <w:hideMark/>
          </w:tcPr>
          <w:p w14:paraId="0F73B1E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647C690B"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160 </w:t>
            </w:r>
          </w:p>
        </w:tc>
        <w:tc>
          <w:tcPr>
            <w:tcW w:w="272" w:type="dxa"/>
            <w:tcBorders>
              <w:top w:val="nil"/>
              <w:left w:val="nil"/>
              <w:bottom w:val="nil"/>
              <w:right w:val="nil"/>
            </w:tcBorders>
            <w:shd w:val="clear" w:color="auto" w:fill="auto"/>
            <w:noWrap/>
            <w:vAlign w:val="bottom"/>
            <w:hideMark/>
          </w:tcPr>
          <w:p w14:paraId="13D6B67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2F21F90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(334)</w:t>
            </w:r>
          </w:p>
        </w:tc>
        <w:tc>
          <w:tcPr>
            <w:tcW w:w="272" w:type="dxa"/>
            <w:tcBorders>
              <w:top w:val="nil"/>
              <w:left w:val="nil"/>
              <w:bottom w:val="nil"/>
              <w:right w:val="nil"/>
            </w:tcBorders>
            <w:shd w:val="clear" w:color="auto" w:fill="auto"/>
            <w:noWrap/>
            <w:vAlign w:val="bottom"/>
            <w:hideMark/>
          </w:tcPr>
          <w:p w14:paraId="455B2B3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5595436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(675)</w:t>
            </w:r>
          </w:p>
        </w:tc>
      </w:tr>
      <w:tr w:rsidR="009842B4" w:rsidRPr="009842B4" w14:paraId="6D612F83" w14:textId="77777777" w:rsidTr="00226E2E">
        <w:trPr>
          <w:trHeight w:val="308"/>
        </w:trPr>
        <w:tc>
          <w:tcPr>
            <w:tcW w:w="5760" w:type="dxa"/>
            <w:tcBorders>
              <w:top w:val="nil"/>
              <w:left w:val="nil"/>
              <w:bottom w:val="single" w:sz="4" w:space="0" w:color="auto"/>
              <w:right w:val="nil"/>
            </w:tcBorders>
            <w:shd w:val="clear" w:color="auto" w:fill="auto"/>
            <w:vAlign w:val="bottom"/>
            <w:hideMark/>
          </w:tcPr>
          <w:p w14:paraId="31732223"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Net cash used in financing</w:t>
            </w:r>
          </w:p>
        </w:tc>
        <w:tc>
          <w:tcPr>
            <w:tcW w:w="1027" w:type="dxa"/>
            <w:tcBorders>
              <w:top w:val="nil"/>
              <w:left w:val="nil"/>
              <w:bottom w:val="single" w:sz="4" w:space="0" w:color="auto"/>
              <w:right w:val="nil"/>
            </w:tcBorders>
            <w:shd w:val="clear" w:color="auto" w:fill="auto"/>
            <w:noWrap/>
            <w:vAlign w:val="bottom"/>
            <w:hideMark/>
          </w:tcPr>
          <w:p w14:paraId="28F1657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(12,262)</w:t>
            </w:r>
          </w:p>
        </w:tc>
        <w:tc>
          <w:tcPr>
            <w:tcW w:w="272" w:type="dxa"/>
            <w:tcBorders>
              <w:top w:val="nil"/>
              <w:left w:val="nil"/>
              <w:bottom w:val="nil"/>
              <w:right w:val="nil"/>
            </w:tcBorders>
            <w:shd w:val="clear" w:color="auto" w:fill="auto"/>
            <w:noWrap/>
            <w:vAlign w:val="bottom"/>
            <w:hideMark/>
          </w:tcPr>
          <w:p w14:paraId="4FCD79E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18C9F18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(8,686)</w:t>
            </w:r>
          </w:p>
        </w:tc>
        <w:tc>
          <w:tcPr>
            <w:tcW w:w="272" w:type="dxa"/>
            <w:tcBorders>
              <w:top w:val="nil"/>
              <w:left w:val="nil"/>
              <w:bottom w:val="nil"/>
              <w:right w:val="nil"/>
            </w:tcBorders>
            <w:shd w:val="clear" w:color="auto" w:fill="auto"/>
            <w:noWrap/>
            <w:vAlign w:val="bottom"/>
            <w:hideMark/>
          </w:tcPr>
          <w:p w14:paraId="164294E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1356BD0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(46,031)</w:t>
            </w:r>
          </w:p>
        </w:tc>
        <w:tc>
          <w:tcPr>
            <w:tcW w:w="272" w:type="dxa"/>
            <w:tcBorders>
              <w:top w:val="nil"/>
              <w:left w:val="nil"/>
              <w:bottom w:val="nil"/>
              <w:right w:val="nil"/>
            </w:tcBorders>
            <w:shd w:val="clear" w:color="auto" w:fill="auto"/>
            <w:noWrap/>
            <w:vAlign w:val="bottom"/>
            <w:hideMark/>
          </w:tcPr>
          <w:p w14:paraId="019F8DD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61113D15"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(36,887)</w:t>
            </w:r>
          </w:p>
        </w:tc>
      </w:tr>
      <w:tr w:rsidR="009842B4" w:rsidRPr="009842B4" w14:paraId="251BBF9E" w14:textId="77777777" w:rsidTr="00226E2E">
        <w:trPr>
          <w:trHeight w:val="308"/>
        </w:trPr>
        <w:tc>
          <w:tcPr>
            <w:tcW w:w="5760" w:type="dxa"/>
            <w:tcBorders>
              <w:top w:val="nil"/>
              <w:left w:val="nil"/>
              <w:bottom w:val="nil"/>
              <w:right w:val="nil"/>
            </w:tcBorders>
            <w:shd w:val="clear" w:color="auto" w:fill="auto"/>
            <w:noWrap/>
            <w:vAlign w:val="bottom"/>
            <w:hideMark/>
          </w:tcPr>
          <w:p w14:paraId="44689493" w14:textId="77777777" w:rsidR="009842B4" w:rsidRPr="009842B4" w:rsidRDefault="009842B4" w:rsidP="009842B4">
            <w:pPr>
              <w:spacing w:after="0" w:line="240" w:lineRule="auto"/>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Investing</w:t>
            </w:r>
          </w:p>
        </w:tc>
        <w:tc>
          <w:tcPr>
            <w:tcW w:w="1027" w:type="dxa"/>
            <w:tcBorders>
              <w:top w:val="nil"/>
              <w:left w:val="nil"/>
              <w:bottom w:val="nil"/>
              <w:right w:val="nil"/>
            </w:tcBorders>
            <w:shd w:val="clear" w:color="auto" w:fill="auto"/>
            <w:noWrap/>
            <w:vAlign w:val="bottom"/>
            <w:hideMark/>
          </w:tcPr>
          <w:p w14:paraId="7B18991A" w14:textId="77777777" w:rsidR="009842B4" w:rsidRPr="009842B4" w:rsidRDefault="009842B4" w:rsidP="009842B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9B66225"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1" w:type="dxa"/>
            <w:tcBorders>
              <w:top w:val="nil"/>
              <w:left w:val="nil"/>
              <w:bottom w:val="nil"/>
              <w:right w:val="nil"/>
            </w:tcBorders>
            <w:shd w:val="clear" w:color="auto" w:fill="auto"/>
            <w:noWrap/>
            <w:vAlign w:val="bottom"/>
            <w:hideMark/>
          </w:tcPr>
          <w:p w14:paraId="64E00E44"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290250B"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1027" w:type="dxa"/>
            <w:tcBorders>
              <w:top w:val="nil"/>
              <w:left w:val="nil"/>
              <w:bottom w:val="nil"/>
              <w:right w:val="nil"/>
            </w:tcBorders>
            <w:shd w:val="clear" w:color="auto" w:fill="auto"/>
            <w:noWrap/>
            <w:vAlign w:val="bottom"/>
            <w:hideMark/>
          </w:tcPr>
          <w:p w14:paraId="6EE9BE68" w14:textId="77777777" w:rsidR="009842B4" w:rsidRPr="009842B4" w:rsidRDefault="009842B4" w:rsidP="009842B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83A8A75" w14:textId="77777777" w:rsidR="009842B4" w:rsidRPr="009842B4" w:rsidRDefault="009842B4" w:rsidP="009842B4">
            <w:pPr>
              <w:spacing w:after="0" w:line="240" w:lineRule="auto"/>
              <w:jc w:val="right"/>
              <w:rPr>
                <w:rFonts w:ascii="Times New Roman" w:eastAsia="Times New Roman" w:hAnsi="Times New Roman"/>
                <w:sz w:val="20"/>
                <w:szCs w:val="20"/>
              </w:rPr>
            </w:pPr>
          </w:p>
        </w:tc>
        <w:tc>
          <w:tcPr>
            <w:tcW w:w="966" w:type="dxa"/>
            <w:tcBorders>
              <w:top w:val="nil"/>
              <w:left w:val="nil"/>
              <w:bottom w:val="nil"/>
              <w:right w:val="nil"/>
            </w:tcBorders>
            <w:shd w:val="clear" w:color="auto" w:fill="auto"/>
            <w:noWrap/>
            <w:vAlign w:val="bottom"/>
            <w:hideMark/>
          </w:tcPr>
          <w:p w14:paraId="18DE597D" w14:textId="77777777" w:rsidR="009842B4" w:rsidRPr="009842B4" w:rsidRDefault="009842B4" w:rsidP="009842B4">
            <w:pPr>
              <w:spacing w:after="0" w:line="240" w:lineRule="auto"/>
              <w:rPr>
                <w:rFonts w:ascii="Times New Roman" w:eastAsia="Times New Roman" w:hAnsi="Times New Roman"/>
                <w:sz w:val="20"/>
                <w:szCs w:val="20"/>
              </w:rPr>
            </w:pPr>
          </w:p>
        </w:tc>
      </w:tr>
      <w:tr w:rsidR="009842B4" w:rsidRPr="009842B4" w14:paraId="75727E52" w14:textId="77777777" w:rsidTr="00226E2E">
        <w:trPr>
          <w:trHeight w:val="308"/>
        </w:trPr>
        <w:tc>
          <w:tcPr>
            <w:tcW w:w="5760" w:type="dxa"/>
            <w:tcBorders>
              <w:top w:val="nil"/>
              <w:left w:val="nil"/>
              <w:bottom w:val="nil"/>
              <w:right w:val="nil"/>
            </w:tcBorders>
            <w:shd w:val="clear" w:color="auto" w:fill="auto"/>
            <w:vAlign w:val="bottom"/>
            <w:hideMark/>
          </w:tcPr>
          <w:p w14:paraId="3492D482"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Additions to property and equipment</w:t>
            </w:r>
          </w:p>
        </w:tc>
        <w:tc>
          <w:tcPr>
            <w:tcW w:w="1027" w:type="dxa"/>
            <w:tcBorders>
              <w:top w:val="nil"/>
              <w:left w:val="nil"/>
              <w:bottom w:val="nil"/>
              <w:right w:val="nil"/>
            </w:tcBorders>
            <w:shd w:val="clear" w:color="auto" w:fill="auto"/>
            <w:noWrap/>
            <w:vAlign w:val="bottom"/>
            <w:hideMark/>
          </w:tcPr>
          <w:p w14:paraId="7FEF5D5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(4,744)</w:t>
            </w:r>
          </w:p>
        </w:tc>
        <w:tc>
          <w:tcPr>
            <w:tcW w:w="272" w:type="dxa"/>
            <w:tcBorders>
              <w:top w:val="nil"/>
              <w:left w:val="nil"/>
              <w:bottom w:val="nil"/>
              <w:right w:val="nil"/>
            </w:tcBorders>
            <w:shd w:val="clear" w:color="auto" w:fill="auto"/>
            <w:noWrap/>
            <w:vAlign w:val="bottom"/>
            <w:hideMark/>
          </w:tcPr>
          <w:p w14:paraId="1CDC8B7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3DF9C10"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(4,051)</w:t>
            </w:r>
          </w:p>
        </w:tc>
        <w:tc>
          <w:tcPr>
            <w:tcW w:w="272" w:type="dxa"/>
            <w:tcBorders>
              <w:top w:val="nil"/>
              <w:left w:val="nil"/>
              <w:bottom w:val="nil"/>
              <w:right w:val="nil"/>
            </w:tcBorders>
            <w:shd w:val="clear" w:color="auto" w:fill="auto"/>
            <w:noWrap/>
            <w:vAlign w:val="bottom"/>
            <w:hideMark/>
          </w:tcPr>
          <w:p w14:paraId="4472FC5C"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0A483A8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(15,441)</w:t>
            </w:r>
          </w:p>
        </w:tc>
        <w:tc>
          <w:tcPr>
            <w:tcW w:w="272" w:type="dxa"/>
            <w:tcBorders>
              <w:top w:val="nil"/>
              <w:left w:val="nil"/>
              <w:bottom w:val="nil"/>
              <w:right w:val="nil"/>
            </w:tcBorders>
            <w:shd w:val="clear" w:color="auto" w:fill="auto"/>
            <w:noWrap/>
            <w:vAlign w:val="bottom"/>
            <w:hideMark/>
          </w:tcPr>
          <w:p w14:paraId="0FF91B9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62A52B1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(13,925)</w:t>
            </w:r>
          </w:p>
        </w:tc>
      </w:tr>
      <w:tr w:rsidR="009842B4" w:rsidRPr="009842B4" w14:paraId="2A0EFA3E" w14:textId="77777777" w:rsidTr="00226E2E">
        <w:trPr>
          <w:trHeight w:val="302"/>
        </w:trPr>
        <w:tc>
          <w:tcPr>
            <w:tcW w:w="5760" w:type="dxa"/>
            <w:tcBorders>
              <w:top w:val="nil"/>
              <w:left w:val="nil"/>
              <w:bottom w:val="nil"/>
              <w:right w:val="nil"/>
            </w:tcBorders>
            <w:shd w:val="clear" w:color="auto" w:fill="auto"/>
            <w:vAlign w:val="bottom"/>
            <w:hideMark/>
          </w:tcPr>
          <w:p w14:paraId="44650ABF" w14:textId="4B8E1858" w:rsidR="009842B4" w:rsidRPr="009842B4" w:rsidRDefault="009842B4" w:rsidP="00226E2E">
            <w:pPr>
              <w:spacing w:after="0" w:line="240" w:lineRule="auto"/>
              <w:ind w:left="168" w:hanging="168"/>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Acquisition of companies, net of cash acquired, and purchases of intangible and other assets</w:t>
            </w:r>
          </w:p>
        </w:tc>
        <w:tc>
          <w:tcPr>
            <w:tcW w:w="1027" w:type="dxa"/>
            <w:tcBorders>
              <w:top w:val="nil"/>
              <w:left w:val="nil"/>
              <w:bottom w:val="nil"/>
              <w:right w:val="nil"/>
            </w:tcBorders>
            <w:shd w:val="clear" w:color="auto" w:fill="auto"/>
            <w:noWrap/>
            <w:vAlign w:val="bottom"/>
            <w:hideMark/>
          </w:tcPr>
          <w:p w14:paraId="735A1E1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(1,650)</w:t>
            </w:r>
          </w:p>
        </w:tc>
        <w:tc>
          <w:tcPr>
            <w:tcW w:w="272" w:type="dxa"/>
            <w:tcBorders>
              <w:top w:val="nil"/>
              <w:left w:val="nil"/>
              <w:bottom w:val="nil"/>
              <w:right w:val="nil"/>
            </w:tcBorders>
            <w:shd w:val="clear" w:color="auto" w:fill="auto"/>
            <w:noWrap/>
            <w:vAlign w:val="bottom"/>
            <w:hideMark/>
          </w:tcPr>
          <w:p w14:paraId="63408CD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3E67774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(281)</w:t>
            </w:r>
          </w:p>
        </w:tc>
        <w:tc>
          <w:tcPr>
            <w:tcW w:w="272" w:type="dxa"/>
            <w:tcBorders>
              <w:top w:val="nil"/>
              <w:left w:val="nil"/>
              <w:bottom w:val="nil"/>
              <w:right w:val="nil"/>
            </w:tcBorders>
            <w:shd w:val="clear" w:color="auto" w:fill="auto"/>
            <w:noWrap/>
            <w:vAlign w:val="bottom"/>
            <w:hideMark/>
          </w:tcPr>
          <w:p w14:paraId="2256FB7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7DF8D71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(2,521)</w:t>
            </w:r>
          </w:p>
        </w:tc>
        <w:tc>
          <w:tcPr>
            <w:tcW w:w="272" w:type="dxa"/>
            <w:tcBorders>
              <w:top w:val="nil"/>
              <w:left w:val="nil"/>
              <w:bottom w:val="nil"/>
              <w:right w:val="nil"/>
            </w:tcBorders>
            <w:shd w:val="clear" w:color="auto" w:fill="auto"/>
            <w:noWrap/>
            <w:vAlign w:val="bottom"/>
            <w:hideMark/>
          </w:tcPr>
          <w:p w14:paraId="4E5FB02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47F556C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(2,388)</w:t>
            </w:r>
          </w:p>
        </w:tc>
      </w:tr>
      <w:tr w:rsidR="009842B4" w:rsidRPr="009842B4" w14:paraId="6AFC716F" w14:textId="77777777" w:rsidTr="00226E2E">
        <w:trPr>
          <w:trHeight w:val="308"/>
        </w:trPr>
        <w:tc>
          <w:tcPr>
            <w:tcW w:w="5760" w:type="dxa"/>
            <w:tcBorders>
              <w:top w:val="nil"/>
              <w:left w:val="nil"/>
              <w:bottom w:val="nil"/>
              <w:right w:val="nil"/>
            </w:tcBorders>
            <w:shd w:val="clear" w:color="auto" w:fill="auto"/>
            <w:noWrap/>
            <w:vAlign w:val="bottom"/>
            <w:hideMark/>
          </w:tcPr>
          <w:p w14:paraId="1BA2F039"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Purchases of investments</w:t>
            </w:r>
          </w:p>
        </w:tc>
        <w:tc>
          <w:tcPr>
            <w:tcW w:w="1027" w:type="dxa"/>
            <w:tcBorders>
              <w:top w:val="nil"/>
              <w:left w:val="nil"/>
              <w:bottom w:val="nil"/>
              <w:right w:val="nil"/>
            </w:tcBorders>
            <w:shd w:val="clear" w:color="auto" w:fill="auto"/>
            <w:noWrap/>
            <w:vAlign w:val="bottom"/>
            <w:hideMark/>
          </w:tcPr>
          <w:p w14:paraId="54E66A1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(18,879)</w:t>
            </w:r>
          </w:p>
        </w:tc>
        <w:tc>
          <w:tcPr>
            <w:tcW w:w="272" w:type="dxa"/>
            <w:tcBorders>
              <w:top w:val="nil"/>
              <w:left w:val="nil"/>
              <w:bottom w:val="nil"/>
              <w:right w:val="nil"/>
            </w:tcBorders>
            <w:shd w:val="clear" w:color="auto" w:fill="auto"/>
            <w:noWrap/>
            <w:vAlign w:val="bottom"/>
            <w:hideMark/>
          </w:tcPr>
          <w:p w14:paraId="267FB9D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D0A02CB"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(15,442)</w:t>
            </w:r>
          </w:p>
        </w:tc>
        <w:tc>
          <w:tcPr>
            <w:tcW w:w="272" w:type="dxa"/>
            <w:tcBorders>
              <w:top w:val="nil"/>
              <w:left w:val="nil"/>
              <w:bottom w:val="nil"/>
              <w:right w:val="nil"/>
            </w:tcBorders>
            <w:shd w:val="clear" w:color="auto" w:fill="auto"/>
            <w:noWrap/>
            <w:vAlign w:val="bottom"/>
            <w:hideMark/>
          </w:tcPr>
          <w:p w14:paraId="5419DF5D"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7F9AE6C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(77,190)</w:t>
            </w:r>
          </w:p>
        </w:tc>
        <w:tc>
          <w:tcPr>
            <w:tcW w:w="272" w:type="dxa"/>
            <w:tcBorders>
              <w:top w:val="nil"/>
              <w:left w:val="nil"/>
              <w:bottom w:val="nil"/>
              <w:right w:val="nil"/>
            </w:tcBorders>
            <w:shd w:val="clear" w:color="auto" w:fill="auto"/>
            <w:noWrap/>
            <w:vAlign w:val="bottom"/>
            <w:hideMark/>
          </w:tcPr>
          <w:p w14:paraId="74941AA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0CFB26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(57,697)</w:t>
            </w:r>
          </w:p>
        </w:tc>
      </w:tr>
      <w:tr w:rsidR="009842B4" w:rsidRPr="009842B4" w14:paraId="68895E1B" w14:textId="77777777" w:rsidTr="00226E2E">
        <w:trPr>
          <w:trHeight w:val="308"/>
        </w:trPr>
        <w:tc>
          <w:tcPr>
            <w:tcW w:w="5760" w:type="dxa"/>
            <w:tcBorders>
              <w:top w:val="nil"/>
              <w:left w:val="nil"/>
              <w:bottom w:val="nil"/>
              <w:right w:val="nil"/>
            </w:tcBorders>
            <w:shd w:val="clear" w:color="auto" w:fill="auto"/>
            <w:noWrap/>
            <w:vAlign w:val="bottom"/>
            <w:hideMark/>
          </w:tcPr>
          <w:p w14:paraId="7198A2F0"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Maturities of investments</w:t>
            </w:r>
          </w:p>
        </w:tc>
        <w:tc>
          <w:tcPr>
            <w:tcW w:w="1027" w:type="dxa"/>
            <w:tcBorders>
              <w:top w:val="nil"/>
              <w:left w:val="nil"/>
              <w:bottom w:val="nil"/>
              <w:right w:val="nil"/>
            </w:tcBorders>
            <w:shd w:val="clear" w:color="auto" w:fill="auto"/>
            <w:noWrap/>
            <w:vAlign w:val="bottom"/>
            <w:hideMark/>
          </w:tcPr>
          <w:p w14:paraId="07AFB58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18,890 </w:t>
            </w:r>
          </w:p>
        </w:tc>
        <w:tc>
          <w:tcPr>
            <w:tcW w:w="272" w:type="dxa"/>
            <w:tcBorders>
              <w:top w:val="nil"/>
              <w:left w:val="nil"/>
              <w:bottom w:val="nil"/>
              <w:right w:val="nil"/>
            </w:tcBorders>
            <w:shd w:val="clear" w:color="auto" w:fill="auto"/>
            <w:noWrap/>
            <w:vAlign w:val="bottom"/>
            <w:hideMark/>
          </w:tcPr>
          <w:p w14:paraId="7AD36B2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1BC3C8F0"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5,154 </w:t>
            </w:r>
          </w:p>
        </w:tc>
        <w:tc>
          <w:tcPr>
            <w:tcW w:w="272" w:type="dxa"/>
            <w:tcBorders>
              <w:top w:val="nil"/>
              <w:left w:val="nil"/>
              <w:bottom w:val="nil"/>
              <w:right w:val="nil"/>
            </w:tcBorders>
            <w:shd w:val="clear" w:color="auto" w:fill="auto"/>
            <w:noWrap/>
            <w:vAlign w:val="bottom"/>
            <w:hideMark/>
          </w:tcPr>
          <w:p w14:paraId="4100512A"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4436980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66,449 </w:t>
            </w:r>
          </w:p>
        </w:tc>
        <w:tc>
          <w:tcPr>
            <w:tcW w:w="272" w:type="dxa"/>
            <w:tcBorders>
              <w:top w:val="nil"/>
              <w:left w:val="nil"/>
              <w:bottom w:val="nil"/>
              <w:right w:val="nil"/>
            </w:tcBorders>
            <w:shd w:val="clear" w:color="auto" w:fill="auto"/>
            <w:noWrap/>
            <w:vAlign w:val="bottom"/>
            <w:hideMark/>
          </w:tcPr>
          <w:p w14:paraId="7D72B089"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33EB64D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20,043 </w:t>
            </w:r>
          </w:p>
        </w:tc>
      </w:tr>
      <w:tr w:rsidR="009842B4" w:rsidRPr="009842B4" w14:paraId="7419E0B4" w14:textId="77777777" w:rsidTr="00226E2E">
        <w:trPr>
          <w:trHeight w:val="308"/>
        </w:trPr>
        <w:tc>
          <w:tcPr>
            <w:tcW w:w="5760" w:type="dxa"/>
            <w:tcBorders>
              <w:top w:val="nil"/>
              <w:left w:val="nil"/>
              <w:bottom w:val="nil"/>
              <w:right w:val="nil"/>
            </w:tcBorders>
            <w:shd w:val="clear" w:color="auto" w:fill="auto"/>
            <w:noWrap/>
            <w:vAlign w:val="bottom"/>
            <w:hideMark/>
          </w:tcPr>
          <w:p w14:paraId="78EC1A41"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Sales of investments</w:t>
            </w:r>
          </w:p>
        </w:tc>
        <w:tc>
          <w:tcPr>
            <w:tcW w:w="1027" w:type="dxa"/>
            <w:tcBorders>
              <w:top w:val="nil"/>
              <w:left w:val="nil"/>
              <w:bottom w:val="nil"/>
              <w:right w:val="nil"/>
            </w:tcBorders>
            <w:shd w:val="clear" w:color="auto" w:fill="auto"/>
            <w:noWrap/>
            <w:vAlign w:val="bottom"/>
            <w:hideMark/>
          </w:tcPr>
          <w:p w14:paraId="14B837C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3,162 </w:t>
            </w:r>
          </w:p>
        </w:tc>
        <w:tc>
          <w:tcPr>
            <w:tcW w:w="272" w:type="dxa"/>
            <w:tcBorders>
              <w:top w:val="nil"/>
              <w:left w:val="nil"/>
              <w:bottom w:val="nil"/>
              <w:right w:val="nil"/>
            </w:tcBorders>
            <w:shd w:val="clear" w:color="auto" w:fill="auto"/>
            <w:noWrap/>
            <w:vAlign w:val="bottom"/>
            <w:hideMark/>
          </w:tcPr>
          <w:p w14:paraId="7A3FE8F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00D91D42"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7,363 </w:t>
            </w:r>
          </w:p>
        </w:tc>
        <w:tc>
          <w:tcPr>
            <w:tcW w:w="272" w:type="dxa"/>
            <w:tcBorders>
              <w:top w:val="nil"/>
              <w:left w:val="nil"/>
              <w:bottom w:val="nil"/>
              <w:right w:val="nil"/>
            </w:tcBorders>
            <w:shd w:val="clear" w:color="auto" w:fill="auto"/>
            <w:noWrap/>
            <w:vAlign w:val="bottom"/>
            <w:hideMark/>
          </w:tcPr>
          <w:p w14:paraId="2444121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6275ECA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17,721 </w:t>
            </w:r>
          </w:p>
        </w:tc>
        <w:tc>
          <w:tcPr>
            <w:tcW w:w="272" w:type="dxa"/>
            <w:tcBorders>
              <w:top w:val="nil"/>
              <w:left w:val="nil"/>
              <w:bottom w:val="nil"/>
              <w:right w:val="nil"/>
            </w:tcBorders>
            <w:shd w:val="clear" w:color="auto" w:fill="auto"/>
            <w:noWrap/>
            <w:vAlign w:val="bottom"/>
            <w:hideMark/>
          </w:tcPr>
          <w:p w14:paraId="61044C7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7CF5931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38,194 </w:t>
            </w:r>
          </w:p>
        </w:tc>
      </w:tr>
      <w:tr w:rsidR="009842B4" w:rsidRPr="009842B4" w14:paraId="4D9C46DD" w14:textId="77777777" w:rsidTr="00226E2E">
        <w:trPr>
          <w:trHeight w:val="308"/>
        </w:trPr>
        <w:tc>
          <w:tcPr>
            <w:tcW w:w="5760" w:type="dxa"/>
            <w:tcBorders>
              <w:top w:val="nil"/>
              <w:left w:val="nil"/>
              <w:bottom w:val="nil"/>
              <w:right w:val="nil"/>
            </w:tcBorders>
            <w:shd w:val="clear" w:color="auto" w:fill="auto"/>
            <w:noWrap/>
            <w:vAlign w:val="bottom"/>
            <w:hideMark/>
          </w:tcPr>
          <w:p w14:paraId="1FCE4E81"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Other, net</w:t>
            </w:r>
          </w:p>
        </w:tc>
        <w:tc>
          <w:tcPr>
            <w:tcW w:w="1027" w:type="dxa"/>
            <w:tcBorders>
              <w:top w:val="nil"/>
              <w:left w:val="nil"/>
              <w:bottom w:val="nil"/>
              <w:right w:val="nil"/>
            </w:tcBorders>
            <w:shd w:val="clear" w:color="auto" w:fill="auto"/>
            <w:noWrap/>
            <w:vAlign w:val="bottom"/>
            <w:hideMark/>
          </w:tcPr>
          <w:p w14:paraId="48A6811B"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(1,241)</w:t>
            </w:r>
          </w:p>
        </w:tc>
        <w:tc>
          <w:tcPr>
            <w:tcW w:w="272" w:type="dxa"/>
            <w:tcBorders>
              <w:top w:val="nil"/>
              <w:left w:val="nil"/>
              <w:bottom w:val="nil"/>
              <w:right w:val="nil"/>
            </w:tcBorders>
            <w:shd w:val="clear" w:color="auto" w:fill="auto"/>
            <w:noWrap/>
            <w:vAlign w:val="bottom"/>
            <w:hideMark/>
          </w:tcPr>
          <w:p w14:paraId="36B3C54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29A3C77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B27696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0202AFF1"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(1,241)</w:t>
            </w:r>
          </w:p>
        </w:tc>
        <w:tc>
          <w:tcPr>
            <w:tcW w:w="272" w:type="dxa"/>
            <w:tcBorders>
              <w:top w:val="nil"/>
              <w:left w:val="nil"/>
              <w:bottom w:val="nil"/>
              <w:right w:val="nil"/>
            </w:tcBorders>
            <w:shd w:val="clear" w:color="auto" w:fill="auto"/>
            <w:noWrap/>
            <w:vAlign w:val="bottom"/>
            <w:hideMark/>
          </w:tcPr>
          <w:p w14:paraId="3C24742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5D883669"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0 </w:t>
            </w:r>
          </w:p>
        </w:tc>
      </w:tr>
      <w:tr w:rsidR="009842B4" w:rsidRPr="009842B4" w14:paraId="601A18C6" w14:textId="77777777" w:rsidTr="00226E2E">
        <w:trPr>
          <w:trHeight w:val="308"/>
        </w:trPr>
        <w:tc>
          <w:tcPr>
            <w:tcW w:w="5760" w:type="dxa"/>
            <w:tcBorders>
              <w:top w:val="single" w:sz="4" w:space="0" w:color="auto"/>
              <w:left w:val="nil"/>
              <w:bottom w:val="single" w:sz="4" w:space="0" w:color="auto"/>
              <w:right w:val="nil"/>
            </w:tcBorders>
            <w:shd w:val="clear" w:color="auto" w:fill="auto"/>
            <w:vAlign w:val="bottom"/>
            <w:hideMark/>
          </w:tcPr>
          <w:p w14:paraId="7F577BA0"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Net cash used in investing</w:t>
            </w:r>
          </w:p>
        </w:tc>
        <w:tc>
          <w:tcPr>
            <w:tcW w:w="1027" w:type="dxa"/>
            <w:tcBorders>
              <w:top w:val="single" w:sz="4" w:space="0" w:color="auto"/>
              <w:left w:val="nil"/>
              <w:bottom w:val="single" w:sz="4" w:space="0" w:color="auto"/>
              <w:right w:val="nil"/>
            </w:tcBorders>
            <w:shd w:val="clear" w:color="auto" w:fill="auto"/>
            <w:noWrap/>
            <w:vAlign w:val="bottom"/>
            <w:hideMark/>
          </w:tcPr>
          <w:p w14:paraId="5A2EA62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(4,462)</w:t>
            </w:r>
          </w:p>
        </w:tc>
        <w:tc>
          <w:tcPr>
            <w:tcW w:w="272" w:type="dxa"/>
            <w:tcBorders>
              <w:top w:val="nil"/>
              <w:left w:val="nil"/>
              <w:bottom w:val="nil"/>
              <w:right w:val="nil"/>
            </w:tcBorders>
            <w:shd w:val="clear" w:color="auto" w:fill="auto"/>
            <w:noWrap/>
            <w:vAlign w:val="bottom"/>
            <w:hideMark/>
          </w:tcPr>
          <w:p w14:paraId="4AAA12B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single" w:sz="4" w:space="0" w:color="auto"/>
              <w:left w:val="nil"/>
              <w:bottom w:val="single" w:sz="4" w:space="0" w:color="auto"/>
              <w:right w:val="nil"/>
            </w:tcBorders>
            <w:shd w:val="clear" w:color="auto" w:fill="auto"/>
            <w:noWrap/>
            <w:vAlign w:val="bottom"/>
            <w:hideMark/>
          </w:tcPr>
          <w:p w14:paraId="799C0449"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(7,257)</w:t>
            </w:r>
          </w:p>
        </w:tc>
        <w:tc>
          <w:tcPr>
            <w:tcW w:w="272" w:type="dxa"/>
            <w:tcBorders>
              <w:top w:val="nil"/>
              <w:left w:val="nil"/>
              <w:bottom w:val="nil"/>
              <w:right w:val="nil"/>
            </w:tcBorders>
            <w:shd w:val="clear" w:color="auto" w:fill="auto"/>
            <w:noWrap/>
            <w:vAlign w:val="bottom"/>
            <w:hideMark/>
          </w:tcPr>
          <w:p w14:paraId="715D6B9D"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single" w:sz="4" w:space="0" w:color="auto"/>
              <w:left w:val="nil"/>
              <w:bottom w:val="single" w:sz="4" w:space="0" w:color="auto"/>
              <w:right w:val="nil"/>
            </w:tcBorders>
            <w:shd w:val="clear" w:color="auto" w:fill="auto"/>
            <w:noWrap/>
            <w:vAlign w:val="bottom"/>
            <w:hideMark/>
          </w:tcPr>
          <w:p w14:paraId="27F6530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(12,223)</w:t>
            </w:r>
          </w:p>
        </w:tc>
        <w:tc>
          <w:tcPr>
            <w:tcW w:w="272" w:type="dxa"/>
            <w:tcBorders>
              <w:top w:val="nil"/>
              <w:left w:val="nil"/>
              <w:bottom w:val="nil"/>
              <w:right w:val="nil"/>
            </w:tcBorders>
            <w:shd w:val="clear" w:color="auto" w:fill="auto"/>
            <w:noWrap/>
            <w:vAlign w:val="bottom"/>
            <w:hideMark/>
          </w:tcPr>
          <w:p w14:paraId="2FDD250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single" w:sz="4" w:space="0" w:color="auto"/>
              <w:left w:val="nil"/>
              <w:bottom w:val="single" w:sz="4" w:space="0" w:color="auto"/>
              <w:right w:val="nil"/>
            </w:tcBorders>
            <w:shd w:val="clear" w:color="auto" w:fill="auto"/>
            <w:noWrap/>
            <w:vAlign w:val="bottom"/>
            <w:hideMark/>
          </w:tcPr>
          <w:p w14:paraId="51E1D7A1"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(15,773)</w:t>
            </w:r>
          </w:p>
        </w:tc>
      </w:tr>
      <w:tr w:rsidR="009842B4" w:rsidRPr="009842B4" w14:paraId="269F5C90" w14:textId="77777777" w:rsidTr="00226E2E">
        <w:trPr>
          <w:trHeight w:val="302"/>
        </w:trPr>
        <w:tc>
          <w:tcPr>
            <w:tcW w:w="5760" w:type="dxa"/>
            <w:tcBorders>
              <w:top w:val="nil"/>
              <w:left w:val="nil"/>
              <w:bottom w:val="single" w:sz="4" w:space="0" w:color="auto"/>
              <w:right w:val="nil"/>
            </w:tcBorders>
            <w:shd w:val="clear" w:color="auto" w:fill="auto"/>
            <w:vAlign w:val="bottom"/>
            <w:hideMark/>
          </w:tcPr>
          <w:p w14:paraId="6435433D" w14:textId="621904C5"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Effect of foreign exchange rates on cash and cash equivalents</w:t>
            </w:r>
          </w:p>
        </w:tc>
        <w:tc>
          <w:tcPr>
            <w:tcW w:w="1027" w:type="dxa"/>
            <w:tcBorders>
              <w:top w:val="nil"/>
              <w:left w:val="nil"/>
              <w:bottom w:val="single" w:sz="4" w:space="0" w:color="auto"/>
              <w:right w:val="nil"/>
            </w:tcBorders>
            <w:shd w:val="clear" w:color="auto" w:fill="auto"/>
            <w:noWrap/>
            <w:vAlign w:val="bottom"/>
            <w:hideMark/>
          </w:tcPr>
          <w:p w14:paraId="6A6156C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(83)</w:t>
            </w:r>
          </w:p>
        </w:tc>
        <w:tc>
          <w:tcPr>
            <w:tcW w:w="272" w:type="dxa"/>
            <w:tcBorders>
              <w:top w:val="nil"/>
              <w:left w:val="nil"/>
              <w:bottom w:val="nil"/>
              <w:right w:val="nil"/>
            </w:tcBorders>
            <w:shd w:val="clear" w:color="auto" w:fill="auto"/>
            <w:noWrap/>
            <w:vAlign w:val="bottom"/>
            <w:hideMark/>
          </w:tcPr>
          <w:p w14:paraId="334BAF9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799B373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(21)</w:t>
            </w:r>
          </w:p>
        </w:tc>
        <w:tc>
          <w:tcPr>
            <w:tcW w:w="272" w:type="dxa"/>
            <w:tcBorders>
              <w:top w:val="nil"/>
              <w:left w:val="nil"/>
              <w:bottom w:val="nil"/>
              <w:right w:val="nil"/>
            </w:tcBorders>
            <w:shd w:val="clear" w:color="auto" w:fill="auto"/>
            <w:noWrap/>
            <w:vAlign w:val="bottom"/>
            <w:hideMark/>
          </w:tcPr>
          <w:p w14:paraId="52A3697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6211E48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(201)</w:t>
            </w:r>
          </w:p>
        </w:tc>
        <w:tc>
          <w:tcPr>
            <w:tcW w:w="272" w:type="dxa"/>
            <w:tcBorders>
              <w:top w:val="nil"/>
              <w:left w:val="nil"/>
              <w:bottom w:val="nil"/>
              <w:right w:val="nil"/>
            </w:tcBorders>
            <w:shd w:val="clear" w:color="auto" w:fill="auto"/>
            <w:noWrap/>
            <w:vAlign w:val="bottom"/>
            <w:hideMark/>
          </w:tcPr>
          <w:p w14:paraId="6379EBC2"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575658F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(115)</w:t>
            </w:r>
          </w:p>
        </w:tc>
      </w:tr>
      <w:tr w:rsidR="009842B4" w:rsidRPr="009842B4" w14:paraId="72AC2D1B" w14:textId="77777777" w:rsidTr="00226E2E">
        <w:trPr>
          <w:trHeight w:val="308"/>
        </w:trPr>
        <w:tc>
          <w:tcPr>
            <w:tcW w:w="5760" w:type="dxa"/>
            <w:tcBorders>
              <w:top w:val="nil"/>
              <w:left w:val="nil"/>
              <w:bottom w:val="nil"/>
              <w:right w:val="nil"/>
            </w:tcBorders>
            <w:shd w:val="clear" w:color="auto" w:fill="auto"/>
            <w:vAlign w:val="bottom"/>
            <w:hideMark/>
          </w:tcPr>
          <w:p w14:paraId="4AAEC492"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Net change in cash and cash equivalents</w:t>
            </w:r>
          </w:p>
        </w:tc>
        <w:tc>
          <w:tcPr>
            <w:tcW w:w="1027" w:type="dxa"/>
            <w:tcBorders>
              <w:top w:val="nil"/>
              <w:left w:val="nil"/>
              <w:bottom w:val="nil"/>
              <w:right w:val="nil"/>
            </w:tcBorders>
            <w:shd w:val="clear" w:color="auto" w:fill="auto"/>
            <w:noWrap/>
            <w:vAlign w:val="bottom"/>
            <w:hideMark/>
          </w:tcPr>
          <w:p w14:paraId="2DB80116"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1,866 </w:t>
            </w:r>
          </w:p>
        </w:tc>
        <w:tc>
          <w:tcPr>
            <w:tcW w:w="272" w:type="dxa"/>
            <w:tcBorders>
              <w:top w:val="nil"/>
              <w:left w:val="nil"/>
              <w:bottom w:val="nil"/>
              <w:right w:val="nil"/>
            </w:tcBorders>
            <w:shd w:val="clear" w:color="auto" w:fill="auto"/>
            <w:noWrap/>
            <w:vAlign w:val="bottom"/>
            <w:hideMark/>
          </w:tcPr>
          <w:p w14:paraId="070E7FFD"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nil"/>
              <w:right w:val="nil"/>
            </w:tcBorders>
            <w:shd w:val="clear" w:color="auto" w:fill="auto"/>
            <w:noWrap/>
            <w:vAlign w:val="bottom"/>
            <w:hideMark/>
          </w:tcPr>
          <w:p w14:paraId="5250BBF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144 </w:t>
            </w:r>
          </w:p>
        </w:tc>
        <w:tc>
          <w:tcPr>
            <w:tcW w:w="272" w:type="dxa"/>
            <w:tcBorders>
              <w:top w:val="nil"/>
              <w:left w:val="nil"/>
              <w:bottom w:val="nil"/>
              <w:right w:val="nil"/>
            </w:tcBorders>
            <w:shd w:val="clear" w:color="auto" w:fill="auto"/>
            <w:noWrap/>
            <w:vAlign w:val="bottom"/>
            <w:hideMark/>
          </w:tcPr>
          <w:p w14:paraId="7E47CF43"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nil"/>
              <w:right w:val="nil"/>
            </w:tcBorders>
            <w:shd w:val="clear" w:color="auto" w:fill="auto"/>
            <w:noWrap/>
            <w:vAlign w:val="bottom"/>
            <w:hideMark/>
          </w:tcPr>
          <w:p w14:paraId="23E74A0F"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2,220 </w:t>
            </w:r>
          </w:p>
        </w:tc>
        <w:tc>
          <w:tcPr>
            <w:tcW w:w="272" w:type="dxa"/>
            <w:tcBorders>
              <w:top w:val="nil"/>
              <w:left w:val="nil"/>
              <w:bottom w:val="nil"/>
              <w:right w:val="nil"/>
            </w:tcBorders>
            <w:shd w:val="clear" w:color="auto" w:fill="auto"/>
            <w:noWrap/>
            <w:vAlign w:val="bottom"/>
            <w:hideMark/>
          </w:tcPr>
          <w:p w14:paraId="7B10D9B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nil"/>
              <w:right w:val="nil"/>
            </w:tcBorders>
            <w:shd w:val="clear" w:color="auto" w:fill="auto"/>
            <w:noWrap/>
            <w:vAlign w:val="bottom"/>
            <w:hideMark/>
          </w:tcPr>
          <w:p w14:paraId="507D517E"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(590)</w:t>
            </w:r>
          </w:p>
        </w:tc>
      </w:tr>
      <w:tr w:rsidR="009842B4" w:rsidRPr="009842B4" w14:paraId="79B411BE" w14:textId="77777777" w:rsidTr="00226E2E">
        <w:trPr>
          <w:trHeight w:val="302"/>
        </w:trPr>
        <w:tc>
          <w:tcPr>
            <w:tcW w:w="5760" w:type="dxa"/>
            <w:tcBorders>
              <w:top w:val="nil"/>
              <w:left w:val="nil"/>
              <w:bottom w:val="single" w:sz="4" w:space="0" w:color="auto"/>
              <w:right w:val="nil"/>
            </w:tcBorders>
            <w:shd w:val="clear" w:color="auto" w:fill="auto"/>
            <w:vAlign w:val="bottom"/>
            <w:hideMark/>
          </w:tcPr>
          <w:p w14:paraId="524B58F2" w14:textId="489677EA"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Cash and cash equivalents, beginning of period</w:t>
            </w:r>
          </w:p>
        </w:tc>
        <w:tc>
          <w:tcPr>
            <w:tcW w:w="1027" w:type="dxa"/>
            <w:tcBorders>
              <w:top w:val="nil"/>
              <w:left w:val="nil"/>
              <w:bottom w:val="single" w:sz="4" w:space="0" w:color="auto"/>
              <w:right w:val="nil"/>
            </w:tcBorders>
            <w:shd w:val="clear" w:color="auto" w:fill="auto"/>
            <w:noWrap/>
            <w:vAlign w:val="bottom"/>
            <w:hideMark/>
          </w:tcPr>
          <w:p w14:paraId="2FA02ABC"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11,710 </w:t>
            </w:r>
          </w:p>
        </w:tc>
        <w:tc>
          <w:tcPr>
            <w:tcW w:w="272" w:type="dxa"/>
            <w:tcBorders>
              <w:top w:val="nil"/>
              <w:left w:val="nil"/>
              <w:bottom w:val="nil"/>
              <w:right w:val="nil"/>
            </w:tcBorders>
            <w:shd w:val="clear" w:color="auto" w:fill="auto"/>
            <w:noWrap/>
            <w:vAlign w:val="bottom"/>
            <w:hideMark/>
          </w:tcPr>
          <w:p w14:paraId="2E943A93"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4" w:space="0" w:color="auto"/>
              <w:right w:val="nil"/>
            </w:tcBorders>
            <w:shd w:val="clear" w:color="auto" w:fill="auto"/>
            <w:noWrap/>
            <w:vAlign w:val="bottom"/>
            <w:hideMark/>
          </w:tcPr>
          <w:p w14:paraId="0797EFCC"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11,212 </w:t>
            </w:r>
          </w:p>
        </w:tc>
        <w:tc>
          <w:tcPr>
            <w:tcW w:w="272" w:type="dxa"/>
            <w:tcBorders>
              <w:top w:val="nil"/>
              <w:left w:val="nil"/>
              <w:bottom w:val="nil"/>
              <w:right w:val="nil"/>
            </w:tcBorders>
            <w:shd w:val="clear" w:color="auto" w:fill="auto"/>
            <w:noWrap/>
            <w:vAlign w:val="bottom"/>
            <w:hideMark/>
          </w:tcPr>
          <w:p w14:paraId="6AD72924"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4" w:space="0" w:color="auto"/>
              <w:right w:val="nil"/>
            </w:tcBorders>
            <w:shd w:val="clear" w:color="auto" w:fill="auto"/>
            <w:noWrap/>
            <w:vAlign w:val="bottom"/>
            <w:hideMark/>
          </w:tcPr>
          <w:p w14:paraId="5B524795"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11,356 </w:t>
            </w:r>
          </w:p>
        </w:tc>
        <w:tc>
          <w:tcPr>
            <w:tcW w:w="272" w:type="dxa"/>
            <w:tcBorders>
              <w:top w:val="nil"/>
              <w:left w:val="nil"/>
              <w:bottom w:val="nil"/>
              <w:right w:val="nil"/>
            </w:tcBorders>
            <w:shd w:val="clear" w:color="auto" w:fill="auto"/>
            <w:noWrap/>
            <w:vAlign w:val="bottom"/>
            <w:hideMark/>
          </w:tcPr>
          <w:p w14:paraId="7E91028E"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4" w:space="0" w:color="auto"/>
              <w:right w:val="nil"/>
            </w:tcBorders>
            <w:shd w:val="clear" w:color="auto" w:fill="auto"/>
            <w:noWrap/>
            <w:vAlign w:val="bottom"/>
            <w:hideMark/>
          </w:tcPr>
          <w:p w14:paraId="1C1C0337"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11,946 </w:t>
            </w:r>
          </w:p>
        </w:tc>
      </w:tr>
      <w:tr w:rsidR="009842B4" w:rsidRPr="009842B4" w14:paraId="3669529A" w14:textId="77777777" w:rsidTr="00226E2E">
        <w:trPr>
          <w:trHeight w:val="302"/>
        </w:trPr>
        <w:tc>
          <w:tcPr>
            <w:tcW w:w="5760" w:type="dxa"/>
            <w:tcBorders>
              <w:top w:val="nil"/>
              <w:left w:val="nil"/>
              <w:bottom w:val="nil"/>
              <w:right w:val="nil"/>
            </w:tcBorders>
            <w:shd w:val="clear" w:color="auto" w:fill="auto"/>
            <w:vAlign w:val="bottom"/>
            <w:hideMark/>
          </w:tcPr>
          <w:p w14:paraId="0C19B225" w14:textId="77777777" w:rsidR="009842B4" w:rsidRPr="009842B4" w:rsidRDefault="009842B4" w:rsidP="009842B4">
            <w:pPr>
              <w:spacing w:after="0" w:line="240" w:lineRule="auto"/>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Cash and cash equivalents, end of period</w:t>
            </w:r>
          </w:p>
        </w:tc>
        <w:tc>
          <w:tcPr>
            <w:tcW w:w="1027" w:type="dxa"/>
            <w:tcBorders>
              <w:top w:val="nil"/>
              <w:left w:val="nil"/>
              <w:bottom w:val="single" w:sz="8" w:space="0" w:color="auto"/>
              <w:right w:val="nil"/>
            </w:tcBorders>
            <w:shd w:val="clear" w:color="auto" w:fill="auto"/>
            <w:noWrap/>
            <w:vAlign w:val="bottom"/>
            <w:hideMark/>
          </w:tcPr>
          <w:p w14:paraId="50D3DC5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 $13,576 </w:t>
            </w:r>
          </w:p>
        </w:tc>
        <w:tc>
          <w:tcPr>
            <w:tcW w:w="272" w:type="dxa"/>
            <w:tcBorders>
              <w:top w:val="nil"/>
              <w:left w:val="nil"/>
              <w:bottom w:val="nil"/>
              <w:right w:val="nil"/>
            </w:tcBorders>
            <w:shd w:val="clear" w:color="auto" w:fill="auto"/>
            <w:noWrap/>
            <w:vAlign w:val="bottom"/>
            <w:hideMark/>
          </w:tcPr>
          <w:p w14:paraId="6AB866C4"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1" w:type="dxa"/>
            <w:tcBorders>
              <w:top w:val="nil"/>
              <w:left w:val="nil"/>
              <w:bottom w:val="single" w:sz="8" w:space="0" w:color="auto"/>
              <w:right w:val="nil"/>
            </w:tcBorders>
            <w:shd w:val="clear" w:color="auto" w:fill="auto"/>
            <w:noWrap/>
            <w:vAlign w:val="bottom"/>
            <w:hideMark/>
          </w:tcPr>
          <w:p w14:paraId="3F4B6EC1" w14:textId="49575316"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$11,356 </w:t>
            </w:r>
          </w:p>
        </w:tc>
        <w:tc>
          <w:tcPr>
            <w:tcW w:w="272" w:type="dxa"/>
            <w:tcBorders>
              <w:top w:val="nil"/>
              <w:left w:val="nil"/>
              <w:bottom w:val="nil"/>
              <w:right w:val="nil"/>
            </w:tcBorders>
            <w:shd w:val="clear" w:color="auto" w:fill="auto"/>
            <w:noWrap/>
            <w:vAlign w:val="bottom"/>
            <w:hideMark/>
          </w:tcPr>
          <w:p w14:paraId="4BE4BE20"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p>
        </w:tc>
        <w:tc>
          <w:tcPr>
            <w:tcW w:w="1027" w:type="dxa"/>
            <w:tcBorders>
              <w:top w:val="nil"/>
              <w:left w:val="nil"/>
              <w:bottom w:val="single" w:sz="8" w:space="0" w:color="auto"/>
              <w:right w:val="nil"/>
            </w:tcBorders>
            <w:shd w:val="clear" w:color="auto" w:fill="auto"/>
            <w:noWrap/>
            <w:vAlign w:val="bottom"/>
            <w:hideMark/>
          </w:tcPr>
          <w:p w14:paraId="215EAD90"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r w:rsidRPr="009842B4">
              <w:rPr>
                <w:rFonts w:ascii="Segoe UI" w:eastAsia="Times New Roman" w:hAnsi="Segoe UI" w:cs="Segoe UI"/>
                <w:b/>
                <w:bCs/>
                <w:color w:val="666666"/>
                <w:sz w:val="20"/>
                <w:szCs w:val="20"/>
              </w:rPr>
              <w:t xml:space="preserve"> $13,576 </w:t>
            </w:r>
          </w:p>
        </w:tc>
        <w:tc>
          <w:tcPr>
            <w:tcW w:w="272" w:type="dxa"/>
            <w:tcBorders>
              <w:top w:val="nil"/>
              <w:left w:val="nil"/>
              <w:bottom w:val="nil"/>
              <w:right w:val="nil"/>
            </w:tcBorders>
            <w:shd w:val="clear" w:color="auto" w:fill="auto"/>
            <w:noWrap/>
            <w:vAlign w:val="bottom"/>
            <w:hideMark/>
          </w:tcPr>
          <w:p w14:paraId="48354248" w14:textId="77777777" w:rsidR="009842B4" w:rsidRPr="009842B4" w:rsidRDefault="009842B4" w:rsidP="009842B4">
            <w:pPr>
              <w:spacing w:after="0" w:line="240" w:lineRule="auto"/>
              <w:jc w:val="right"/>
              <w:rPr>
                <w:rFonts w:ascii="Segoe UI" w:eastAsia="Times New Roman" w:hAnsi="Segoe UI" w:cs="Segoe UI"/>
                <w:b/>
                <w:bCs/>
                <w:color w:val="666666"/>
                <w:sz w:val="20"/>
                <w:szCs w:val="20"/>
              </w:rPr>
            </w:pPr>
          </w:p>
        </w:tc>
        <w:tc>
          <w:tcPr>
            <w:tcW w:w="966" w:type="dxa"/>
            <w:tcBorders>
              <w:top w:val="nil"/>
              <w:left w:val="nil"/>
              <w:bottom w:val="single" w:sz="8" w:space="0" w:color="auto"/>
              <w:right w:val="nil"/>
            </w:tcBorders>
            <w:shd w:val="clear" w:color="auto" w:fill="auto"/>
            <w:noWrap/>
            <w:vAlign w:val="bottom"/>
            <w:hideMark/>
          </w:tcPr>
          <w:p w14:paraId="3E3C9D3F" w14:textId="77777777" w:rsidR="009842B4" w:rsidRPr="009842B4" w:rsidRDefault="009842B4" w:rsidP="009842B4">
            <w:pPr>
              <w:spacing w:after="0" w:line="240" w:lineRule="auto"/>
              <w:jc w:val="right"/>
              <w:rPr>
                <w:rFonts w:ascii="Segoe UI" w:eastAsia="Times New Roman" w:hAnsi="Segoe UI" w:cs="Segoe UI"/>
                <w:color w:val="666666"/>
                <w:sz w:val="20"/>
                <w:szCs w:val="20"/>
              </w:rPr>
            </w:pPr>
            <w:r w:rsidRPr="009842B4">
              <w:rPr>
                <w:rFonts w:ascii="Segoe UI" w:eastAsia="Times New Roman" w:hAnsi="Segoe UI" w:cs="Segoe UI"/>
                <w:color w:val="666666"/>
                <w:sz w:val="20"/>
                <w:szCs w:val="20"/>
              </w:rPr>
              <w:t xml:space="preserve"> $11,356 </w:t>
            </w:r>
          </w:p>
        </w:tc>
      </w:tr>
    </w:tbl>
    <w:p w14:paraId="079441A5" w14:textId="77777777" w:rsidR="00226E2E" w:rsidRDefault="00226E2E" w:rsidP="00EA34FA">
      <w:pPr>
        <w:spacing w:after="0" w:line="240" w:lineRule="auto"/>
        <w:jc w:val="center"/>
        <w:rPr>
          <w:rFonts w:ascii="Segoe UI" w:eastAsia="Times New Roman" w:hAnsi="Segoe UI" w:cs="Segoe UI"/>
          <w:color w:val="666666"/>
          <w:sz w:val="20"/>
          <w:szCs w:val="20"/>
        </w:rPr>
        <w:sectPr w:rsidR="00226E2E" w:rsidSect="000A566E">
          <w:type w:val="continuous"/>
          <w:pgSz w:w="12240" w:h="15840"/>
          <w:pgMar w:top="0" w:right="1440" w:bottom="0" w:left="1440" w:header="720" w:footer="720" w:gutter="0"/>
          <w:cols w:space="720"/>
          <w:docGrid w:linePitch="360"/>
        </w:sectPr>
      </w:pPr>
      <w:bookmarkStart w:id="14" w:name="RANGE!A3:H18"/>
    </w:p>
    <w:tbl>
      <w:tblPr>
        <w:tblW w:w="8967" w:type="dxa"/>
        <w:tblInd w:w="-630" w:type="dxa"/>
        <w:tblLook w:val="04A0" w:firstRow="1" w:lastRow="0" w:firstColumn="1" w:lastColumn="0" w:noHBand="0" w:noVBand="1"/>
      </w:tblPr>
      <w:tblGrid>
        <w:gridCol w:w="4037"/>
        <w:gridCol w:w="994"/>
        <w:gridCol w:w="272"/>
        <w:gridCol w:w="930"/>
        <w:gridCol w:w="272"/>
        <w:gridCol w:w="1132"/>
        <w:gridCol w:w="272"/>
        <w:gridCol w:w="1058"/>
      </w:tblGrid>
      <w:tr w:rsidR="00EA34FA" w:rsidRPr="00EA34FA" w14:paraId="6E866E9D" w14:textId="77777777" w:rsidTr="00080EB6">
        <w:trPr>
          <w:trHeight w:val="302"/>
        </w:trPr>
        <w:tc>
          <w:tcPr>
            <w:tcW w:w="8967" w:type="dxa"/>
            <w:gridSpan w:val="8"/>
            <w:tcBorders>
              <w:top w:val="nil"/>
              <w:left w:val="nil"/>
              <w:bottom w:val="nil"/>
              <w:right w:val="nil"/>
            </w:tcBorders>
            <w:shd w:val="clear" w:color="000000" w:fill="FFFFFF"/>
            <w:noWrap/>
            <w:vAlign w:val="bottom"/>
            <w:hideMark/>
          </w:tcPr>
          <w:p w14:paraId="19BC794E" w14:textId="77154F68"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SEGMENT REVENUE AND OPERATING INCOME</w:t>
            </w:r>
            <w:bookmarkEnd w:id="14"/>
          </w:p>
        </w:tc>
      </w:tr>
      <w:tr w:rsidR="00EA34FA" w:rsidRPr="00EA34FA" w14:paraId="7A1C3671" w14:textId="77777777" w:rsidTr="00080EB6">
        <w:trPr>
          <w:trHeight w:val="302"/>
        </w:trPr>
        <w:tc>
          <w:tcPr>
            <w:tcW w:w="8967" w:type="dxa"/>
            <w:gridSpan w:val="8"/>
            <w:tcBorders>
              <w:top w:val="nil"/>
              <w:left w:val="nil"/>
              <w:bottom w:val="nil"/>
              <w:right w:val="nil"/>
            </w:tcBorders>
            <w:shd w:val="clear" w:color="000000" w:fill="FFFFFF"/>
            <w:noWrap/>
            <w:vAlign w:val="bottom"/>
            <w:hideMark/>
          </w:tcPr>
          <w:p w14:paraId="364E6F9A"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(In millions) (Unaudited)</w:t>
            </w:r>
          </w:p>
        </w:tc>
      </w:tr>
      <w:tr w:rsidR="00EA34FA" w:rsidRPr="00EA34FA" w14:paraId="60481536" w14:textId="77777777" w:rsidTr="00080EB6">
        <w:trPr>
          <w:trHeight w:val="302"/>
        </w:trPr>
        <w:tc>
          <w:tcPr>
            <w:tcW w:w="4037" w:type="dxa"/>
            <w:tcBorders>
              <w:top w:val="nil"/>
              <w:left w:val="nil"/>
              <w:bottom w:val="nil"/>
              <w:right w:val="nil"/>
            </w:tcBorders>
            <w:shd w:val="clear" w:color="000000" w:fill="FFFFFF"/>
            <w:noWrap/>
            <w:vAlign w:val="bottom"/>
            <w:hideMark/>
          </w:tcPr>
          <w:p w14:paraId="2761828A"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994" w:type="dxa"/>
            <w:tcBorders>
              <w:top w:val="nil"/>
              <w:left w:val="nil"/>
              <w:bottom w:val="nil"/>
              <w:right w:val="nil"/>
            </w:tcBorders>
            <w:shd w:val="clear" w:color="000000" w:fill="FFFFFF"/>
            <w:noWrap/>
            <w:vAlign w:val="bottom"/>
            <w:hideMark/>
          </w:tcPr>
          <w:p w14:paraId="62D9BAC7"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5DF4B8B"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930" w:type="dxa"/>
            <w:tcBorders>
              <w:top w:val="nil"/>
              <w:left w:val="nil"/>
              <w:bottom w:val="nil"/>
              <w:right w:val="nil"/>
            </w:tcBorders>
            <w:shd w:val="clear" w:color="000000" w:fill="FFFFFF"/>
            <w:noWrap/>
            <w:vAlign w:val="bottom"/>
            <w:hideMark/>
          </w:tcPr>
          <w:p w14:paraId="7261F8DF"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3957A00"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08761690"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54C4D82"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058" w:type="dxa"/>
            <w:tcBorders>
              <w:top w:val="nil"/>
              <w:left w:val="nil"/>
              <w:bottom w:val="nil"/>
              <w:right w:val="nil"/>
            </w:tcBorders>
            <w:shd w:val="clear" w:color="000000" w:fill="FFFFFF"/>
            <w:noWrap/>
            <w:vAlign w:val="bottom"/>
            <w:hideMark/>
          </w:tcPr>
          <w:p w14:paraId="4B463ABC" w14:textId="77777777" w:rsidR="00EA34FA" w:rsidRPr="00EA34FA" w:rsidRDefault="00EA34FA" w:rsidP="00EA34FA">
            <w:pPr>
              <w:spacing w:after="0" w:line="240" w:lineRule="auto"/>
              <w:jc w:val="center"/>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r>
      <w:tr w:rsidR="00EA34FA" w:rsidRPr="00EA34FA" w14:paraId="3509D00F" w14:textId="77777777" w:rsidTr="00080EB6">
        <w:trPr>
          <w:trHeight w:val="302"/>
        </w:trPr>
        <w:tc>
          <w:tcPr>
            <w:tcW w:w="4037" w:type="dxa"/>
            <w:tcBorders>
              <w:top w:val="nil"/>
              <w:left w:val="nil"/>
              <w:bottom w:val="nil"/>
              <w:right w:val="nil"/>
            </w:tcBorders>
            <w:shd w:val="clear" w:color="000000" w:fill="FFFFFF"/>
            <w:noWrap/>
            <w:vAlign w:val="bottom"/>
            <w:hideMark/>
          </w:tcPr>
          <w:p w14:paraId="4862AD6E"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196" w:type="dxa"/>
            <w:gridSpan w:val="3"/>
            <w:vMerge w:val="restart"/>
            <w:tcBorders>
              <w:top w:val="nil"/>
              <w:left w:val="nil"/>
              <w:bottom w:val="nil"/>
              <w:right w:val="nil"/>
            </w:tcBorders>
            <w:shd w:val="clear" w:color="000000" w:fill="FFFFFF"/>
            <w:vAlign w:val="bottom"/>
            <w:hideMark/>
          </w:tcPr>
          <w:p w14:paraId="0CA4359F"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noWrap/>
            <w:vAlign w:val="bottom"/>
            <w:hideMark/>
          </w:tcPr>
          <w:p w14:paraId="12A9D461"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462" w:type="dxa"/>
            <w:gridSpan w:val="3"/>
            <w:vMerge w:val="restart"/>
            <w:tcBorders>
              <w:top w:val="nil"/>
              <w:left w:val="nil"/>
              <w:bottom w:val="nil"/>
              <w:right w:val="nil"/>
            </w:tcBorders>
            <w:shd w:val="clear" w:color="000000" w:fill="FFFFFF"/>
            <w:vAlign w:val="bottom"/>
            <w:hideMark/>
          </w:tcPr>
          <w:p w14:paraId="184548E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Twelve Months Ended June 30,</w:t>
            </w:r>
          </w:p>
        </w:tc>
      </w:tr>
      <w:tr w:rsidR="00EA34FA" w:rsidRPr="00EA34FA" w14:paraId="2A13DAF4" w14:textId="77777777" w:rsidTr="00080EB6">
        <w:trPr>
          <w:trHeight w:val="302"/>
        </w:trPr>
        <w:tc>
          <w:tcPr>
            <w:tcW w:w="4037" w:type="dxa"/>
            <w:tcBorders>
              <w:top w:val="nil"/>
              <w:left w:val="nil"/>
              <w:bottom w:val="nil"/>
              <w:right w:val="nil"/>
            </w:tcBorders>
            <w:shd w:val="clear" w:color="000000" w:fill="FFFFFF"/>
            <w:noWrap/>
            <w:vAlign w:val="bottom"/>
            <w:hideMark/>
          </w:tcPr>
          <w:p w14:paraId="547F8DA4"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196" w:type="dxa"/>
            <w:gridSpan w:val="3"/>
            <w:vMerge/>
            <w:tcBorders>
              <w:top w:val="nil"/>
              <w:left w:val="nil"/>
              <w:bottom w:val="nil"/>
              <w:right w:val="nil"/>
            </w:tcBorders>
            <w:vAlign w:val="center"/>
            <w:hideMark/>
          </w:tcPr>
          <w:p w14:paraId="3C699D47" w14:textId="77777777" w:rsidR="00EA34FA" w:rsidRPr="00EA34FA" w:rsidRDefault="00EA34FA" w:rsidP="00EA34FA">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noWrap/>
            <w:vAlign w:val="bottom"/>
            <w:hideMark/>
          </w:tcPr>
          <w:p w14:paraId="3AC3785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462" w:type="dxa"/>
            <w:gridSpan w:val="3"/>
            <w:vMerge/>
            <w:tcBorders>
              <w:top w:val="nil"/>
              <w:left w:val="nil"/>
              <w:bottom w:val="nil"/>
              <w:right w:val="nil"/>
            </w:tcBorders>
            <w:vAlign w:val="center"/>
            <w:hideMark/>
          </w:tcPr>
          <w:p w14:paraId="77EBBF39" w14:textId="77777777" w:rsidR="00EA34FA" w:rsidRPr="00EA34FA" w:rsidRDefault="00EA34FA" w:rsidP="00EA34FA">
            <w:pPr>
              <w:spacing w:after="0" w:line="240" w:lineRule="auto"/>
              <w:rPr>
                <w:rFonts w:ascii="Segoe UI" w:eastAsia="Times New Roman" w:hAnsi="Segoe UI" w:cs="Segoe UI"/>
                <w:b/>
                <w:bCs/>
                <w:color w:val="666666"/>
                <w:sz w:val="20"/>
                <w:szCs w:val="20"/>
              </w:rPr>
            </w:pPr>
          </w:p>
        </w:tc>
      </w:tr>
      <w:tr w:rsidR="00EA34FA" w:rsidRPr="00EA34FA" w14:paraId="16D08B33" w14:textId="77777777" w:rsidTr="00080EB6">
        <w:trPr>
          <w:trHeight w:val="302"/>
        </w:trPr>
        <w:tc>
          <w:tcPr>
            <w:tcW w:w="4037" w:type="dxa"/>
            <w:tcBorders>
              <w:top w:val="nil"/>
              <w:left w:val="nil"/>
              <w:bottom w:val="single" w:sz="4" w:space="0" w:color="auto"/>
              <w:right w:val="nil"/>
            </w:tcBorders>
            <w:shd w:val="clear" w:color="000000" w:fill="FFFFFF"/>
            <w:noWrap/>
            <w:vAlign w:val="bottom"/>
            <w:hideMark/>
          </w:tcPr>
          <w:p w14:paraId="56C3962F"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000000" w:fill="FFFFFF"/>
            <w:noWrap/>
            <w:vAlign w:val="bottom"/>
            <w:hideMark/>
          </w:tcPr>
          <w:p w14:paraId="28657738"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579B79A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single" w:sz="4" w:space="0" w:color="auto"/>
              <w:right w:val="nil"/>
            </w:tcBorders>
            <w:shd w:val="clear" w:color="000000" w:fill="FFFFFF"/>
            <w:noWrap/>
            <w:vAlign w:val="bottom"/>
            <w:hideMark/>
          </w:tcPr>
          <w:p w14:paraId="029610F9"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000000" w:fill="FFFFFF"/>
            <w:noWrap/>
            <w:vAlign w:val="bottom"/>
            <w:hideMark/>
          </w:tcPr>
          <w:p w14:paraId="5215E11F" w14:textId="77777777" w:rsidR="00EA34FA" w:rsidRPr="00EA34FA" w:rsidRDefault="00EA34FA" w:rsidP="00EA34FA">
            <w:pPr>
              <w:spacing w:after="0" w:line="240" w:lineRule="auto"/>
              <w:jc w:val="center"/>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132" w:type="dxa"/>
            <w:tcBorders>
              <w:top w:val="nil"/>
              <w:left w:val="nil"/>
              <w:bottom w:val="single" w:sz="4" w:space="0" w:color="auto"/>
              <w:right w:val="nil"/>
            </w:tcBorders>
            <w:shd w:val="clear" w:color="000000" w:fill="FFFFFF"/>
            <w:noWrap/>
            <w:vAlign w:val="bottom"/>
            <w:hideMark/>
          </w:tcPr>
          <w:p w14:paraId="2C6A32BD"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01294A4A"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single" w:sz="4" w:space="0" w:color="auto"/>
              <w:right w:val="nil"/>
            </w:tcBorders>
            <w:shd w:val="clear" w:color="000000" w:fill="FFFFFF"/>
            <w:noWrap/>
            <w:vAlign w:val="bottom"/>
            <w:hideMark/>
          </w:tcPr>
          <w:p w14:paraId="2813B341"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2019</w:t>
            </w:r>
          </w:p>
        </w:tc>
      </w:tr>
      <w:tr w:rsidR="00EA34FA" w:rsidRPr="00EA34FA" w14:paraId="76D420EA" w14:textId="77777777" w:rsidTr="00080EB6">
        <w:trPr>
          <w:trHeight w:val="302"/>
        </w:trPr>
        <w:tc>
          <w:tcPr>
            <w:tcW w:w="4037" w:type="dxa"/>
            <w:tcBorders>
              <w:top w:val="nil"/>
              <w:left w:val="nil"/>
              <w:bottom w:val="nil"/>
              <w:right w:val="nil"/>
            </w:tcBorders>
            <w:shd w:val="clear" w:color="000000" w:fill="FFFFFF"/>
            <w:noWrap/>
            <w:vAlign w:val="bottom"/>
            <w:hideMark/>
          </w:tcPr>
          <w:p w14:paraId="5978E68D"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Revenue</w:t>
            </w:r>
          </w:p>
        </w:tc>
        <w:tc>
          <w:tcPr>
            <w:tcW w:w="994" w:type="dxa"/>
            <w:tcBorders>
              <w:top w:val="nil"/>
              <w:left w:val="nil"/>
              <w:bottom w:val="nil"/>
              <w:right w:val="nil"/>
            </w:tcBorders>
            <w:shd w:val="clear" w:color="000000" w:fill="FFFFFF"/>
            <w:noWrap/>
            <w:vAlign w:val="bottom"/>
            <w:hideMark/>
          </w:tcPr>
          <w:p w14:paraId="0E318834"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D42EDF0"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nil"/>
              <w:right w:val="nil"/>
            </w:tcBorders>
            <w:shd w:val="clear" w:color="000000" w:fill="FFFFFF"/>
            <w:noWrap/>
            <w:vAlign w:val="bottom"/>
            <w:hideMark/>
          </w:tcPr>
          <w:p w14:paraId="2BAEC8C3"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B5899A2"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410ACFEA"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6D72BC8"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nil"/>
              <w:right w:val="nil"/>
            </w:tcBorders>
            <w:shd w:val="clear" w:color="000000" w:fill="FFFFFF"/>
            <w:noWrap/>
            <w:vAlign w:val="bottom"/>
            <w:hideMark/>
          </w:tcPr>
          <w:p w14:paraId="17B78774"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r>
      <w:tr w:rsidR="00EA34FA" w:rsidRPr="00EA34FA" w14:paraId="57EE5D50" w14:textId="77777777" w:rsidTr="00080EB6">
        <w:trPr>
          <w:trHeight w:val="302"/>
        </w:trPr>
        <w:tc>
          <w:tcPr>
            <w:tcW w:w="4037" w:type="dxa"/>
            <w:tcBorders>
              <w:top w:val="nil"/>
              <w:left w:val="nil"/>
              <w:bottom w:val="nil"/>
              <w:right w:val="nil"/>
            </w:tcBorders>
            <w:shd w:val="clear" w:color="000000" w:fill="FFFFFF"/>
            <w:noWrap/>
            <w:vAlign w:val="bottom"/>
            <w:hideMark/>
          </w:tcPr>
          <w:p w14:paraId="42FF9E8E"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Productivity and Business Processes</w:t>
            </w:r>
          </w:p>
        </w:tc>
        <w:tc>
          <w:tcPr>
            <w:tcW w:w="994" w:type="dxa"/>
            <w:tcBorders>
              <w:top w:val="nil"/>
              <w:left w:val="nil"/>
              <w:bottom w:val="nil"/>
              <w:right w:val="nil"/>
            </w:tcBorders>
            <w:shd w:val="clear" w:color="000000" w:fill="FFFFFF"/>
            <w:noWrap/>
            <w:vAlign w:val="bottom"/>
            <w:hideMark/>
          </w:tcPr>
          <w:p w14:paraId="637276A4" w14:textId="1CECD406"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$11,752 </w:t>
            </w:r>
          </w:p>
        </w:tc>
        <w:tc>
          <w:tcPr>
            <w:tcW w:w="272" w:type="dxa"/>
            <w:tcBorders>
              <w:top w:val="nil"/>
              <w:left w:val="nil"/>
              <w:bottom w:val="nil"/>
              <w:right w:val="nil"/>
            </w:tcBorders>
            <w:shd w:val="clear" w:color="000000" w:fill="FFFFFF"/>
            <w:noWrap/>
            <w:vAlign w:val="bottom"/>
            <w:hideMark/>
          </w:tcPr>
          <w:p w14:paraId="393E4F3D"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vertAlign w:val="superscript"/>
              </w:rPr>
              <w:t> </w:t>
            </w:r>
          </w:p>
        </w:tc>
        <w:tc>
          <w:tcPr>
            <w:tcW w:w="930" w:type="dxa"/>
            <w:tcBorders>
              <w:top w:val="nil"/>
              <w:left w:val="nil"/>
              <w:bottom w:val="nil"/>
              <w:right w:val="nil"/>
            </w:tcBorders>
            <w:shd w:val="clear" w:color="000000" w:fill="FFFFFF"/>
            <w:noWrap/>
            <w:vAlign w:val="bottom"/>
            <w:hideMark/>
          </w:tcPr>
          <w:p w14:paraId="2672B2F3" w14:textId="448EB92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$11,047 </w:t>
            </w:r>
          </w:p>
        </w:tc>
        <w:tc>
          <w:tcPr>
            <w:tcW w:w="272" w:type="dxa"/>
            <w:tcBorders>
              <w:top w:val="nil"/>
              <w:left w:val="nil"/>
              <w:bottom w:val="nil"/>
              <w:right w:val="nil"/>
            </w:tcBorders>
            <w:shd w:val="clear" w:color="000000" w:fill="FFFFFF"/>
            <w:noWrap/>
            <w:vAlign w:val="bottom"/>
            <w:hideMark/>
          </w:tcPr>
          <w:p w14:paraId="1947DB50"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74B54707"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 $46,398 </w:t>
            </w:r>
          </w:p>
        </w:tc>
        <w:tc>
          <w:tcPr>
            <w:tcW w:w="272" w:type="dxa"/>
            <w:tcBorders>
              <w:top w:val="nil"/>
              <w:left w:val="nil"/>
              <w:bottom w:val="nil"/>
              <w:right w:val="nil"/>
            </w:tcBorders>
            <w:shd w:val="clear" w:color="000000" w:fill="FFFFFF"/>
            <w:noWrap/>
            <w:vAlign w:val="bottom"/>
            <w:hideMark/>
          </w:tcPr>
          <w:p w14:paraId="6972D5DF"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vertAlign w:val="superscript"/>
              </w:rPr>
              <w:t> </w:t>
            </w:r>
          </w:p>
        </w:tc>
        <w:tc>
          <w:tcPr>
            <w:tcW w:w="1058" w:type="dxa"/>
            <w:tcBorders>
              <w:top w:val="nil"/>
              <w:left w:val="nil"/>
              <w:bottom w:val="nil"/>
              <w:right w:val="nil"/>
            </w:tcBorders>
            <w:shd w:val="clear" w:color="000000" w:fill="FFFFFF"/>
            <w:noWrap/>
            <w:vAlign w:val="bottom"/>
            <w:hideMark/>
          </w:tcPr>
          <w:p w14:paraId="7583AF70"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$41,160 </w:t>
            </w:r>
          </w:p>
        </w:tc>
      </w:tr>
      <w:tr w:rsidR="00EA34FA" w:rsidRPr="00EA34FA" w14:paraId="16100BF2" w14:textId="77777777" w:rsidTr="00080EB6">
        <w:trPr>
          <w:trHeight w:val="302"/>
        </w:trPr>
        <w:tc>
          <w:tcPr>
            <w:tcW w:w="4037" w:type="dxa"/>
            <w:tcBorders>
              <w:top w:val="nil"/>
              <w:left w:val="nil"/>
              <w:bottom w:val="nil"/>
              <w:right w:val="nil"/>
            </w:tcBorders>
            <w:shd w:val="clear" w:color="000000" w:fill="FFFFFF"/>
            <w:vAlign w:val="bottom"/>
            <w:hideMark/>
          </w:tcPr>
          <w:p w14:paraId="6E7EA931"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Intelligent Cloud</w:t>
            </w:r>
          </w:p>
        </w:tc>
        <w:tc>
          <w:tcPr>
            <w:tcW w:w="994" w:type="dxa"/>
            <w:tcBorders>
              <w:top w:val="nil"/>
              <w:left w:val="nil"/>
              <w:bottom w:val="nil"/>
              <w:right w:val="nil"/>
            </w:tcBorders>
            <w:shd w:val="clear" w:color="000000" w:fill="FFFFFF"/>
            <w:noWrap/>
            <w:vAlign w:val="bottom"/>
            <w:hideMark/>
          </w:tcPr>
          <w:p w14:paraId="0C2DA28F"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13,371 </w:t>
            </w:r>
          </w:p>
        </w:tc>
        <w:tc>
          <w:tcPr>
            <w:tcW w:w="272" w:type="dxa"/>
            <w:tcBorders>
              <w:top w:val="nil"/>
              <w:left w:val="nil"/>
              <w:bottom w:val="nil"/>
              <w:right w:val="nil"/>
            </w:tcBorders>
            <w:shd w:val="clear" w:color="000000" w:fill="FFFFFF"/>
            <w:noWrap/>
            <w:vAlign w:val="bottom"/>
            <w:hideMark/>
          </w:tcPr>
          <w:p w14:paraId="4DC1EED6"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nil"/>
              <w:right w:val="nil"/>
            </w:tcBorders>
            <w:shd w:val="clear" w:color="000000" w:fill="FFFFFF"/>
            <w:noWrap/>
            <w:vAlign w:val="bottom"/>
            <w:hideMark/>
          </w:tcPr>
          <w:p w14:paraId="23F46C00"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11,391 </w:t>
            </w:r>
          </w:p>
        </w:tc>
        <w:tc>
          <w:tcPr>
            <w:tcW w:w="272" w:type="dxa"/>
            <w:tcBorders>
              <w:top w:val="nil"/>
              <w:left w:val="nil"/>
              <w:bottom w:val="nil"/>
              <w:right w:val="nil"/>
            </w:tcBorders>
            <w:shd w:val="clear" w:color="000000" w:fill="FFFFFF"/>
            <w:noWrap/>
            <w:vAlign w:val="bottom"/>
            <w:hideMark/>
          </w:tcPr>
          <w:p w14:paraId="72DFF0D2"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1426AAAB"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48,366 </w:t>
            </w:r>
          </w:p>
        </w:tc>
        <w:tc>
          <w:tcPr>
            <w:tcW w:w="272" w:type="dxa"/>
            <w:tcBorders>
              <w:top w:val="nil"/>
              <w:left w:val="nil"/>
              <w:bottom w:val="nil"/>
              <w:right w:val="nil"/>
            </w:tcBorders>
            <w:shd w:val="clear" w:color="000000" w:fill="FFFFFF"/>
            <w:noWrap/>
            <w:vAlign w:val="bottom"/>
            <w:hideMark/>
          </w:tcPr>
          <w:p w14:paraId="2A6E17B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nil"/>
              <w:right w:val="nil"/>
            </w:tcBorders>
            <w:shd w:val="clear" w:color="000000" w:fill="FFFFFF"/>
            <w:noWrap/>
            <w:vAlign w:val="bottom"/>
            <w:hideMark/>
          </w:tcPr>
          <w:p w14:paraId="5C8FDCA2"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38,985 </w:t>
            </w:r>
          </w:p>
        </w:tc>
      </w:tr>
      <w:tr w:rsidR="00EA34FA" w:rsidRPr="00EA34FA" w14:paraId="0185038B" w14:textId="77777777" w:rsidTr="00080EB6">
        <w:trPr>
          <w:trHeight w:val="302"/>
        </w:trPr>
        <w:tc>
          <w:tcPr>
            <w:tcW w:w="4037" w:type="dxa"/>
            <w:tcBorders>
              <w:top w:val="nil"/>
              <w:left w:val="nil"/>
              <w:bottom w:val="single" w:sz="4" w:space="0" w:color="auto"/>
              <w:right w:val="nil"/>
            </w:tcBorders>
            <w:shd w:val="clear" w:color="000000" w:fill="FFFFFF"/>
            <w:noWrap/>
            <w:vAlign w:val="bottom"/>
            <w:hideMark/>
          </w:tcPr>
          <w:p w14:paraId="00A6F545"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More Personal Computing</w:t>
            </w:r>
          </w:p>
        </w:tc>
        <w:tc>
          <w:tcPr>
            <w:tcW w:w="994" w:type="dxa"/>
            <w:tcBorders>
              <w:top w:val="nil"/>
              <w:left w:val="nil"/>
              <w:bottom w:val="single" w:sz="4" w:space="0" w:color="auto"/>
              <w:right w:val="nil"/>
            </w:tcBorders>
            <w:shd w:val="clear" w:color="000000" w:fill="FFFFFF"/>
            <w:noWrap/>
            <w:vAlign w:val="bottom"/>
            <w:hideMark/>
          </w:tcPr>
          <w:p w14:paraId="201C0DF1"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12,910 </w:t>
            </w:r>
          </w:p>
        </w:tc>
        <w:tc>
          <w:tcPr>
            <w:tcW w:w="272" w:type="dxa"/>
            <w:tcBorders>
              <w:top w:val="nil"/>
              <w:left w:val="nil"/>
              <w:bottom w:val="nil"/>
              <w:right w:val="nil"/>
            </w:tcBorders>
            <w:shd w:val="clear" w:color="000000" w:fill="FFFFFF"/>
            <w:noWrap/>
            <w:vAlign w:val="bottom"/>
            <w:hideMark/>
          </w:tcPr>
          <w:p w14:paraId="6F4FA107"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single" w:sz="4" w:space="0" w:color="auto"/>
              <w:right w:val="nil"/>
            </w:tcBorders>
            <w:shd w:val="clear" w:color="000000" w:fill="FFFFFF"/>
            <w:noWrap/>
            <w:vAlign w:val="bottom"/>
            <w:hideMark/>
          </w:tcPr>
          <w:p w14:paraId="5CE18403"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11,279 </w:t>
            </w:r>
          </w:p>
        </w:tc>
        <w:tc>
          <w:tcPr>
            <w:tcW w:w="272" w:type="dxa"/>
            <w:tcBorders>
              <w:top w:val="nil"/>
              <w:left w:val="nil"/>
              <w:bottom w:val="nil"/>
              <w:right w:val="nil"/>
            </w:tcBorders>
            <w:shd w:val="clear" w:color="000000" w:fill="FFFFFF"/>
            <w:noWrap/>
            <w:vAlign w:val="bottom"/>
            <w:hideMark/>
          </w:tcPr>
          <w:p w14:paraId="52925010"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single" w:sz="4" w:space="0" w:color="auto"/>
              <w:right w:val="nil"/>
            </w:tcBorders>
            <w:shd w:val="clear" w:color="000000" w:fill="FFFFFF"/>
            <w:noWrap/>
            <w:vAlign w:val="bottom"/>
            <w:hideMark/>
          </w:tcPr>
          <w:p w14:paraId="5216620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48,251 </w:t>
            </w:r>
          </w:p>
        </w:tc>
        <w:tc>
          <w:tcPr>
            <w:tcW w:w="272" w:type="dxa"/>
            <w:tcBorders>
              <w:top w:val="nil"/>
              <w:left w:val="nil"/>
              <w:bottom w:val="nil"/>
              <w:right w:val="nil"/>
            </w:tcBorders>
            <w:shd w:val="clear" w:color="000000" w:fill="FFFFFF"/>
            <w:noWrap/>
            <w:vAlign w:val="bottom"/>
            <w:hideMark/>
          </w:tcPr>
          <w:p w14:paraId="3FBACBA8"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single" w:sz="4" w:space="0" w:color="auto"/>
              <w:right w:val="nil"/>
            </w:tcBorders>
            <w:shd w:val="clear" w:color="000000" w:fill="FFFFFF"/>
            <w:noWrap/>
            <w:vAlign w:val="bottom"/>
            <w:hideMark/>
          </w:tcPr>
          <w:p w14:paraId="7C23B934"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45,698 </w:t>
            </w:r>
          </w:p>
        </w:tc>
      </w:tr>
      <w:tr w:rsidR="00EA34FA" w:rsidRPr="00EA34FA" w14:paraId="6F0BD2EE" w14:textId="77777777" w:rsidTr="00080EB6">
        <w:trPr>
          <w:trHeight w:val="302"/>
        </w:trPr>
        <w:tc>
          <w:tcPr>
            <w:tcW w:w="4037" w:type="dxa"/>
            <w:tcBorders>
              <w:top w:val="nil"/>
              <w:left w:val="nil"/>
              <w:bottom w:val="nil"/>
              <w:right w:val="nil"/>
            </w:tcBorders>
            <w:shd w:val="clear" w:color="000000" w:fill="FFFFFF"/>
            <w:noWrap/>
            <w:vAlign w:val="bottom"/>
            <w:hideMark/>
          </w:tcPr>
          <w:p w14:paraId="66E5A484"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Total</w:t>
            </w:r>
          </w:p>
        </w:tc>
        <w:tc>
          <w:tcPr>
            <w:tcW w:w="994" w:type="dxa"/>
            <w:tcBorders>
              <w:top w:val="nil"/>
              <w:left w:val="nil"/>
              <w:bottom w:val="single" w:sz="8" w:space="0" w:color="auto"/>
              <w:right w:val="nil"/>
            </w:tcBorders>
            <w:shd w:val="clear" w:color="000000" w:fill="FFFFFF"/>
            <w:noWrap/>
            <w:vAlign w:val="bottom"/>
            <w:hideMark/>
          </w:tcPr>
          <w:p w14:paraId="12E53E90" w14:textId="3261F83E"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$38,033 </w:t>
            </w:r>
          </w:p>
        </w:tc>
        <w:tc>
          <w:tcPr>
            <w:tcW w:w="272" w:type="dxa"/>
            <w:tcBorders>
              <w:top w:val="nil"/>
              <w:left w:val="nil"/>
              <w:bottom w:val="nil"/>
              <w:right w:val="nil"/>
            </w:tcBorders>
            <w:shd w:val="clear" w:color="000000" w:fill="FFFFFF"/>
            <w:noWrap/>
            <w:vAlign w:val="bottom"/>
            <w:hideMark/>
          </w:tcPr>
          <w:p w14:paraId="7F9DDABF"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single" w:sz="8" w:space="0" w:color="auto"/>
              <w:right w:val="nil"/>
            </w:tcBorders>
            <w:shd w:val="clear" w:color="000000" w:fill="FFFFFF"/>
            <w:noWrap/>
            <w:vAlign w:val="bottom"/>
            <w:hideMark/>
          </w:tcPr>
          <w:p w14:paraId="65DDD9AE" w14:textId="737D2BA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$33,717 </w:t>
            </w:r>
          </w:p>
        </w:tc>
        <w:tc>
          <w:tcPr>
            <w:tcW w:w="272" w:type="dxa"/>
            <w:tcBorders>
              <w:top w:val="nil"/>
              <w:left w:val="nil"/>
              <w:bottom w:val="nil"/>
              <w:right w:val="nil"/>
            </w:tcBorders>
            <w:shd w:val="clear" w:color="000000" w:fill="FFFFFF"/>
            <w:noWrap/>
            <w:vAlign w:val="bottom"/>
            <w:hideMark/>
          </w:tcPr>
          <w:p w14:paraId="0AF4D1A3"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single" w:sz="8" w:space="0" w:color="auto"/>
              <w:right w:val="nil"/>
            </w:tcBorders>
            <w:shd w:val="clear" w:color="000000" w:fill="FFFFFF"/>
            <w:noWrap/>
            <w:vAlign w:val="bottom"/>
            <w:hideMark/>
          </w:tcPr>
          <w:p w14:paraId="6D1B237E"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 $143,015 </w:t>
            </w:r>
          </w:p>
        </w:tc>
        <w:tc>
          <w:tcPr>
            <w:tcW w:w="272" w:type="dxa"/>
            <w:tcBorders>
              <w:top w:val="nil"/>
              <w:left w:val="nil"/>
              <w:bottom w:val="nil"/>
              <w:right w:val="nil"/>
            </w:tcBorders>
            <w:shd w:val="clear" w:color="000000" w:fill="FFFFFF"/>
            <w:noWrap/>
            <w:vAlign w:val="bottom"/>
            <w:hideMark/>
          </w:tcPr>
          <w:p w14:paraId="452D8B57"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single" w:sz="8" w:space="0" w:color="auto"/>
              <w:right w:val="nil"/>
            </w:tcBorders>
            <w:shd w:val="clear" w:color="000000" w:fill="FFFFFF"/>
            <w:noWrap/>
            <w:vAlign w:val="bottom"/>
            <w:hideMark/>
          </w:tcPr>
          <w:p w14:paraId="7F47581A" w14:textId="24008A4C"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$125,843 </w:t>
            </w:r>
          </w:p>
        </w:tc>
      </w:tr>
      <w:tr w:rsidR="00EA34FA" w:rsidRPr="00EA34FA" w14:paraId="6E6E93AB" w14:textId="77777777" w:rsidTr="00080EB6">
        <w:trPr>
          <w:trHeight w:val="302"/>
        </w:trPr>
        <w:tc>
          <w:tcPr>
            <w:tcW w:w="4037" w:type="dxa"/>
            <w:tcBorders>
              <w:top w:val="nil"/>
              <w:left w:val="nil"/>
              <w:bottom w:val="nil"/>
              <w:right w:val="nil"/>
            </w:tcBorders>
            <w:shd w:val="clear" w:color="000000" w:fill="FFFFFF"/>
            <w:noWrap/>
            <w:vAlign w:val="bottom"/>
            <w:hideMark/>
          </w:tcPr>
          <w:p w14:paraId="33A7ED79"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Operating Income</w:t>
            </w:r>
          </w:p>
        </w:tc>
        <w:tc>
          <w:tcPr>
            <w:tcW w:w="994" w:type="dxa"/>
            <w:tcBorders>
              <w:top w:val="nil"/>
              <w:left w:val="nil"/>
              <w:bottom w:val="nil"/>
              <w:right w:val="nil"/>
            </w:tcBorders>
            <w:shd w:val="clear" w:color="000000" w:fill="FFFFFF"/>
            <w:noWrap/>
            <w:vAlign w:val="bottom"/>
            <w:hideMark/>
          </w:tcPr>
          <w:p w14:paraId="4C4DFBEB"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6C652B7"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nil"/>
              <w:right w:val="nil"/>
            </w:tcBorders>
            <w:shd w:val="clear" w:color="000000" w:fill="FFFFFF"/>
            <w:noWrap/>
            <w:vAlign w:val="bottom"/>
            <w:hideMark/>
          </w:tcPr>
          <w:p w14:paraId="61602958"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11F0044"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5D5A0EBD"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2F440ED"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nil"/>
              <w:right w:val="nil"/>
            </w:tcBorders>
            <w:shd w:val="clear" w:color="000000" w:fill="FFFFFF"/>
            <w:noWrap/>
            <w:vAlign w:val="bottom"/>
            <w:hideMark/>
          </w:tcPr>
          <w:p w14:paraId="4F6B9CE3"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r>
      <w:tr w:rsidR="00EA34FA" w:rsidRPr="00EA34FA" w14:paraId="01B91B02" w14:textId="77777777" w:rsidTr="00080EB6">
        <w:trPr>
          <w:trHeight w:val="302"/>
        </w:trPr>
        <w:tc>
          <w:tcPr>
            <w:tcW w:w="4037" w:type="dxa"/>
            <w:tcBorders>
              <w:top w:val="nil"/>
              <w:left w:val="nil"/>
              <w:bottom w:val="nil"/>
              <w:right w:val="nil"/>
            </w:tcBorders>
            <w:shd w:val="clear" w:color="000000" w:fill="FFFFFF"/>
            <w:noWrap/>
            <w:vAlign w:val="bottom"/>
            <w:hideMark/>
          </w:tcPr>
          <w:p w14:paraId="2323F3D8"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Productivity and Business Processes</w:t>
            </w:r>
          </w:p>
        </w:tc>
        <w:tc>
          <w:tcPr>
            <w:tcW w:w="994" w:type="dxa"/>
            <w:tcBorders>
              <w:top w:val="nil"/>
              <w:left w:val="nil"/>
              <w:bottom w:val="nil"/>
              <w:right w:val="nil"/>
            </w:tcBorders>
            <w:shd w:val="clear" w:color="000000" w:fill="FFFFFF"/>
            <w:noWrap/>
            <w:vAlign w:val="bottom"/>
            <w:hideMark/>
          </w:tcPr>
          <w:p w14:paraId="354E6E86"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 $3,972 </w:t>
            </w:r>
          </w:p>
        </w:tc>
        <w:tc>
          <w:tcPr>
            <w:tcW w:w="272" w:type="dxa"/>
            <w:tcBorders>
              <w:top w:val="nil"/>
              <w:left w:val="nil"/>
              <w:bottom w:val="nil"/>
              <w:right w:val="nil"/>
            </w:tcBorders>
            <w:shd w:val="clear" w:color="000000" w:fill="FFFFFF"/>
            <w:noWrap/>
            <w:vAlign w:val="bottom"/>
            <w:hideMark/>
          </w:tcPr>
          <w:p w14:paraId="1CF2E858"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nil"/>
              <w:right w:val="nil"/>
            </w:tcBorders>
            <w:shd w:val="clear" w:color="000000" w:fill="FFFFFF"/>
            <w:noWrap/>
            <w:vAlign w:val="bottom"/>
            <w:hideMark/>
          </w:tcPr>
          <w:p w14:paraId="2DC82D65"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$4,344 </w:t>
            </w:r>
          </w:p>
        </w:tc>
        <w:tc>
          <w:tcPr>
            <w:tcW w:w="272" w:type="dxa"/>
            <w:tcBorders>
              <w:top w:val="nil"/>
              <w:left w:val="nil"/>
              <w:bottom w:val="nil"/>
              <w:right w:val="nil"/>
            </w:tcBorders>
            <w:shd w:val="clear" w:color="000000" w:fill="FFFFFF"/>
            <w:noWrap/>
            <w:vAlign w:val="bottom"/>
            <w:hideMark/>
          </w:tcPr>
          <w:p w14:paraId="738242B8"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67469489"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 $18,724 </w:t>
            </w:r>
          </w:p>
        </w:tc>
        <w:tc>
          <w:tcPr>
            <w:tcW w:w="272" w:type="dxa"/>
            <w:tcBorders>
              <w:top w:val="nil"/>
              <w:left w:val="nil"/>
              <w:bottom w:val="nil"/>
              <w:right w:val="nil"/>
            </w:tcBorders>
            <w:shd w:val="clear" w:color="000000" w:fill="FFFFFF"/>
            <w:noWrap/>
            <w:vAlign w:val="bottom"/>
            <w:hideMark/>
          </w:tcPr>
          <w:p w14:paraId="19BD4A2D"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nil"/>
              <w:right w:val="nil"/>
            </w:tcBorders>
            <w:shd w:val="clear" w:color="000000" w:fill="FFFFFF"/>
            <w:noWrap/>
            <w:vAlign w:val="bottom"/>
            <w:hideMark/>
          </w:tcPr>
          <w:p w14:paraId="0DD3643C"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$16,219 </w:t>
            </w:r>
          </w:p>
        </w:tc>
      </w:tr>
      <w:tr w:rsidR="00EA34FA" w:rsidRPr="00EA34FA" w14:paraId="3F223951" w14:textId="77777777" w:rsidTr="00080EB6">
        <w:trPr>
          <w:trHeight w:val="302"/>
        </w:trPr>
        <w:tc>
          <w:tcPr>
            <w:tcW w:w="4037" w:type="dxa"/>
            <w:tcBorders>
              <w:top w:val="nil"/>
              <w:left w:val="nil"/>
              <w:bottom w:val="nil"/>
              <w:right w:val="nil"/>
            </w:tcBorders>
            <w:shd w:val="clear" w:color="000000" w:fill="FFFFFF"/>
            <w:noWrap/>
            <w:vAlign w:val="bottom"/>
            <w:hideMark/>
          </w:tcPr>
          <w:p w14:paraId="354DBA99"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Intelligent Cloud</w:t>
            </w:r>
          </w:p>
        </w:tc>
        <w:tc>
          <w:tcPr>
            <w:tcW w:w="994" w:type="dxa"/>
            <w:tcBorders>
              <w:top w:val="nil"/>
              <w:left w:val="nil"/>
              <w:bottom w:val="nil"/>
              <w:right w:val="nil"/>
            </w:tcBorders>
            <w:shd w:val="clear" w:color="000000" w:fill="FFFFFF"/>
            <w:noWrap/>
            <w:vAlign w:val="bottom"/>
            <w:hideMark/>
          </w:tcPr>
          <w:p w14:paraId="01FC5322"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5,344 </w:t>
            </w:r>
          </w:p>
        </w:tc>
        <w:tc>
          <w:tcPr>
            <w:tcW w:w="272" w:type="dxa"/>
            <w:tcBorders>
              <w:top w:val="nil"/>
              <w:left w:val="nil"/>
              <w:bottom w:val="nil"/>
              <w:right w:val="nil"/>
            </w:tcBorders>
            <w:shd w:val="clear" w:color="000000" w:fill="FFFFFF"/>
            <w:noWrap/>
            <w:vAlign w:val="bottom"/>
            <w:hideMark/>
          </w:tcPr>
          <w:p w14:paraId="480DF7C6"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nil"/>
              <w:right w:val="nil"/>
            </w:tcBorders>
            <w:shd w:val="clear" w:color="000000" w:fill="FFFFFF"/>
            <w:noWrap/>
            <w:vAlign w:val="bottom"/>
            <w:hideMark/>
          </w:tcPr>
          <w:p w14:paraId="5AE73827"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4,502 </w:t>
            </w:r>
          </w:p>
        </w:tc>
        <w:tc>
          <w:tcPr>
            <w:tcW w:w="272" w:type="dxa"/>
            <w:tcBorders>
              <w:top w:val="nil"/>
              <w:left w:val="nil"/>
              <w:bottom w:val="nil"/>
              <w:right w:val="nil"/>
            </w:tcBorders>
            <w:shd w:val="clear" w:color="000000" w:fill="FFFFFF"/>
            <w:noWrap/>
            <w:vAlign w:val="bottom"/>
            <w:hideMark/>
          </w:tcPr>
          <w:p w14:paraId="73621D1C"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nil"/>
              <w:right w:val="nil"/>
            </w:tcBorders>
            <w:shd w:val="clear" w:color="000000" w:fill="FFFFFF"/>
            <w:noWrap/>
            <w:vAlign w:val="bottom"/>
            <w:hideMark/>
          </w:tcPr>
          <w:p w14:paraId="1603BF6C"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18,324 </w:t>
            </w:r>
          </w:p>
        </w:tc>
        <w:tc>
          <w:tcPr>
            <w:tcW w:w="272" w:type="dxa"/>
            <w:tcBorders>
              <w:top w:val="nil"/>
              <w:left w:val="nil"/>
              <w:bottom w:val="nil"/>
              <w:right w:val="nil"/>
            </w:tcBorders>
            <w:shd w:val="clear" w:color="000000" w:fill="FFFFFF"/>
            <w:noWrap/>
            <w:vAlign w:val="bottom"/>
            <w:hideMark/>
          </w:tcPr>
          <w:p w14:paraId="28D35CA4"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nil"/>
              <w:right w:val="nil"/>
            </w:tcBorders>
            <w:shd w:val="clear" w:color="000000" w:fill="FFFFFF"/>
            <w:noWrap/>
            <w:vAlign w:val="bottom"/>
            <w:hideMark/>
          </w:tcPr>
          <w:p w14:paraId="4F95C137"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13,920 </w:t>
            </w:r>
          </w:p>
        </w:tc>
      </w:tr>
      <w:tr w:rsidR="00EA34FA" w:rsidRPr="00EA34FA" w14:paraId="63D9931B" w14:textId="77777777" w:rsidTr="00080EB6">
        <w:trPr>
          <w:trHeight w:val="302"/>
        </w:trPr>
        <w:tc>
          <w:tcPr>
            <w:tcW w:w="4037" w:type="dxa"/>
            <w:tcBorders>
              <w:top w:val="nil"/>
              <w:left w:val="nil"/>
              <w:bottom w:val="single" w:sz="4" w:space="0" w:color="auto"/>
              <w:right w:val="nil"/>
            </w:tcBorders>
            <w:shd w:val="clear" w:color="000000" w:fill="FFFFFF"/>
            <w:noWrap/>
            <w:vAlign w:val="bottom"/>
            <w:hideMark/>
          </w:tcPr>
          <w:p w14:paraId="1EFDA634"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More Personal Computing</w:t>
            </w:r>
          </w:p>
        </w:tc>
        <w:tc>
          <w:tcPr>
            <w:tcW w:w="994" w:type="dxa"/>
            <w:tcBorders>
              <w:top w:val="nil"/>
              <w:left w:val="nil"/>
              <w:bottom w:val="single" w:sz="4" w:space="0" w:color="auto"/>
              <w:right w:val="nil"/>
            </w:tcBorders>
            <w:shd w:val="clear" w:color="000000" w:fill="FFFFFF"/>
            <w:noWrap/>
            <w:vAlign w:val="bottom"/>
            <w:hideMark/>
          </w:tcPr>
          <w:p w14:paraId="03DDE133"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4,091 </w:t>
            </w:r>
          </w:p>
        </w:tc>
        <w:tc>
          <w:tcPr>
            <w:tcW w:w="272" w:type="dxa"/>
            <w:tcBorders>
              <w:top w:val="nil"/>
              <w:left w:val="nil"/>
              <w:bottom w:val="nil"/>
              <w:right w:val="nil"/>
            </w:tcBorders>
            <w:shd w:val="clear" w:color="000000" w:fill="FFFFFF"/>
            <w:noWrap/>
            <w:vAlign w:val="bottom"/>
            <w:hideMark/>
          </w:tcPr>
          <w:p w14:paraId="72151FDD"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vertAlign w:val="superscript"/>
              </w:rPr>
              <w:t> </w:t>
            </w:r>
          </w:p>
        </w:tc>
        <w:tc>
          <w:tcPr>
            <w:tcW w:w="930" w:type="dxa"/>
            <w:tcBorders>
              <w:top w:val="nil"/>
              <w:left w:val="nil"/>
              <w:bottom w:val="single" w:sz="4" w:space="0" w:color="auto"/>
              <w:right w:val="nil"/>
            </w:tcBorders>
            <w:shd w:val="clear" w:color="000000" w:fill="FFFFFF"/>
            <w:noWrap/>
            <w:vAlign w:val="bottom"/>
            <w:hideMark/>
          </w:tcPr>
          <w:p w14:paraId="2F746649"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3,559 </w:t>
            </w:r>
          </w:p>
        </w:tc>
        <w:tc>
          <w:tcPr>
            <w:tcW w:w="272" w:type="dxa"/>
            <w:tcBorders>
              <w:top w:val="nil"/>
              <w:left w:val="nil"/>
              <w:bottom w:val="nil"/>
              <w:right w:val="nil"/>
            </w:tcBorders>
            <w:shd w:val="clear" w:color="000000" w:fill="FFFFFF"/>
            <w:noWrap/>
            <w:vAlign w:val="bottom"/>
            <w:hideMark/>
          </w:tcPr>
          <w:p w14:paraId="1F84C1E2"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single" w:sz="4" w:space="0" w:color="auto"/>
              <w:right w:val="nil"/>
            </w:tcBorders>
            <w:shd w:val="clear" w:color="000000" w:fill="FFFFFF"/>
            <w:noWrap/>
            <w:vAlign w:val="bottom"/>
            <w:hideMark/>
          </w:tcPr>
          <w:p w14:paraId="430EB9E4"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15,911 </w:t>
            </w:r>
          </w:p>
        </w:tc>
        <w:tc>
          <w:tcPr>
            <w:tcW w:w="272" w:type="dxa"/>
            <w:tcBorders>
              <w:top w:val="nil"/>
              <w:left w:val="nil"/>
              <w:bottom w:val="nil"/>
              <w:right w:val="nil"/>
            </w:tcBorders>
            <w:shd w:val="clear" w:color="000000" w:fill="FFFFFF"/>
            <w:noWrap/>
            <w:vAlign w:val="bottom"/>
            <w:hideMark/>
          </w:tcPr>
          <w:p w14:paraId="26FE41E9"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vertAlign w:val="superscript"/>
              </w:rPr>
              <w:t> </w:t>
            </w:r>
          </w:p>
        </w:tc>
        <w:tc>
          <w:tcPr>
            <w:tcW w:w="1058" w:type="dxa"/>
            <w:tcBorders>
              <w:top w:val="nil"/>
              <w:left w:val="nil"/>
              <w:bottom w:val="single" w:sz="4" w:space="0" w:color="auto"/>
              <w:right w:val="nil"/>
            </w:tcBorders>
            <w:shd w:val="clear" w:color="000000" w:fill="FFFFFF"/>
            <w:noWrap/>
            <w:vAlign w:val="bottom"/>
            <w:hideMark/>
          </w:tcPr>
          <w:p w14:paraId="03335892"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12,820 </w:t>
            </w:r>
          </w:p>
        </w:tc>
      </w:tr>
      <w:tr w:rsidR="00EA34FA" w:rsidRPr="00EA34FA" w14:paraId="42CCFA5C" w14:textId="77777777" w:rsidTr="00080EB6">
        <w:trPr>
          <w:trHeight w:val="302"/>
        </w:trPr>
        <w:tc>
          <w:tcPr>
            <w:tcW w:w="4037" w:type="dxa"/>
            <w:tcBorders>
              <w:top w:val="nil"/>
              <w:left w:val="nil"/>
              <w:bottom w:val="nil"/>
              <w:right w:val="nil"/>
            </w:tcBorders>
            <w:shd w:val="clear" w:color="000000" w:fill="FFFFFF"/>
            <w:noWrap/>
            <w:vAlign w:val="bottom"/>
            <w:hideMark/>
          </w:tcPr>
          <w:p w14:paraId="2CED6A40"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Total</w:t>
            </w:r>
          </w:p>
        </w:tc>
        <w:tc>
          <w:tcPr>
            <w:tcW w:w="994" w:type="dxa"/>
            <w:tcBorders>
              <w:top w:val="nil"/>
              <w:left w:val="nil"/>
              <w:bottom w:val="single" w:sz="8" w:space="0" w:color="auto"/>
              <w:right w:val="nil"/>
            </w:tcBorders>
            <w:shd w:val="clear" w:color="000000" w:fill="FFFFFF"/>
            <w:noWrap/>
            <w:vAlign w:val="bottom"/>
            <w:hideMark/>
          </w:tcPr>
          <w:p w14:paraId="2B11D1E6" w14:textId="43C65D5A"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$13,407 </w:t>
            </w:r>
          </w:p>
        </w:tc>
        <w:tc>
          <w:tcPr>
            <w:tcW w:w="272" w:type="dxa"/>
            <w:tcBorders>
              <w:top w:val="nil"/>
              <w:left w:val="nil"/>
              <w:bottom w:val="nil"/>
              <w:right w:val="nil"/>
            </w:tcBorders>
            <w:shd w:val="clear" w:color="000000" w:fill="FFFFFF"/>
            <w:noWrap/>
            <w:vAlign w:val="bottom"/>
            <w:hideMark/>
          </w:tcPr>
          <w:p w14:paraId="65AE2451"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930" w:type="dxa"/>
            <w:tcBorders>
              <w:top w:val="nil"/>
              <w:left w:val="nil"/>
              <w:bottom w:val="single" w:sz="8" w:space="0" w:color="auto"/>
              <w:right w:val="nil"/>
            </w:tcBorders>
            <w:shd w:val="clear" w:color="000000" w:fill="FFFFFF"/>
            <w:noWrap/>
            <w:vAlign w:val="bottom"/>
            <w:hideMark/>
          </w:tcPr>
          <w:p w14:paraId="64B4275E" w14:textId="2BF81412"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$12,405 </w:t>
            </w:r>
          </w:p>
        </w:tc>
        <w:tc>
          <w:tcPr>
            <w:tcW w:w="272" w:type="dxa"/>
            <w:tcBorders>
              <w:top w:val="nil"/>
              <w:left w:val="nil"/>
              <w:bottom w:val="nil"/>
              <w:right w:val="nil"/>
            </w:tcBorders>
            <w:shd w:val="clear" w:color="000000" w:fill="FFFFFF"/>
            <w:noWrap/>
            <w:vAlign w:val="bottom"/>
            <w:hideMark/>
          </w:tcPr>
          <w:p w14:paraId="6E572939" w14:textId="77777777" w:rsidR="00EA34FA" w:rsidRPr="00EA34FA" w:rsidRDefault="00EA34FA" w:rsidP="00EA34FA">
            <w:pPr>
              <w:spacing w:after="0" w:line="240" w:lineRule="auto"/>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w:t>
            </w:r>
          </w:p>
        </w:tc>
        <w:tc>
          <w:tcPr>
            <w:tcW w:w="1132" w:type="dxa"/>
            <w:tcBorders>
              <w:top w:val="nil"/>
              <w:left w:val="nil"/>
              <w:bottom w:val="single" w:sz="8" w:space="0" w:color="auto"/>
              <w:right w:val="nil"/>
            </w:tcBorders>
            <w:shd w:val="clear" w:color="000000" w:fill="FFFFFF"/>
            <w:noWrap/>
            <w:vAlign w:val="bottom"/>
            <w:hideMark/>
          </w:tcPr>
          <w:p w14:paraId="20D55503" w14:textId="77777777" w:rsidR="00EA34FA" w:rsidRPr="00EA34FA" w:rsidRDefault="00EA34FA" w:rsidP="00EA34FA">
            <w:pPr>
              <w:spacing w:after="0" w:line="240" w:lineRule="auto"/>
              <w:jc w:val="right"/>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xml:space="preserve"> $52,959 </w:t>
            </w:r>
          </w:p>
        </w:tc>
        <w:tc>
          <w:tcPr>
            <w:tcW w:w="272" w:type="dxa"/>
            <w:tcBorders>
              <w:top w:val="nil"/>
              <w:left w:val="nil"/>
              <w:bottom w:val="nil"/>
              <w:right w:val="nil"/>
            </w:tcBorders>
            <w:shd w:val="clear" w:color="000000" w:fill="FFFFFF"/>
            <w:noWrap/>
            <w:vAlign w:val="bottom"/>
            <w:hideMark/>
          </w:tcPr>
          <w:p w14:paraId="332B1DBF" w14:textId="77777777" w:rsidR="00EA34FA" w:rsidRPr="00EA34FA" w:rsidRDefault="00EA34FA" w:rsidP="00EA34FA">
            <w:pPr>
              <w:spacing w:after="0" w:line="240" w:lineRule="auto"/>
              <w:rPr>
                <w:rFonts w:ascii="Segoe UI" w:eastAsia="Times New Roman" w:hAnsi="Segoe UI" w:cs="Segoe UI"/>
                <w:b/>
                <w:bCs/>
                <w:color w:val="666666"/>
                <w:sz w:val="20"/>
                <w:szCs w:val="20"/>
              </w:rPr>
            </w:pPr>
            <w:r w:rsidRPr="00EA34FA">
              <w:rPr>
                <w:rFonts w:ascii="Segoe UI" w:eastAsia="Times New Roman" w:hAnsi="Segoe UI" w:cs="Segoe UI"/>
                <w:b/>
                <w:bCs/>
                <w:color w:val="666666"/>
                <w:sz w:val="20"/>
                <w:szCs w:val="20"/>
              </w:rPr>
              <w:t> </w:t>
            </w:r>
          </w:p>
        </w:tc>
        <w:tc>
          <w:tcPr>
            <w:tcW w:w="1058" w:type="dxa"/>
            <w:tcBorders>
              <w:top w:val="nil"/>
              <w:left w:val="nil"/>
              <w:bottom w:val="single" w:sz="8" w:space="0" w:color="auto"/>
              <w:right w:val="nil"/>
            </w:tcBorders>
            <w:shd w:val="clear" w:color="000000" w:fill="FFFFFF"/>
            <w:noWrap/>
            <w:vAlign w:val="bottom"/>
            <w:hideMark/>
          </w:tcPr>
          <w:p w14:paraId="1820F112" w14:textId="77777777" w:rsidR="00EA34FA" w:rsidRPr="00EA34FA" w:rsidRDefault="00EA34FA" w:rsidP="00EA34FA">
            <w:pPr>
              <w:spacing w:after="0" w:line="240" w:lineRule="auto"/>
              <w:jc w:val="right"/>
              <w:rPr>
                <w:rFonts w:ascii="Segoe UI" w:eastAsia="Times New Roman" w:hAnsi="Segoe UI" w:cs="Segoe UI"/>
                <w:color w:val="666666"/>
                <w:sz w:val="20"/>
                <w:szCs w:val="20"/>
              </w:rPr>
            </w:pPr>
            <w:r w:rsidRPr="00EA34FA">
              <w:rPr>
                <w:rFonts w:ascii="Segoe UI" w:eastAsia="Times New Roman" w:hAnsi="Segoe UI" w:cs="Segoe UI"/>
                <w:color w:val="666666"/>
                <w:sz w:val="20"/>
                <w:szCs w:val="20"/>
              </w:rPr>
              <w:t xml:space="preserve"> $42,959 </w:t>
            </w:r>
          </w:p>
        </w:tc>
      </w:tr>
    </w:tbl>
    <w:p w14:paraId="4DD4ECA1" w14:textId="77777777" w:rsidR="00D54C22" w:rsidRDefault="00D54C22" w:rsidP="00D54C22">
      <w:pPr>
        <w:rPr>
          <w:rFonts w:ascii="Times New Roman" w:hAnsi="Times New Roman"/>
          <w:sz w:val="24"/>
          <w:szCs w:val="24"/>
        </w:rPr>
      </w:pPr>
    </w:p>
    <w:p w14:paraId="4015A393" w14:textId="77777777" w:rsidR="00D54C22" w:rsidRDefault="00D54C22" w:rsidP="00D54C22">
      <w:pPr>
        <w:spacing w:after="160" w:line="259" w:lineRule="auto"/>
        <w:rPr>
          <w:rFonts w:ascii="Times New Roman" w:hAnsi="Times New Roman"/>
          <w:sz w:val="24"/>
          <w:szCs w:val="24"/>
        </w:rPr>
      </w:pPr>
      <w:r>
        <w:rPr>
          <w:rFonts w:ascii="Times New Roman" w:hAnsi="Times New Roman"/>
          <w:sz w:val="24"/>
          <w:szCs w:val="24"/>
        </w:rPr>
        <w:br w:type="page"/>
      </w:r>
    </w:p>
    <w:p w14:paraId="193104B0" w14:textId="77777777" w:rsidR="00D54C22" w:rsidRPr="002F5D99" w:rsidRDefault="00D54C22" w:rsidP="00D54C22">
      <w:pPr>
        <w:spacing w:after="160" w:line="256" w:lineRule="auto"/>
        <w:jc w:val="both"/>
        <w:rPr>
          <w:rFonts w:ascii="Segoe UI" w:hAnsi="Segoe UI" w:cs="Segoe UI"/>
          <w:b/>
          <w:color w:val="666666"/>
          <w:sz w:val="20"/>
          <w:szCs w:val="20"/>
        </w:rPr>
      </w:pPr>
      <w:r>
        <w:rPr>
          <w:rFonts w:ascii="Segoe UI" w:hAnsi="Segoe UI" w:cs="Segoe UI"/>
          <w:b/>
          <w:bCs/>
          <w:color w:val="666666"/>
          <w:sz w:val="20"/>
          <w:szCs w:val="20"/>
        </w:rPr>
        <w:t>MICROSOFT CORPORATION</w:t>
      </w:r>
    </w:p>
    <w:p w14:paraId="088D95F4" w14:textId="77777777" w:rsidR="00D54C22" w:rsidRDefault="00D54C22" w:rsidP="00D54C22">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FOURTH QUARTER FINANCIAL HIGHLIGHTS</w:t>
      </w:r>
    </w:p>
    <w:p w14:paraId="3ABE6617" w14:textId="77777777" w:rsidR="00D54C22" w:rsidRDefault="00D54C22" w:rsidP="00D54C22">
      <w:pPr>
        <w:spacing w:before="240" w:after="240"/>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 Please refer to the reconciliation of our GAAP and non-GAAP financial results in the table provided above for additional information.</w:t>
      </w:r>
    </w:p>
    <w:p w14:paraId="355F5FE4" w14:textId="77777777" w:rsidR="00D54C22" w:rsidRDefault="00D54C22" w:rsidP="00D54C22">
      <w:pPr>
        <w:pStyle w:val="NormalWeb"/>
        <w:keepNext/>
        <w:spacing w:before="240" w:beforeAutospacing="0" w:after="240" w:afterAutospacing="0" w:line="276" w:lineRule="auto"/>
        <w:rPr>
          <w:color w:val="FF0000"/>
        </w:rPr>
      </w:pPr>
      <w:r>
        <w:rPr>
          <w:rFonts w:ascii="Segoe UI" w:hAnsi="Segoe UI" w:cs="Segoe UI"/>
          <w:b/>
          <w:bCs/>
          <w:color w:val="666666"/>
          <w:sz w:val="20"/>
          <w:szCs w:val="20"/>
        </w:rPr>
        <w:t>SUMMARY</w:t>
      </w:r>
    </w:p>
    <w:p w14:paraId="26EE7802"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Revenue increased $4.3 billion or 13%, driven by growth across each of our segments. Intelligent Cloud revenue increased, driven by server products and cloud services. More Personal Computing revenue increased, driven by Gaming, Surface, and Windows, offset in part by a decrease in Search advertising. Productivity and Business Processes revenue increased, driven by Office 365.</w:t>
      </w:r>
    </w:p>
    <w:p w14:paraId="257EB7D3"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Gross margin increased $2.4 billion or 10%, driven by growth in Intelligent Cloud and More Personal Computing. Gross margin percentage decreased, driven by sales mix. Commercial cloud gross margin percentage increased </w:t>
      </w:r>
      <w:r w:rsidRPr="001032F0">
        <w:rPr>
          <w:rFonts w:ascii="Segoe UI" w:hAnsi="Segoe UI" w:cs="Segoe UI"/>
          <w:color w:val="666666"/>
          <w:sz w:val="20"/>
          <w:szCs w:val="20"/>
        </w:rPr>
        <w:t>1</w:t>
      </w:r>
      <w:r>
        <w:rPr>
          <w:rFonts w:ascii="Segoe UI" w:hAnsi="Segoe UI" w:cs="Segoe UI"/>
          <w:color w:val="666666"/>
          <w:sz w:val="20"/>
          <w:szCs w:val="20"/>
        </w:rPr>
        <w:t xml:space="preserve"> point to </w:t>
      </w:r>
      <w:r w:rsidRPr="001032F0">
        <w:rPr>
          <w:rFonts w:ascii="Segoe UI" w:hAnsi="Segoe UI" w:cs="Segoe UI"/>
          <w:color w:val="666666"/>
          <w:sz w:val="20"/>
          <w:szCs w:val="20"/>
        </w:rPr>
        <w:t>66</w:t>
      </w:r>
      <w:r>
        <w:rPr>
          <w:rFonts w:ascii="Segoe UI" w:hAnsi="Segoe UI" w:cs="Segoe UI"/>
          <w:color w:val="666666"/>
          <w:sz w:val="20"/>
          <w:szCs w:val="20"/>
        </w:rPr>
        <w:t>%, primarily driven by improvement in Azure.</w:t>
      </w:r>
    </w:p>
    <w:p w14:paraId="095EDDFE"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Operating income </w:t>
      </w:r>
      <w:r w:rsidRPr="00817CF2">
        <w:rPr>
          <w:rFonts w:ascii="Segoe UI" w:hAnsi="Segoe UI" w:cs="Segoe UI"/>
          <w:color w:val="666666"/>
          <w:sz w:val="20"/>
          <w:szCs w:val="20"/>
        </w:rPr>
        <w:t>increased $1.0 billion or 8</w:t>
      </w:r>
      <w:r>
        <w:rPr>
          <w:rFonts w:ascii="Segoe UI" w:hAnsi="Segoe UI" w:cs="Segoe UI"/>
          <w:color w:val="666666"/>
          <w:sz w:val="20"/>
          <w:szCs w:val="20"/>
        </w:rPr>
        <w:t>%, driven by growth in Intelligent Cloud and More Personal Computing, offset in part by a decrease in</w:t>
      </w:r>
      <w:r w:rsidRPr="009A3857">
        <w:rPr>
          <w:rFonts w:ascii="Segoe UI" w:hAnsi="Segoe UI" w:cs="Segoe UI"/>
          <w:color w:val="666666"/>
          <w:sz w:val="20"/>
          <w:szCs w:val="20"/>
        </w:rPr>
        <w:t xml:space="preserve"> </w:t>
      </w:r>
      <w:r>
        <w:rPr>
          <w:rFonts w:ascii="Segoe UI" w:hAnsi="Segoe UI" w:cs="Segoe UI"/>
          <w:color w:val="666666"/>
          <w:sz w:val="20"/>
          <w:szCs w:val="20"/>
        </w:rPr>
        <w:t xml:space="preserve">Productivity and Business Processes. </w:t>
      </w:r>
    </w:p>
    <w:p w14:paraId="1776FF91"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Revenue, gross margin, and </w:t>
      </w:r>
      <w:r>
        <w:rPr>
          <w:rFonts w:ascii="Segoe UI" w:eastAsia="Calibri" w:hAnsi="Segoe UI" w:cs="Segoe UI"/>
          <w:color w:val="666666"/>
          <w:sz w:val="20"/>
          <w:szCs w:val="20"/>
        </w:rPr>
        <w:t xml:space="preserve">operating income included an unfavorable foreign currency impact of 2%, 2%, and 4%, respectively. </w:t>
      </w:r>
    </w:p>
    <w:p w14:paraId="4B370A2F" w14:textId="77777777" w:rsidR="00D54C22" w:rsidRDefault="00D54C22" w:rsidP="00D54C22">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SEGMENT INFORMATION</w:t>
      </w:r>
    </w:p>
    <w:p w14:paraId="198E82DF" w14:textId="77777777" w:rsidR="00D54C22" w:rsidRDefault="00D54C22" w:rsidP="00D54C22">
      <w:pPr>
        <w:spacing w:before="240" w:after="240"/>
        <w:jc w:val="both"/>
        <w:rPr>
          <w:rFonts w:ascii="Segoe UI" w:hAnsi="Segoe UI" w:cs="Segoe UI"/>
          <w:b/>
          <w:i/>
          <w:color w:val="666666"/>
          <w:sz w:val="20"/>
          <w:szCs w:val="20"/>
        </w:rPr>
      </w:pPr>
      <w:r>
        <w:rPr>
          <w:rFonts w:ascii="Segoe UI" w:hAnsi="Segoe UI" w:cs="Segoe UI"/>
          <w:b/>
          <w:i/>
          <w:color w:val="666666"/>
          <w:sz w:val="20"/>
          <w:szCs w:val="20"/>
        </w:rPr>
        <w:t>Productivity and Business Processes</w:t>
      </w:r>
    </w:p>
    <w:p w14:paraId="0B3F57AB"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increased $705 million or 6%. </w:t>
      </w:r>
    </w:p>
    <w:p w14:paraId="1812E682" w14:textId="77777777" w:rsidR="00D54C22" w:rsidRDefault="00D54C22" w:rsidP="00D54C22">
      <w:pPr>
        <w:pStyle w:val="NormalWeb"/>
        <w:numPr>
          <w:ilvl w:val="0"/>
          <w:numId w:val="6"/>
        </w:numPr>
        <w:spacing w:before="240" w:beforeAutospacing="0" w:after="240" w:afterAutospacing="0" w:line="276" w:lineRule="auto"/>
        <w:jc w:val="both"/>
        <w:rPr>
          <w:rFonts w:ascii="Segoe UI" w:eastAsia="Calibri" w:hAnsi="Segoe UI" w:cs="Segoe UI"/>
          <w:color w:val="666666"/>
          <w:sz w:val="20"/>
          <w:szCs w:val="20"/>
        </w:rPr>
      </w:pPr>
      <w:bookmarkStart w:id="15" w:name="_Hlk519009349"/>
      <w:r>
        <w:rPr>
          <w:rFonts w:ascii="Segoe UI" w:eastAsia="Calibri" w:hAnsi="Segoe UI" w:cs="Segoe UI"/>
          <w:color w:val="666666"/>
          <w:sz w:val="20"/>
          <w:szCs w:val="20"/>
        </w:rPr>
        <w:t>Office Commercial products and cloud services revenue increased $</w:t>
      </w:r>
      <w:r w:rsidRPr="001032F0">
        <w:rPr>
          <w:rFonts w:ascii="Segoe UI" w:eastAsia="Calibri" w:hAnsi="Segoe UI" w:cs="Segoe UI"/>
          <w:color w:val="666666"/>
          <w:sz w:val="20"/>
          <w:szCs w:val="20"/>
        </w:rPr>
        <w:t xml:space="preserve">394 </w:t>
      </w:r>
      <w:r>
        <w:rPr>
          <w:rFonts w:ascii="Segoe UI" w:eastAsia="Calibri" w:hAnsi="Segoe UI" w:cs="Segoe UI"/>
          <w:color w:val="666666"/>
          <w:sz w:val="20"/>
          <w:szCs w:val="20"/>
        </w:rPr>
        <w:t xml:space="preserve">million or </w:t>
      </w:r>
      <w:r w:rsidRPr="001032F0">
        <w:rPr>
          <w:rFonts w:ascii="Segoe UI" w:eastAsia="Calibri" w:hAnsi="Segoe UI" w:cs="Segoe UI"/>
          <w:color w:val="666666"/>
          <w:sz w:val="20"/>
          <w:szCs w:val="20"/>
        </w:rPr>
        <w:t>5</w:t>
      </w:r>
      <w:r>
        <w:rPr>
          <w:rFonts w:ascii="Segoe UI" w:eastAsia="Calibri" w:hAnsi="Segoe UI" w:cs="Segoe UI"/>
          <w:color w:val="666666"/>
          <w:sz w:val="20"/>
          <w:szCs w:val="20"/>
        </w:rPr>
        <w:t xml:space="preserve">%, on a strong prior year comparable. Office 365 Commercial revenue grew 19%, driven by Office 365 Commercial seat growth of 15% and growth in revenue per user. Office Commercial products revenue declined 34% reflecting continued customer shift to cloud offerings from multi-year on-premises agreements and a slowdown in transactional licensing, primarily in small and medium businesses. </w:t>
      </w:r>
    </w:p>
    <w:bookmarkEnd w:id="15"/>
    <w:p w14:paraId="2821C339" w14:textId="77777777" w:rsidR="00D54C22" w:rsidRDefault="00D54C22" w:rsidP="00D54C22">
      <w:pPr>
        <w:pStyle w:val="NormalWeb"/>
        <w:numPr>
          <w:ilvl w:val="0"/>
          <w:numId w:val="6"/>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Office Consumer products and cloud services revenue increased $</w:t>
      </w:r>
      <w:r w:rsidRPr="001032F0">
        <w:rPr>
          <w:rFonts w:ascii="Segoe UI" w:eastAsia="Calibri" w:hAnsi="Segoe UI" w:cs="Segoe UI"/>
          <w:color w:val="666666"/>
          <w:sz w:val="20"/>
          <w:szCs w:val="20"/>
        </w:rPr>
        <w:t>57</w:t>
      </w:r>
      <w:r>
        <w:rPr>
          <w:rFonts w:ascii="Segoe UI" w:eastAsia="Calibri" w:hAnsi="Segoe UI" w:cs="Segoe UI"/>
          <w:color w:val="666666"/>
          <w:sz w:val="20"/>
          <w:szCs w:val="20"/>
        </w:rPr>
        <w:t xml:space="preserve"> million or </w:t>
      </w:r>
      <w:r w:rsidRPr="001032F0">
        <w:rPr>
          <w:rFonts w:ascii="Segoe UI" w:eastAsia="Calibri" w:hAnsi="Segoe UI" w:cs="Segoe UI"/>
          <w:color w:val="666666"/>
          <w:sz w:val="20"/>
          <w:szCs w:val="20"/>
        </w:rPr>
        <w:t>6</w:t>
      </w:r>
      <w:r>
        <w:rPr>
          <w:rFonts w:ascii="Segoe UI" w:eastAsia="Calibri" w:hAnsi="Segoe UI" w:cs="Segoe UI"/>
          <w:color w:val="666666"/>
          <w:sz w:val="20"/>
          <w:szCs w:val="20"/>
        </w:rPr>
        <w:t xml:space="preserve">%, driven by Office 365 Consumer (rebranded to Microsoft 365 Consumer) subscription revenue, offset in part by a slowdown in transactional licensing. </w:t>
      </w:r>
      <w:r w:rsidRPr="00596DC8">
        <w:rPr>
          <w:rFonts w:ascii="Segoe UI" w:hAnsi="Segoe UI" w:cs="Segoe UI"/>
          <w:color w:val="666666"/>
          <w:sz w:val="20"/>
          <w:szCs w:val="20"/>
        </w:rPr>
        <w:t xml:space="preserve">Office </w:t>
      </w:r>
      <w:r>
        <w:rPr>
          <w:rFonts w:ascii="Segoe UI" w:hAnsi="Segoe UI" w:cs="Segoe UI"/>
          <w:color w:val="666666"/>
          <w:sz w:val="20"/>
          <w:szCs w:val="20"/>
        </w:rPr>
        <w:t xml:space="preserve">365 </w:t>
      </w:r>
      <w:r w:rsidRPr="00596DC8">
        <w:rPr>
          <w:rFonts w:ascii="Segoe UI" w:hAnsi="Segoe UI" w:cs="Segoe UI"/>
          <w:color w:val="666666"/>
          <w:sz w:val="20"/>
          <w:szCs w:val="20"/>
        </w:rPr>
        <w:t>Consumer subscribers increased 23% to 42.7 million with increased demand from remote work and learn scenarios.</w:t>
      </w:r>
    </w:p>
    <w:p w14:paraId="324B2BD0" w14:textId="77777777" w:rsidR="00D54C22" w:rsidRDefault="00D54C22" w:rsidP="00D54C22">
      <w:pPr>
        <w:pStyle w:val="NormalWeb"/>
        <w:numPr>
          <w:ilvl w:val="0"/>
          <w:numId w:val="6"/>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LinkedIn revenue increased $181 million or </w:t>
      </w:r>
      <w:r w:rsidRPr="001032F0">
        <w:rPr>
          <w:rFonts w:ascii="Segoe UI" w:eastAsia="Calibri" w:hAnsi="Segoe UI" w:cs="Segoe UI"/>
          <w:color w:val="666666"/>
          <w:sz w:val="20"/>
          <w:szCs w:val="20"/>
        </w:rPr>
        <w:t>10</w:t>
      </w:r>
      <w:r>
        <w:rPr>
          <w:rFonts w:ascii="Segoe UI" w:eastAsia="Calibri" w:hAnsi="Segoe UI" w:cs="Segoe UI"/>
          <w:color w:val="666666"/>
          <w:sz w:val="20"/>
          <w:szCs w:val="20"/>
        </w:rPr>
        <w:t>%.</w:t>
      </w:r>
    </w:p>
    <w:p w14:paraId="08DC96B1" w14:textId="77777777" w:rsidR="00D54C22" w:rsidRDefault="00D54C22" w:rsidP="00D54C22">
      <w:pPr>
        <w:pStyle w:val="NormalWeb"/>
        <w:numPr>
          <w:ilvl w:val="0"/>
          <w:numId w:val="6"/>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Dynamics products and cloud services revenue increased </w:t>
      </w:r>
      <w:r w:rsidRPr="001032F0">
        <w:rPr>
          <w:rFonts w:ascii="Segoe UI" w:eastAsia="Calibri" w:hAnsi="Segoe UI" w:cs="Segoe UI"/>
          <w:color w:val="666666"/>
          <w:sz w:val="20"/>
          <w:szCs w:val="20"/>
        </w:rPr>
        <w:t>13</w:t>
      </w:r>
      <w:r>
        <w:rPr>
          <w:rFonts w:ascii="Segoe UI" w:eastAsia="Calibri" w:hAnsi="Segoe UI" w:cs="Segoe UI"/>
          <w:color w:val="666666"/>
          <w:sz w:val="20"/>
          <w:szCs w:val="20"/>
        </w:rPr>
        <w:t>%, driven by Dynamics 365 growth of 38%.</w:t>
      </w:r>
    </w:p>
    <w:p w14:paraId="118DCCC2"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817CF2">
        <w:rPr>
          <w:rFonts w:ascii="Segoe UI" w:eastAsia="Calibri" w:hAnsi="Segoe UI" w:cs="Segoe UI"/>
          <w:color w:val="666666"/>
          <w:sz w:val="20"/>
          <w:szCs w:val="20"/>
        </w:rPr>
        <w:t>decreased $372 million or 9%.</w:t>
      </w:r>
    </w:p>
    <w:p w14:paraId="07F4FAC2" w14:textId="77777777" w:rsidR="00D54C22" w:rsidRDefault="00D54C22" w:rsidP="00D54C22">
      <w:pPr>
        <w:pStyle w:val="ListParagraph"/>
        <w:numPr>
          <w:ilvl w:val="0"/>
          <w:numId w:val="8"/>
        </w:numPr>
        <w:spacing w:before="240" w:after="240"/>
        <w:jc w:val="both"/>
        <w:rPr>
          <w:rFonts w:ascii="Segoe UI" w:hAnsi="Segoe UI" w:cs="Segoe UI"/>
          <w:color w:val="666666"/>
          <w:sz w:val="20"/>
          <w:szCs w:val="20"/>
        </w:rPr>
      </w:pPr>
      <w:r>
        <w:rPr>
          <w:rFonts w:ascii="Segoe UI" w:hAnsi="Segoe UI" w:cs="Segoe UI"/>
          <w:color w:val="666666"/>
          <w:sz w:val="20"/>
          <w:szCs w:val="20"/>
        </w:rPr>
        <w:t xml:space="preserve">Gross margin was relatively unchanged, with growth in LinkedIn and Dynamics, offset in part by a decrease in Office. Gross margin percentage decreased, driven by </w:t>
      </w:r>
      <w:r w:rsidRPr="00793868">
        <w:rPr>
          <w:rFonts w:ascii="Segoe UI" w:hAnsi="Segoe UI" w:cs="Segoe UI"/>
          <w:color w:val="666666"/>
          <w:sz w:val="20"/>
          <w:szCs w:val="20"/>
        </w:rPr>
        <w:t>increased usage of Office 365 Commercial</w:t>
      </w:r>
      <w:r>
        <w:rPr>
          <w:rFonts w:ascii="Segoe UI" w:hAnsi="Segoe UI" w:cs="Segoe UI"/>
          <w:color w:val="666666"/>
          <w:sz w:val="20"/>
          <w:szCs w:val="20"/>
        </w:rPr>
        <w:t xml:space="preserve"> and an increased mix of cloud offerings.</w:t>
      </w:r>
    </w:p>
    <w:p w14:paraId="5C449481" w14:textId="77777777" w:rsidR="00D54C22" w:rsidRDefault="00D54C22" w:rsidP="00D54C22">
      <w:pPr>
        <w:pStyle w:val="NormalWeb"/>
        <w:numPr>
          <w:ilvl w:val="0"/>
          <w:numId w:val="8"/>
        </w:numPr>
        <w:spacing w:before="240" w:beforeAutospacing="0" w:after="240" w:afterAutospacing="0" w:line="276" w:lineRule="auto"/>
        <w:jc w:val="both"/>
        <w:rPr>
          <w:rFonts w:ascii="Segoe UI" w:hAnsi="Segoe UI" w:cs="Segoe UI"/>
          <w:b/>
          <w:i/>
          <w:color w:val="666666"/>
          <w:sz w:val="20"/>
          <w:szCs w:val="20"/>
        </w:rPr>
      </w:pPr>
      <w:r>
        <w:rPr>
          <w:rFonts w:ascii="Segoe UI" w:eastAsia="Calibri" w:hAnsi="Segoe UI" w:cs="Segoe UI"/>
          <w:color w:val="666666"/>
          <w:sz w:val="20"/>
          <w:szCs w:val="20"/>
        </w:rPr>
        <w:t xml:space="preserve">Operating expenses </w:t>
      </w:r>
      <w:r w:rsidRPr="00D54892">
        <w:rPr>
          <w:rFonts w:ascii="Segoe UI" w:eastAsia="Calibri" w:hAnsi="Segoe UI" w:cs="Segoe UI"/>
          <w:color w:val="666666"/>
          <w:sz w:val="20"/>
          <w:szCs w:val="20"/>
        </w:rPr>
        <w:t>increased $407 million or 10%, driven</w:t>
      </w:r>
      <w:r>
        <w:rPr>
          <w:rFonts w:ascii="Segoe UI" w:eastAsia="Calibri" w:hAnsi="Segoe UI" w:cs="Segoe UI"/>
          <w:color w:val="666666"/>
          <w:sz w:val="20"/>
          <w:szCs w:val="20"/>
        </w:rPr>
        <w:t xml:space="preserve"> by Teams marketing and investments in cloud engineering.</w:t>
      </w:r>
    </w:p>
    <w:p w14:paraId="4E020343"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hAnsi="Segoe UI" w:cs="Segoe UI"/>
          <w:color w:val="666666"/>
          <w:sz w:val="20"/>
          <w:szCs w:val="20"/>
        </w:rPr>
        <w:t xml:space="preserve">Revenue, gross margin, and </w:t>
      </w:r>
      <w:r>
        <w:rPr>
          <w:rFonts w:ascii="Segoe UI" w:eastAsia="Calibri" w:hAnsi="Segoe UI" w:cs="Segoe UI"/>
          <w:color w:val="666666"/>
          <w:sz w:val="20"/>
          <w:szCs w:val="20"/>
        </w:rPr>
        <w:t>operating income included an unfavorable foreign currency impact of 2%, 3%, and 4%, respectively.</w:t>
      </w:r>
    </w:p>
    <w:p w14:paraId="3E43F87B" w14:textId="77777777" w:rsidR="00D54C22" w:rsidRDefault="00D54C22" w:rsidP="00D54C22">
      <w:pPr>
        <w:pStyle w:val="NormalWeb"/>
        <w:keepNext/>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50A06A0A" w14:textId="77777777" w:rsidR="00D54C22" w:rsidRDefault="00D54C22" w:rsidP="00D54C22">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increased $2.0 billion or 17%. </w:t>
      </w:r>
    </w:p>
    <w:p w14:paraId="3510D5EE" w14:textId="77777777" w:rsidR="00D54C22" w:rsidRDefault="00D54C22" w:rsidP="00D54C22">
      <w:pPr>
        <w:pStyle w:val="NormalWeb"/>
        <w:keepNext/>
        <w:numPr>
          <w:ilvl w:val="0"/>
          <w:numId w:val="6"/>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Server products and cloud services revenue increased $</w:t>
      </w:r>
      <w:r w:rsidRPr="001032F0">
        <w:rPr>
          <w:rFonts w:ascii="Segoe UI" w:eastAsia="Calibri" w:hAnsi="Segoe UI" w:cs="Segoe UI"/>
          <w:color w:val="666666"/>
          <w:sz w:val="20"/>
          <w:szCs w:val="20"/>
        </w:rPr>
        <w:t>1.9</w:t>
      </w:r>
      <w:r>
        <w:rPr>
          <w:rFonts w:ascii="Segoe UI" w:eastAsia="Calibri" w:hAnsi="Segoe UI" w:cs="Segoe UI"/>
          <w:color w:val="666666"/>
          <w:sz w:val="20"/>
          <w:szCs w:val="20"/>
        </w:rPr>
        <w:t xml:space="preserve"> billion or </w:t>
      </w:r>
      <w:r w:rsidRPr="001032F0">
        <w:rPr>
          <w:rFonts w:ascii="Segoe UI" w:eastAsia="Calibri" w:hAnsi="Segoe UI" w:cs="Segoe UI"/>
          <w:color w:val="666666"/>
          <w:sz w:val="20"/>
          <w:szCs w:val="20"/>
        </w:rPr>
        <w:t>19</w:t>
      </w:r>
      <w:r>
        <w:rPr>
          <w:rFonts w:ascii="Segoe UI" w:eastAsia="Calibri" w:hAnsi="Segoe UI" w:cs="Segoe UI"/>
          <w:color w:val="666666"/>
          <w:sz w:val="20"/>
          <w:szCs w:val="20"/>
        </w:rPr>
        <w:t>%, driven by Azure. Azure revenue grew 47%, primarily driven by growth in our consumption-based services. Server products revenue was relatively unchanged, with growth in hybrid and premium solutions, offset by a slowdown in transactional licensing.</w:t>
      </w:r>
    </w:p>
    <w:p w14:paraId="61EBCC32" w14:textId="77777777" w:rsidR="00D54C22" w:rsidRDefault="00D54C22" w:rsidP="00D54C22">
      <w:pPr>
        <w:pStyle w:val="NormalWeb"/>
        <w:numPr>
          <w:ilvl w:val="0"/>
          <w:numId w:val="6"/>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Enterprise Services revenue was relatively </w:t>
      </w:r>
      <w:r w:rsidRPr="001032F0">
        <w:rPr>
          <w:rFonts w:ascii="Segoe UI" w:eastAsia="Calibri" w:hAnsi="Segoe UI" w:cs="Segoe UI"/>
          <w:color w:val="666666"/>
          <w:sz w:val="20"/>
          <w:szCs w:val="20"/>
        </w:rPr>
        <w:t>unchanged</w:t>
      </w:r>
      <w:r>
        <w:rPr>
          <w:rFonts w:ascii="Segoe UI" w:eastAsia="Calibri" w:hAnsi="Segoe UI" w:cs="Segoe UI"/>
          <w:color w:val="666666"/>
          <w:sz w:val="20"/>
          <w:szCs w:val="20"/>
        </w:rPr>
        <w:t>.</w:t>
      </w:r>
    </w:p>
    <w:p w14:paraId="2E0597F8"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increased $842 million or 19%.</w:t>
      </w:r>
    </w:p>
    <w:p w14:paraId="27A3DDF6" w14:textId="77777777" w:rsidR="00D54C22" w:rsidRDefault="00D54C22" w:rsidP="00D54C22">
      <w:pPr>
        <w:pStyle w:val="NormalWeb"/>
        <w:numPr>
          <w:ilvl w:val="0"/>
          <w:numId w:val="9"/>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Gross margin increased $1.5 billion or 19%, driven by growth in server products and cloud services revenue and cloud services scale and efficiencies. Gross margin percentage increased slightly, due to</w:t>
      </w:r>
      <w:r w:rsidDel="00B444BA">
        <w:rPr>
          <w:rFonts w:ascii="Segoe UI" w:eastAsia="Calibri" w:hAnsi="Segoe UI" w:cs="Segoe UI"/>
          <w:color w:val="666666"/>
          <w:sz w:val="20"/>
          <w:szCs w:val="20"/>
        </w:rPr>
        <w:t xml:space="preserve"> </w:t>
      </w:r>
      <w:r>
        <w:rPr>
          <w:rFonts w:ascii="Segoe UI" w:eastAsia="Calibri" w:hAnsi="Segoe UI" w:cs="Segoe UI"/>
          <w:color w:val="666666"/>
          <w:sz w:val="20"/>
          <w:szCs w:val="20"/>
        </w:rPr>
        <w:t>improvement in Azure, offset in part by an increased mix of cloud offerings.</w:t>
      </w:r>
    </w:p>
    <w:p w14:paraId="5486EA2D" w14:textId="77777777" w:rsidR="00D54C22" w:rsidRDefault="00D54C22" w:rsidP="00D54C22">
      <w:pPr>
        <w:pStyle w:val="NormalWeb"/>
        <w:numPr>
          <w:ilvl w:val="0"/>
          <w:numId w:val="9"/>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Operating expenses </w:t>
      </w:r>
      <w:r w:rsidRPr="00D54892">
        <w:rPr>
          <w:rFonts w:ascii="Segoe UI" w:eastAsia="Calibri" w:hAnsi="Segoe UI" w:cs="Segoe UI"/>
          <w:color w:val="666666"/>
          <w:sz w:val="20"/>
          <w:szCs w:val="20"/>
        </w:rPr>
        <w:t>increased $678 million or 19%, driven</w:t>
      </w:r>
      <w:r>
        <w:rPr>
          <w:rFonts w:ascii="Segoe UI" w:eastAsia="Calibri" w:hAnsi="Segoe UI" w:cs="Segoe UI"/>
          <w:color w:val="666666"/>
          <w:sz w:val="20"/>
          <w:szCs w:val="20"/>
        </w:rPr>
        <w:t xml:space="preserve"> by investments in Azure.</w:t>
      </w:r>
    </w:p>
    <w:p w14:paraId="56D2A8F2"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 xml:space="preserve">Revenue, gross margin, and </w:t>
      </w:r>
      <w:r>
        <w:rPr>
          <w:rFonts w:ascii="Segoe UI" w:eastAsia="Calibri" w:hAnsi="Segoe UI" w:cs="Segoe UI"/>
          <w:color w:val="666666"/>
          <w:sz w:val="20"/>
          <w:szCs w:val="20"/>
        </w:rPr>
        <w:t>operating income included an unfavorable foreign currency impact of 2%, 2%, and 3%, respectively.</w:t>
      </w:r>
    </w:p>
    <w:p w14:paraId="6AA83BA1" w14:textId="77777777" w:rsidR="00D54C22" w:rsidRDefault="00D54C22" w:rsidP="00D54C22">
      <w:pPr>
        <w:spacing w:before="240" w:after="240"/>
        <w:jc w:val="both"/>
        <w:rPr>
          <w:rFonts w:ascii="Segoe UI" w:hAnsi="Segoe UI" w:cs="Segoe UI"/>
          <w:b/>
          <w:i/>
          <w:color w:val="666666"/>
          <w:sz w:val="20"/>
          <w:szCs w:val="20"/>
        </w:rPr>
      </w:pPr>
      <w:r>
        <w:rPr>
          <w:rFonts w:ascii="Segoe UI" w:hAnsi="Segoe UI" w:cs="Segoe UI"/>
          <w:b/>
          <w:i/>
          <w:color w:val="666666"/>
          <w:sz w:val="20"/>
          <w:szCs w:val="20"/>
        </w:rPr>
        <w:t>More Personal Computing</w:t>
      </w:r>
    </w:p>
    <w:p w14:paraId="53048905"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increased $1.6 billion or 14%. </w:t>
      </w:r>
    </w:p>
    <w:p w14:paraId="7009767B" w14:textId="77777777" w:rsidR="00D54C22" w:rsidRDefault="00D54C22" w:rsidP="00D54C22">
      <w:pPr>
        <w:pStyle w:val="NormalWeb"/>
        <w:numPr>
          <w:ilvl w:val="0"/>
          <w:numId w:val="7"/>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Windows revenue increased $337 million or 6%, driven by growth in Windows OEM and</w:t>
      </w:r>
      <w:r w:rsidRPr="00B95546">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Windows Commercial. Windows OEM revenue increased </w:t>
      </w:r>
      <w:r w:rsidRPr="001032F0">
        <w:rPr>
          <w:rFonts w:ascii="Segoe UI" w:eastAsia="Calibri" w:hAnsi="Segoe UI" w:cs="Segoe UI"/>
          <w:color w:val="666666"/>
          <w:sz w:val="20"/>
          <w:szCs w:val="20"/>
        </w:rPr>
        <w:t>7</w:t>
      </w:r>
      <w:r>
        <w:rPr>
          <w:rFonts w:ascii="Segoe UI" w:eastAsia="Calibri" w:hAnsi="Segoe UI" w:cs="Segoe UI"/>
          <w:color w:val="666666"/>
          <w:sz w:val="20"/>
          <w:szCs w:val="20"/>
        </w:rPr>
        <w:t xml:space="preserve">%. Windows OEM non-Pro revenue grew </w:t>
      </w:r>
      <w:r w:rsidRPr="001032F0">
        <w:rPr>
          <w:rFonts w:ascii="Segoe UI" w:eastAsia="Calibri" w:hAnsi="Segoe UI" w:cs="Segoe UI"/>
          <w:color w:val="666666"/>
          <w:sz w:val="20"/>
          <w:szCs w:val="20"/>
        </w:rPr>
        <w:t>34</w:t>
      </w:r>
      <w:r>
        <w:rPr>
          <w:rFonts w:ascii="Segoe UI" w:eastAsia="Calibri" w:hAnsi="Segoe UI" w:cs="Segoe UI"/>
          <w:color w:val="666666"/>
          <w:sz w:val="20"/>
          <w:szCs w:val="20"/>
        </w:rPr>
        <w:t xml:space="preserve">%, driven by consumer demand from remote work and learn scenarios, including the benefit in April from unfulfilled third quarter demand. Windows OEM Pro revenue declined </w:t>
      </w:r>
      <w:r w:rsidRPr="001032F0">
        <w:rPr>
          <w:rFonts w:ascii="Segoe UI" w:eastAsia="Calibri" w:hAnsi="Segoe UI" w:cs="Segoe UI"/>
          <w:color w:val="666666"/>
          <w:sz w:val="20"/>
          <w:szCs w:val="20"/>
        </w:rPr>
        <w:t>4</w:t>
      </w:r>
      <w:r>
        <w:rPr>
          <w:rFonts w:ascii="Segoe UI" w:eastAsia="Calibri" w:hAnsi="Segoe UI" w:cs="Segoe UI"/>
          <w:color w:val="666666"/>
          <w:sz w:val="20"/>
          <w:szCs w:val="20"/>
        </w:rPr>
        <w:t xml:space="preserve">%, driven by weakness in small and medium businesses, more than offsetting the benefit in April from unfulfilled third quarter demand. Windows Commercial products and cloud services revenue increased </w:t>
      </w:r>
      <w:r w:rsidRPr="001032F0">
        <w:rPr>
          <w:rFonts w:ascii="Segoe UI" w:eastAsia="Calibri" w:hAnsi="Segoe UI" w:cs="Segoe UI"/>
          <w:color w:val="666666"/>
          <w:sz w:val="20"/>
          <w:szCs w:val="20"/>
        </w:rPr>
        <w:t>9</w:t>
      </w:r>
      <w:r>
        <w:rPr>
          <w:rFonts w:ascii="Segoe UI" w:eastAsia="Calibri" w:hAnsi="Segoe UI" w:cs="Segoe UI"/>
          <w:color w:val="666666"/>
          <w:sz w:val="20"/>
          <w:szCs w:val="20"/>
        </w:rPr>
        <w:t>%, driven by increased demand for Microsoft 365, offset in part by a slowdown in transactional licensing.</w:t>
      </w:r>
    </w:p>
    <w:p w14:paraId="36133B94" w14:textId="77777777" w:rsidR="00D54C22" w:rsidRDefault="00D54C22" w:rsidP="00D54C22">
      <w:pPr>
        <w:pStyle w:val="NormalWeb"/>
        <w:numPr>
          <w:ilvl w:val="0"/>
          <w:numId w:val="7"/>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Gaming revenue increased $1.3 billion or 64%, driven by growth in Xbox content and services. Xbox content and services revenue increased $</w:t>
      </w:r>
      <w:r w:rsidRPr="001032F0">
        <w:rPr>
          <w:rFonts w:ascii="Segoe UI" w:eastAsia="Calibri" w:hAnsi="Segoe UI" w:cs="Segoe UI"/>
          <w:color w:val="666666"/>
          <w:sz w:val="20"/>
          <w:szCs w:val="20"/>
        </w:rPr>
        <w:t>1.2</w:t>
      </w:r>
      <w:r>
        <w:rPr>
          <w:rFonts w:ascii="Segoe UI" w:eastAsia="Calibri" w:hAnsi="Segoe UI" w:cs="Segoe UI"/>
          <w:color w:val="666666"/>
          <w:sz w:val="20"/>
          <w:szCs w:val="20"/>
        </w:rPr>
        <w:t xml:space="preserve"> billion or </w:t>
      </w:r>
      <w:r w:rsidRPr="001032F0">
        <w:rPr>
          <w:rFonts w:ascii="Segoe UI" w:eastAsia="Calibri" w:hAnsi="Segoe UI" w:cs="Segoe UI"/>
          <w:color w:val="666666"/>
          <w:sz w:val="20"/>
          <w:szCs w:val="20"/>
        </w:rPr>
        <w:t>65</w:t>
      </w:r>
      <w:r>
        <w:rPr>
          <w:rFonts w:ascii="Segoe UI" w:eastAsia="Calibri" w:hAnsi="Segoe UI" w:cs="Segoe UI"/>
          <w:color w:val="666666"/>
          <w:sz w:val="20"/>
          <w:szCs w:val="20"/>
        </w:rPr>
        <w:t xml:space="preserve">%, primarily due to record engagement, including strength from third-party titles, as stay-at-home guidelines continued. Xbox hardware revenue increased 49%, primarily due to an increase in volume of consoles sold. </w:t>
      </w:r>
    </w:p>
    <w:p w14:paraId="1AE17003" w14:textId="77777777" w:rsidR="00D54C22" w:rsidRDefault="00D54C22" w:rsidP="00D54C22">
      <w:pPr>
        <w:pStyle w:val="NormalWeb"/>
        <w:numPr>
          <w:ilvl w:val="0"/>
          <w:numId w:val="7"/>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Surface revenue increased $374 million or 28%, driven by increased demand from remote work and learn scenarios.</w:t>
      </w:r>
    </w:p>
    <w:p w14:paraId="5592F55C" w14:textId="77777777" w:rsidR="00D54C22" w:rsidRDefault="00D54C22" w:rsidP="00D54C22">
      <w:pPr>
        <w:pStyle w:val="NormalWeb"/>
        <w:numPr>
          <w:ilvl w:val="0"/>
          <w:numId w:val="7"/>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Search advertising revenue decreased $353 million or 18%. Search advertising revenue, excluding traffic acquisition costs, decreased </w:t>
      </w:r>
      <w:r w:rsidRPr="001032F0">
        <w:rPr>
          <w:rFonts w:ascii="Segoe UI" w:eastAsia="Calibri" w:hAnsi="Segoe UI" w:cs="Segoe UI"/>
          <w:color w:val="666666"/>
          <w:sz w:val="20"/>
          <w:szCs w:val="20"/>
        </w:rPr>
        <w:t>18</w:t>
      </w:r>
      <w:r>
        <w:rPr>
          <w:rFonts w:ascii="Segoe UI" w:eastAsia="Calibri" w:hAnsi="Segoe UI" w:cs="Segoe UI"/>
          <w:color w:val="666666"/>
          <w:sz w:val="20"/>
          <w:szCs w:val="20"/>
        </w:rPr>
        <w:t>%, with reduced customer advertising spend.</w:t>
      </w:r>
    </w:p>
    <w:p w14:paraId="01DBB533" w14:textId="77777777" w:rsidR="00D54C22" w:rsidRDefault="00D54C22" w:rsidP="00D54C22">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increased $532 million or 15%.</w:t>
      </w:r>
    </w:p>
    <w:p w14:paraId="64C312C8" w14:textId="77777777" w:rsidR="00D54C22" w:rsidRDefault="00D54C22" w:rsidP="00D54C22">
      <w:pPr>
        <w:pStyle w:val="NormalWeb"/>
        <w:keepNext/>
        <w:numPr>
          <w:ilvl w:val="0"/>
          <w:numId w:val="10"/>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Gross margin increased $834 million or 12%, driven by growth in Gaming and Windows. Gross margin percentage decreased, driven by sales mix.</w:t>
      </w:r>
    </w:p>
    <w:p w14:paraId="2AB477C6" w14:textId="77777777" w:rsidR="00D54C22" w:rsidRDefault="00D54C22" w:rsidP="00D54C22">
      <w:pPr>
        <w:pStyle w:val="NormalWeb"/>
        <w:keepNext/>
        <w:numPr>
          <w:ilvl w:val="0"/>
          <w:numId w:val="10"/>
        </w:numPr>
        <w:spacing w:before="240" w:beforeAutospacing="0" w:after="240" w:afterAutospacing="0" w:line="276" w:lineRule="auto"/>
        <w:jc w:val="both"/>
        <w:rPr>
          <w:rFonts w:ascii="Segoe UI" w:eastAsia="Calibri" w:hAnsi="Segoe UI" w:cs="Segoe UI"/>
          <w:color w:val="666666"/>
          <w:sz w:val="20"/>
          <w:szCs w:val="20"/>
        </w:rPr>
      </w:pPr>
      <w:r>
        <w:rPr>
          <w:rFonts w:ascii="Segoe UI" w:eastAsia="Calibri" w:hAnsi="Segoe UI" w:cs="Segoe UI"/>
          <w:color w:val="666666"/>
          <w:sz w:val="20"/>
          <w:szCs w:val="20"/>
        </w:rPr>
        <w:t xml:space="preserve">Operating expenses </w:t>
      </w:r>
      <w:r w:rsidRPr="00D54892">
        <w:rPr>
          <w:rFonts w:ascii="Segoe UI" w:eastAsia="Calibri" w:hAnsi="Segoe UI" w:cs="Segoe UI"/>
          <w:color w:val="666666"/>
          <w:sz w:val="20"/>
          <w:szCs w:val="20"/>
        </w:rPr>
        <w:t>increased $302 million or 10%, driven</w:t>
      </w:r>
      <w:r>
        <w:rPr>
          <w:rFonts w:ascii="Segoe UI" w:eastAsia="Calibri" w:hAnsi="Segoe UI" w:cs="Segoe UI"/>
          <w:color w:val="666666"/>
          <w:sz w:val="20"/>
          <w:szCs w:val="20"/>
        </w:rPr>
        <w:t xml:space="preserve"> by </w:t>
      </w:r>
      <w:r>
        <w:rPr>
          <w:rFonts w:ascii="Segoe UI" w:hAnsi="Segoe UI" w:cs="Segoe UI"/>
          <w:color w:val="666666"/>
          <w:sz w:val="20"/>
          <w:szCs w:val="20"/>
        </w:rPr>
        <w:t>charges associated with the closing of our Microsoft Store physical locations, offset in part by the redeployment of engineering resources.</w:t>
      </w:r>
    </w:p>
    <w:p w14:paraId="6863ADBC"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hAnsi="Segoe UI" w:cs="Segoe UI"/>
          <w:color w:val="666666"/>
          <w:sz w:val="20"/>
          <w:szCs w:val="20"/>
        </w:rPr>
        <w:t xml:space="preserve">Revenue, gross margin, and </w:t>
      </w:r>
      <w:r w:rsidRPr="00A70DF8">
        <w:rPr>
          <w:rFonts w:ascii="Segoe UI" w:hAnsi="Segoe UI" w:cs="Segoe UI"/>
          <w:color w:val="666666"/>
          <w:sz w:val="20"/>
          <w:szCs w:val="20"/>
        </w:rPr>
        <w:t xml:space="preserve">operating income </w:t>
      </w:r>
      <w:r>
        <w:rPr>
          <w:rFonts w:ascii="Segoe UI" w:hAnsi="Segoe UI" w:cs="Segoe UI"/>
          <w:color w:val="666666"/>
          <w:sz w:val="20"/>
          <w:szCs w:val="20"/>
        </w:rPr>
        <w:t xml:space="preserve">each </w:t>
      </w:r>
      <w:r w:rsidRPr="00A70DF8">
        <w:rPr>
          <w:rFonts w:ascii="Segoe UI" w:hAnsi="Segoe UI" w:cs="Segoe UI"/>
          <w:color w:val="666666"/>
          <w:sz w:val="20"/>
          <w:szCs w:val="20"/>
        </w:rPr>
        <w:t xml:space="preserve">included an unfavorable foreign currency impact of </w:t>
      </w:r>
      <w:r>
        <w:rPr>
          <w:rFonts w:ascii="Segoe UI" w:eastAsia="Calibri" w:hAnsi="Segoe UI" w:cs="Segoe UI"/>
          <w:color w:val="666666"/>
          <w:sz w:val="20"/>
          <w:szCs w:val="20"/>
        </w:rPr>
        <w:t>2%, 3%, and 4%, respectively.</w:t>
      </w:r>
    </w:p>
    <w:p w14:paraId="530CF816" w14:textId="77777777" w:rsidR="00D54C22" w:rsidRDefault="00D54C22" w:rsidP="00D54C22">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EXPENSES</w:t>
      </w:r>
    </w:p>
    <w:p w14:paraId="33964852" w14:textId="00C37EAE" w:rsidR="00D54C22" w:rsidRDefault="00D54C22" w:rsidP="00D54C22">
      <w:pPr>
        <w:pStyle w:val="NormalWeb"/>
        <w:keepNext/>
        <w:numPr>
          <w:ilvl w:val="0"/>
          <w:numId w:val="5"/>
        </w:numPr>
        <w:spacing w:before="240" w:beforeAutospacing="0" w:after="240" w:afterAutospacing="0" w:line="276" w:lineRule="auto"/>
        <w:jc w:val="both"/>
        <w:rPr>
          <w:rFonts w:ascii="Segoe UI" w:hAnsi="Segoe UI" w:cs="Segoe UI"/>
          <w:color w:val="666666"/>
          <w:sz w:val="20"/>
          <w:szCs w:val="20"/>
        </w:rPr>
      </w:pPr>
      <w:r>
        <w:rPr>
          <w:rFonts w:ascii="Segoe UI" w:hAnsi="Segoe UI" w:cs="Segoe UI"/>
          <w:color w:val="666666"/>
          <w:sz w:val="20"/>
          <w:szCs w:val="20"/>
        </w:rPr>
        <w:t>Cost of revenue increased $1.9 billion or 19%, driven by growth in commercial cloud</w:t>
      </w:r>
      <w:r w:rsidR="00CC4DD6">
        <w:rPr>
          <w:rFonts w:ascii="Segoe UI" w:hAnsi="Segoe UI" w:cs="Segoe UI"/>
          <w:color w:val="666666"/>
          <w:sz w:val="20"/>
          <w:szCs w:val="20"/>
        </w:rPr>
        <w:t xml:space="preserve"> and Gaming</w:t>
      </w:r>
      <w:r>
        <w:rPr>
          <w:rFonts w:ascii="Segoe UI" w:hAnsi="Segoe UI" w:cs="Segoe UI"/>
          <w:color w:val="666666"/>
          <w:sz w:val="20"/>
          <w:szCs w:val="20"/>
        </w:rPr>
        <w:t xml:space="preserve">. </w:t>
      </w:r>
    </w:p>
    <w:p w14:paraId="276153F2" w14:textId="14AAF1C4" w:rsidR="00D54C22" w:rsidRDefault="00D54C22" w:rsidP="00D54C22">
      <w:pPr>
        <w:pStyle w:val="NormalWeb"/>
        <w:keepNext/>
        <w:numPr>
          <w:ilvl w:val="0"/>
          <w:numId w:val="5"/>
        </w:numPr>
        <w:spacing w:before="240" w:beforeAutospacing="0" w:after="240" w:afterAutospacing="0" w:line="276" w:lineRule="auto"/>
        <w:jc w:val="both"/>
        <w:rPr>
          <w:rFonts w:ascii="Segoe UI" w:hAnsi="Segoe UI" w:cs="Segoe UI"/>
          <w:color w:val="666666"/>
          <w:sz w:val="20"/>
          <w:szCs w:val="20"/>
        </w:rPr>
      </w:pPr>
      <w:r>
        <w:rPr>
          <w:rFonts w:ascii="Segoe UI" w:hAnsi="Segoe UI" w:cs="Segoe UI"/>
          <w:color w:val="666666"/>
          <w:sz w:val="20"/>
          <w:szCs w:val="20"/>
        </w:rPr>
        <w:t>Research and development expenses increased $701 million or 16%, driven by investments in cloud engineering</w:t>
      </w:r>
      <w:r w:rsidR="00B143DB">
        <w:rPr>
          <w:rFonts w:ascii="Segoe UI" w:hAnsi="Segoe UI" w:cs="Segoe UI"/>
          <w:color w:val="666666"/>
          <w:sz w:val="20"/>
          <w:szCs w:val="20"/>
        </w:rPr>
        <w:t xml:space="preserve"> </w:t>
      </w:r>
      <w:r w:rsidR="00551343">
        <w:rPr>
          <w:rFonts w:ascii="Segoe UI" w:hAnsi="Segoe UI" w:cs="Segoe UI"/>
          <w:color w:val="666666"/>
          <w:sz w:val="20"/>
          <w:szCs w:val="20"/>
        </w:rPr>
        <w:t xml:space="preserve">and </w:t>
      </w:r>
      <w:r>
        <w:rPr>
          <w:rFonts w:ascii="Segoe UI" w:hAnsi="Segoe UI" w:cs="Segoe UI"/>
          <w:color w:val="666666"/>
          <w:sz w:val="20"/>
          <w:szCs w:val="20"/>
        </w:rPr>
        <w:t>Devices.</w:t>
      </w:r>
    </w:p>
    <w:p w14:paraId="5BDE42CE" w14:textId="77777777" w:rsidR="00D54C22" w:rsidRDefault="00D54C22" w:rsidP="00D54C22">
      <w:pPr>
        <w:pStyle w:val="NormalWeb"/>
        <w:keepNext/>
        <w:numPr>
          <w:ilvl w:val="0"/>
          <w:numId w:val="5"/>
        </w:numPr>
        <w:spacing w:before="240" w:beforeAutospacing="0" w:after="240" w:afterAutospacing="0" w:line="276" w:lineRule="auto"/>
        <w:jc w:val="both"/>
        <w:rPr>
          <w:rFonts w:ascii="Segoe UI" w:hAnsi="Segoe UI" w:cs="Segoe UI"/>
          <w:color w:val="666666"/>
          <w:sz w:val="20"/>
          <w:szCs w:val="20"/>
        </w:rPr>
      </w:pPr>
      <w:r>
        <w:rPr>
          <w:rFonts w:ascii="Segoe UI" w:hAnsi="Segoe UI" w:cs="Segoe UI"/>
          <w:color w:val="666666"/>
          <w:sz w:val="20"/>
          <w:szCs w:val="20"/>
        </w:rPr>
        <w:t xml:space="preserve">Sales and marketing expenses </w:t>
      </w:r>
      <w:r w:rsidRPr="00D54892">
        <w:rPr>
          <w:rFonts w:ascii="Segoe UI" w:hAnsi="Segoe UI" w:cs="Segoe UI"/>
          <w:color w:val="666666"/>
          <w:sz w:val="20"/>
          <w:szCs w:val="20"/>
        </w:rPr>
        <w:t>increased $455 million or 9%, driven</w:t>
      </w:r>
      <w:r>
        <w:rPr>
          <w:rFonts w:ascii="Segoe UI" w:hAnsi="Segoe UI" w:cs="Segoe UI"/>
          <w:color w:val="666666"/>
          <w:sz w:val="20"/>
          <w:szCs w:val="20"/>
        </w:rPr>
        <w:t xml:space="preserve"> by an increase in bad debt expense and investments in commercial sales. </w:t>
      </w:r>
    </w:p>
    <w:p w14:paraId="78B5B525" w14:textId="77777777" w:rsidR="00D54C22" w:rsidRPr="00753364" w:rsidRDefault="00D54C22" w:rsidP="00D54C22">
      <w:pPr>
        <w:pStyle w:val="NormalWeb"/>
        <w:numPr>
          <w:ilvl w:val="0"/>
          <w:numId w:val="5"/>
        </w:numPr>
        <w:spacing w:before="240" w:beforeAutospacing="0" w:after="240" w:afterAutospacing="0" w:line="276" w:lineRule="auto"/>
        <w:jc w:val="both"/>
        <w:rPr>
          <w:rFonts w:ascii="Segoe UI" w:hAnsi="Segoe UI" w:cs="Segoe UI"/>
          <w:color w:val="666666"/>
          <w:sz w:val="20"/>
          <w:szCs w:val="20"/>
        </w:rPr>
      </w:pPr>
      <w:r>
        <w:rPr>
          <w:rFonts w:ascii="Segoe UI" w:hAnsi="Segoe UI" w:cs="Segoe UI"/>
          <w:color w:val="666666"/>
          <w:sz w:val="20"/>
          <w:szCs w:val="20"/>
        </w:rPr>
        <w:t>General and administrative expenses increased $231 million or 16%, driven by charges associated with the closing of our Microsoft Store physical locations, offset in part by a reduction in legal expenses.</w:t>
      </w:r>
    </w:p>
    <w:p w14:paraId="6DF34440" w14:textId="77777777" w:rsidR="00D54C22" w:rsidRDefault="00D54C22" w:rsidP="00D54C22">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NET</w:t>
      </w:r>
    </w:p>
    <w:p w14:paraId="288E362D" w14:textId="77777777" w:rsidR="00D54C22" w:rsidRDefault="00D54C22" w:rsidP="00D54C22">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Other income, net was $15 million, driven by interest and dividends income and net gains on derivatives, investments, and foreign currency remeasurements, offset in part by interest expense.</w:t>
      </w:r>
    </w:p>
    <w:p w14:paraId="72C1179D" w14:textId="77777777" w:rsidR="00D54C22" w:rsidRDefault="00D54C22" w:rsidP="00D54C22">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INCOME TAXES</w:t>
      </w:r>
    </w:p>
    <w:p w14:paraId="74B3D5DF" w14:textId="77777777" w:rsidR="00D54C22" w:rsidRPr="00A70DF8" w:rsidRDefault="00D54C22" w:rsidP="00D54C22">
      <w:pPr>
        <w:pStyle w:val="NormalWeb"/>
        <w:spacing w:before="240" w:beforeAutospacing="0" w:after="240" w:afterAutospacing="0" w:line="276" w:lineRule="auto"/>
        <w:rPr>
          <w:rFonts w:ascii="Segoe UI" w:eastAsia="Segoe UI" w:hAnsi="Segoe UI" w:cs="Segoe UI"/>
          <w:color w:val="666666"/>
          <w:sz w:val="20"/>
          <w:szCs w:val="20"/>
        </w:rPr>
      </w:pPr>
      <w:r>
        <w:rPr>
          <w:rFonts w:ascii="Segoe UI" w:eastAsia="Segoe UI" w:hAnsi="Segoe UI" w:cs="Segoe UI"/>
          <w:color w:val="666666"/>
          <w:sz w:val="20"/>
          <w:szCs w:val="20"/>
        </w:rPr>
        <w:t xml:space="preserve">The current quarter effective tax rate was </w:t>
      </w:r>
      <w:r w:rsidRPr="003A3491">
        <w:rPr>
          <w:rFonts w:ascii="Segoe UI" w:eastAsia="Segoe UI" w:hAnsi="Segoe UI" w:cs="Segoe UI"/>
          <w:color w:val="666666"/>
          <w:sz w:val="20"/>
          <w:szCs w:val="20"/>
        </w:rPr>
        <w:t>17%</w:t>
      </w:r>
      <w:r>
        <w:rPr>
          <w:rFonts w:ascii="Segoe UI" w:eastAsia="Segoe UI" w:hAnsi="Segoe UI" w:cs="Segoe UI"/>
          <w:color w:val="666666"/>
          <w:sz w:val="20"/>
          <w:szCs w:val="20"/>
        </w:rPr>
        <w:t xml:space="preserve"> on both a GAAP and non-GAAP basis, compared to (5)% and 16%, respectively, in the prior year. Prior year GAAP results include</w:t>
      </w:r>
      <w:r w:rsidRPr="00A70DF8">
        <w:rPr>
          <w:rFonts w:ascii="Segoe UI" w:eastAsia="Segoe UI" w:hAnsi="Segoe UI" w:cs="Segoe UI"/>
          <w:color w:val="666666"/>
          <w:sz w:val="20"/>
          <w:szCs w:val="20"/>
        </w:rPr>
        <w:t xml:space="preserve"> a $2.6 billion net income tax benefit in the fourth quarter of fiscal year 2019 related to intangible property transfers</w:t>
      </w:r>
      <w:r>
        <w:rPr>
          <w:rFonts w:ascii="Segoe UI" w:eastAsia="Segoe UI" w:hAnsi="Segoe UI" w:cs="Segoe UI"/>
          <w:color w:val="666666"/>
          <w:sz w:val="20"/>
          <w:szCs w:val="20"/>
        </w:rPr>
        <w:t>. This net income tax benefit is excluded from our non-GAAP results.</w:t>
      </w:r>
    </w:p>
    <w:p w14:paraId="3220C552" w14:textId="77777777" w:rsidR="00D54C22" w:rsidRDefault="00D54C22" w:rsidP="00D54C22">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In the fourth quarter of fiscal year 2019, in response to the TCJA and recently issued regulations, we transferred certain intangible properties held by our foreign subsidiaries to the United States and Ireland. The transfers of intangible properties resulted in a net $2.6 billion tax benefit recorded in the fourth quarter of fiscal year 2019, as the value of future tax deductions exceeded the current tax liability from foreign jurisdictions and United States GILTI tax.</w:t>
      </w:r>
    </w:p>
    <w:p w14:paraId="2E3EB7A0" w14:textId="77777777" w:rsidR="00D54C22" w:rsidRDefault="00D54C22" w:rsidP="00D54C22">
      <w:pPr>
        <w:pStyle w:val="NormalWeb"/>
        <w:keepNext/>
        <w:spacing w:before="240" w:beforeAutospacing="0" w:after="240" w:afterAutospacing="0" w:line="276" w:lineRule="auto"/>
        <w:rPr>
          <w:rFonts w:ascii="Segoe UI" w:hAnsi="Segoe UI" w:cs="Segoe UI"/>
          <w:b/>
          <w:bCs/>
          <w:color w:val="666666"/>
          <w:sz w:val="20"/>
          <w:szCs w:val="20"/>
        </w:rPr>
      </w:pPr>
      <w:bookmarkStart w:id="16" w:name="_Hlk13651425"/>
      <w:r>
        <w:rPr>
          <w:rFonts w:ascii="Segoe UI" w:hAnsi="Segoe UI" w:cs="Segoe UI"/>
          <w:b/>
          <w:bCs/>
          <w:color w:val="666666"/>
          <w:sz w:val="20"/>
          <w:szCs w:val="20"/>
        </w:rPr>
        <w:t>REMAINING PERFORMANCE OBLIGATIONS</w:t>
      </w:r>
    </w:p>
    <w:bookmarkEnd w:id="16"/>
    <w:p w14:paraId="371750FD" w14:textId="77777777" w:rsidR="00D54C22" w:rsidRPr="0072035E" w:rsidRDefault="00D54C22" w:rsidP="00D54C22">
      <w:pPr>
        <w:pStyle w:val="NormalWeb"/>
        <w:keepNext/>
        <w:spacing w:before="240" w:beforeAutospacing="0" w:after="240" w:afterAutospacing="0" w:line="276" w:lineRule="auto"/>
        <w:rPr>
          <w:rFonts w:eastAsia="Segoe UI"/>
        </w:rPr>
      </w:pPr>
      <w:r w:rsidRPr="001A03BC">
        <w:rPr>
          <w:rFonts w:ascii="Segoe UI" w:eastAsia="Calibri" w:hAnsi="Segoe UI" w:cs="Segoe UI"/>
          <w:color w:val="666666"/>
          <w:sz w:val="20"/>
          <w:szCs w:val="20"/>
        </w:rPr>
        <w:t>Revenue allocated to remaining performance obligations, which includes unearned revenue and amounts that will be invoiced and recognized as revenue in future periods, was $</w:t>
      </w:r>
      <w:r>
        <w:rPr>
          <w:rFonts w:ascii="Segoe UI" w:eastAsia="Calibri" w:hAnsi="Segoe UI" w:cs="Segoe UI"/>
          <w:color w:val="666666"/>
          <w:sz w:val="20"/>
          <w:szCs w:val="20"/>
        </w:rPr>
        <w:t>111</w:t>
      </w:r>
      <w:r w:rsidRPr="001A03BC">
        <w:rPr>
          <w:rFonts w:ascii="Segoe UI" w:eastAsia="Calibri" w:hAnsi="Segoe UI" w:cs="Segoe UI"/>
          <w:color w:val="666666"/>
          <w:sz w:val="20"/>
          <w:szCs w:val="20"/>
        </w:rPr>
        <w:t xml:space="preserve"> billion as of </w:t>
      </w:r>
      <w:r>
        <w:rPr>
          <w:rFonts w:ascii="Segoe UI" w:eastAsia="Calibri" w:hAnsi="Segoe UI" w:cs="Segoe UI"/>
          <w:color w:val="666666"/>
          <w:sz w:val="20"/>
          <w:szCs w:val="20"/>
        </w:rPr>
        <w:t>June 30</w:t>
      </w:r>
      <w:r w:rsidRPr="001A03BC">
        <w:rPr>
          <w:rFonts w:ascii="Segoe UI" w:eastAsia="Calibri" w:hAnsi="Segoe UI" w:cs="Segoe UI"/>
          <w:color w:val="666666"/>
          <w:sz w:val="20"/>
          <w:szCs w:val="20"/>
        </w:rPr>
        <w:t>, 2020, of which $</w:t>
      </w:r>
      <w:r w:rsidRPr="001032F0">
        <w:rPr>
          <w:rFonts w:ascii="Segoe UI" w:eastAsia="Calibri" w:hAnsi="Segoe UI" w:cs="Segoe UI"/>
          <w:color w:val="666666"/>
          <w:sz w:val="20"/>
          <w:szCs w:val="20"/>
        </w:rPr>
        <w:t>107</w:t>
      </w:r>
      <w:r w:rsidRPr="001A03BC">
        <w:rPr>
          <w:rFonts w:ascii="Segoe UI" w:eastAsia="Calibri" w:hAnsi="Segoe UI" w:cs="Segoe UI"/>
          <w:color w:val="666666"/>
          <w:sz w:val="20"/>
          <w:szCs w:val="20"/>
        </w:rPr>
        <w:t> billion is related to the commercial portion of revenue. We expect to recognize approximately </w:t>
      </w:r>
      <w:r>
        <w:rPr>
          <w:rFonts w:ascii="Segoe UI" w:eastAsia="Calibri" w:hAnsi="Segoe UI" w:cs="Segoe UI"/>
          <w:color w:val="666666"/>
          <w:sz w:val="20"/>
          <w:szCs w:val="20"/>
        </w:rPr>
        <w:t>50</w:t>
      </w:r>
      <w:r w:rsidRPr="001A03BC">
        <w:rPr>
          <w:rFonts w:ascii="Segoe UI" w:eastAsia="Calibri" w:hAnsi="Segoe UI" w:cs="Segoe UI"/>
          <w:color w:val="666666"/>
          <w:sz w:val="20"/>
          <w:szCs w:val="20"/>
        </w:rPr>
        <w:t>% of this revenue over the next 12 months and the remainder thereafter.</w:t>
      </w:r>
    </w:p>
    <w:sectPr w:rsidR="00D54C22" w:rsidRPr="0072035E" w:rsidSect="000A566E">
      <w:type w:val="continuous"/>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96E04" w14:textId="77777777" w:rsidR="00BA68A0" w:rsidRDefault="00BA68A0" w:rsidP="00C7044F">
      <w:pPr>
        <w:spacing w:after="0" w:line="240" w:lineRule="auto"/>
      </w:pPr>
      <w:r>
        <w:separator/>
      </w:r>
    </w:p>
  </w:endnote>
  <w:endnote w:type="continuationSeparator" w:id="0">
    <w:p w14:paraId="17E1751A" w14:textId="77777777" w:rsidR="00BA68A0" w:rsidRDefault="00BA68A0" w:rsidP="00C7044F">
      <w:pPr>
        <w:spacing w:after="0" w:line="240" w:lineRule="auto"/>
      </w:pPr>
      <w:r>
        <w:continuationSeparator/>
      </w:r>
    </w:p>
  </w:endnote>
  <w:endnote w:type="continuationNotice" w:id="1">
    <w:p w14:paraId="65EAFBDE" w14:textId="77777777" w:rsidR="00BA68A0" w:rsidRDefault="00BA68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Arial"/>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游明朝">
    <w:altName w:val="MS Gothic"/>
    <w:charset w:val="8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A92A6" w14:textId="77777777" w:rsidR="008D19EE" w:rsidRDefault="008D1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53C1B" w14:textId="77777777" w:rsidR="008D19EE" w:rsidRDefault="008D1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6805D" w14:textId="77777777" w:rsidR="008D19EE" w:rsidRDefault="008D19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75692" w14:textId="77777777" w:rsidR="009C6C70" w:rsidRDefault="009C6C70">
    <w:pPr>
      <w:pStyle w:val="Footer"/>
    </w:pPr>
    <w:r>
      <w:rPr>
        <w:noProof/>
      </w:rPr>
      <mc:AlternateContent>
        <mc:Choice Requires="wps">
          <w:drawing>
            <wp:anchor distT="0" distB="0" distL="114300" distR="114300" simplePos="0" relativeHeight="251658240" behindDoc="0" locked="0" layoutInCell="0" allowOverlap="1" wp14:anchorId="39016D1A" wp14:editId="06C35118">
              <wp:simplePos x="0" y="0"/>
              <wp:positionH relativeFrom="page">
                <wp:posOffset>0</wp:posOffset>
              </wp:positionH>
              <wp:positionV relativeFrom="page">
                <wp:posOffset>9601200</wp:posOffset>
              </wp:positionV>
              <wp:extent cx="7772400" cy="266700"/>
              <wp:effectExtent l="0" t="0" r="0" b="0"/>
              <wp:wrapNone/>
              <wp:docPr id="2" name="MSIPCM291440ca851746367e834a2f" descr="{&quot;HashCode&quot;:-1075651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8720A9" w14:textId="447A2736" w:rsidR="009C6C70" w:rsidRPr="00A254E2" w:rsidRDefault="009C6C70" w:rsidP="008D14D0">
                          <w:pPr>
                            <w:spacing w:after="0"/>
                            <w:rPr>
                              <w:rFonts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016D1A" id="_x0000_t202" coordsize="21600,21600" o:spt="202" path="m,l,21600r21600,l21600,xe">
              <v:stroke joinstyle="miter"/>
              <v:path gradientshapeok="t" o:connecttype="rect"/>
            </v:shapetype>
            <v:shape id="MSIPCM291440ca851746367e834a2f" o:spid="_x0000_s1026" type="#_x0000_t202" alt="{&quot;HashCode&quot;:-107565142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Dpm/7XsQIAAEgFAAAOAAAA&#10;AAAAAAAAAAAAAC4CAABkcnMvZTJvRG9jLnhtbFBLAQItABQABgAIAAAAIQC7QO0x3AAAAAsBAAAP&#10;AAAAAAAAAAAAAAAAAAsFAABkcnMvZG93bnJldi54bWxQSwUGAAAAAAQABADzAAAAFAYAAAAA&#10;" o:allowincell="f" filled="f" stroked="f" strokeweight=".5pt">
              <v:textbox inset="20pt,0,,0">
                <w:txbxContent>
                  <w:p w14:paraId="7A8720A9" w14:textId="447A2736" w:rsidR="009C6C70" w:rsidRPr="00A254E2" w:rsidRDefault="009C6C70" w:rsidP="008D14D0">
                    <w:pPr>
                      <w:spacing w:after="0"/>
                      <w:rPr>
                        <w:rFonts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E6518" w14:textId="77777777" w:rsidR="00BA68A0" w:rsidRDefault="00BA68A0" w:rsidP="00C7044F">
      <w:pPr>
        <w:spacing w:after="0" w:line="240" w:lineRule="auto"/>
      </w:pPr>
      <w:r>
        <w:separator/>
      </w:r>
    </w:p>
  </w:footnote>
  <w:footnote w:type="continuationSeparator" w:id="0">
    <w:p w14:paraId="36450E6B" w14:textId="77777777" w:rsidR="00BA68A0" w:rsidRDefault="00BA68A0" w:rsidP="00C7044F">
      <w:pPr>
        <w:spacing w:after="0" w:line="240" w:lineRule="auto"/>
      </w:pPr>
      <w:r>
        <w:continuationSeparator/>
      </w:r>
    </w:p>
  </w:footnote>
  <w:footnote w:type="continuationNotice" w:id="1">
    <w:p w14:paraId="465BBFD3" w14:textId="77777777" w:rsidR="00BA68A0" w:rsidRDefault="00BA68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4899" w14:textId="77777777" w:rsidR="008D19EE" w:rsidRDefault="008D1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C0F0C" w14:textId="77777777" w:rsidR="008D19EE" w:rsidRDefault="008D19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E5716" w14:textId="77777777" w:rsidR="008D19EE" w:rsidRDefault="008D19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98B0E" w14:textId="720B6E50" w:rsidR="009C6C70" w:rsidRDefault="009C6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7"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1"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5"/>
  </w:num>
  <w:num w:numId="5">
    <w:abstractNumId w:val="11"/>
  </w:num>
  <w:num w:numId="6">
    <w:abstractNumId w:val="2"/>
  </w:num>
  <w:num w:numId="7">
    <w:abstractNumId w:val="17"/>
  </w:num>
  <w:num w:numId="8">
    <w:abstractNumId w:val="24"/>
  </w:num>
  <w:num w:numId="9">
    <w:abstractNumId w:val="20"/>
  </w:num>
  <w:num w:numId="10">
    <w:abstractNumId w:val="13"/>
  </w:num>
  <w:num w:numId="11">
    <w:abstractNumId w:val="7"/>
  </w:num>
  <w:num w:numId="12">
    <w:abstractNumId w:val="16"/>
  </w:num>
  <w:num w:numId="13">
    <w:abstractNumId w:val="5"/>
  </w:num>
  <w:num w:numId="14">
    <w:abstractNumId w:val="15"/>
  </w:num>
  <w:num w:numId="15">
    <w:abstractNumId w:val="8"/>
  </w:num>
  <w:num w:numId="16">
    <w:abstractNumId w:val="0"/>
  </w:num>
  <w:num w:numId="17">
    <w:abstractNumId w:val="26"/>
  </w:num>
  <w:num w:numId="18">
    <w:abstractNumId w:val="12"/>
  </w:num>
  <w:num w:numId="19">
    <w:abstractNumId w:val="14"/>
  </w:num>
  <w:num w:numId="20">
    <w:abstractNumId w:val="27"/>
  </w:num>
  <w:num w:numId="21">
    <w:abstractNumId w:val="3"/>
  </w:num>
  <w:num w:numId="22">
    <w:abstractNumId w:val="21"/>
  </w:num>
  <w:num w:numId="23">
    <w:abstractNumId w:val="9"/>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104E"/>
    <w:rsid w:val="00001B87"/>
    <w:rsid w:val="00001E2C"/>
    <w:rsid w:val="00002A03"/>
    <w:rsid w:val="00002D5F"/>
    <w:rsid w:val="00002DA1"/>
    <w:rsid w:val="000032CC"/>
    <w:rsid w:val="00004030"/>
    <w:rsid w:val="00004148"/>
    <w:rsid w:val="0000443F"/>
    <w:rsid w:val="000049C7"/>
    <w:rsid w:val="00004E64"/>
    <w:rsid w:val="00004EFD"/>
    <w:rsid w:val="00005806"/>
    <w:rsid w:val="00005E7F"/>
    <w:rsid w:val="0000659C"/>
    <w:rsid w:val="00006E98"/>
    <w:rsid w:val="00006FE4"/>
    <w:rsid w:val="00010264"/>
    <w:rsid w:val="000116EF"/>
    <w:rsid w:val="00012426"/>
    <w:rsid w:val="00012F17"/>
    <w:rsid w:val="00013B05"/>
    <w:rsid w:val="00014E44"/>
    <w:rsid w:val="00015A66"/>
    <w:rsid w:val="00015AA6"/>
    <w:rsid w:val="00016763"/>
    <w:rsid w:val="000173A6"/>
    <w:rsid w:val="00017FE7"/>
    <w:rsid w:val="0002129F"/>
    <w:rsid w:val="00022041"/>
    <w:rsid w:val="0002209D"/>
    <w:rsid w:val="0002388B"/>
    <w:rsid w:val="00023BB6"/>
    <w:rsid w:val="00023D95"/>
    <w:rsid w:val="00023EB5"/>
    <w:rsid w:val="00024630"/>
    <w:rsid w:val="00024851"/>
    <w:rsid w:val="000249DA"/>
    <w:rsid w:val="000255A0"/>
    <w:rsid w:val="000257C9"/>
    <w:rsid w:val="000262E7"/>
    <w:rsid w:val="00027066"/>
    <w:rsid w:val="00027081"/>
    <w:rsid w:val="000271D5"/>
    <w:rsid w:val="000278D0"/>
    <w:rsid w:val="00027A86"/>
    <w:rsid w:val="00027BE1"/>
    <w:rsid w:val="00027C02"/>
    <w:rsid w:val="00027C5C"/>
    <w:rsid w:val="0003121E"/>
    <w:rsid w:val="00031613"/>
    <w:rsid w:val="00031832"/>
    <w:rsid w:val="00032688"/>
    <w:rsid w:val="00032B92"/>
    <w:rsid w:val="00033155"/>
    <w:rsid w:val="00033D1C"/>
    <w:rsid w:val="00034047"/>
    <w:rsid w:val="0003606A"/>
    <w:rsid w:val="000361C7"/>
    <w:rsid w:val="000368C9"/>
    <w:rsid w:val="00036C48"/>
    <w:rsid w:val="000371A5"/>
    <w:rsid w:val="000373C9"/>
    <w:rsid w:val="000374F8"/>
    <w:rsid w:val="00037748"/>
    <w:rsid w:val="00037C07"/>
    <w:rsid w:val="000406AC"/>
    <w:rsid w:val="000406BF"/>
    <w:rsid w:val="000408D0"/>
    <w:rsid w:val="00040A45"/>
    <w:rsid w:val="00040BB2"/>
    <w:rsid w:val="00040CAD"/>
    <w:rsid w:val="00040ED8"/>
    <w:rsid w:val="0004157A"/>
    <w:rsid w:val="00041906"/>
    <w:rsid w:val="00041F46"/>
    <w:rsid w:val="00042092"/>
    <w:rsid w:val="0004238A"/>
    <w:rsid w:val="000427CB"/>
    <w:rsid w:val="00042AD0"/>
    <w:rsid w:val="00042D12"/>
    <w:rsid w:val="000436AC"/>
    <w:rsid w:val="000437D7"/>
    <w:rsid w:val="00043DCE"/>
    <w:rsid w:val="000442B9"/>
    <w:rsid w:val="0004541B"/>
    <w:rsid w:val="00045498"/>
    <w:rsid w:val="00045D2B"/>
    <w:rsid w:val="00046AE9"/>
    <w:rsid w:val="00047164"/>
    <w:rsid w:val="000501A6"/>
    <w:rsid w:val="0005064B"/>
    <w:rsid w:val="00050ADC"/>
    <w:rsid w:val="000515A1"/>
    <w:rsid w:val="00051913"/>
    <w:rsid w:val="000521F9"/>
    <w:rsid w:val="0005247D"/>
    <w:rsid w:val="00052576"/>
    <w:rsid w:val="000527C8"/>
    <w:rsid w:val="000534B2"/>
    <w:rsid w:val="00053F83"/>
    <w:rsid w:val="0005423A"/>
    <w:rsid w:val="00054674"/>
    <w:rsid w:val="00054D58"/>
    <w:rsid w:val="000552F0"/>
    <w:rsid w:val="0005549E"/>
    <w:rsid w:val="00055F82"/>
    <w:rsid w:val="000562AB"/>
    <w:rsid w:val="00056789"/>
    <w:rsid w:val="00056931"/>
    <w:rsid w:val="00057FA6"/>
    <w:rsid w:val="000600A7"/>
    <w:rsid w:val="000603FA"/>
    <w:rsid w:val="0006097C"/>
    <w:rsid w:val="00061705"/>
    <w:rsid w:val="00061EB0"/>
    <w:rsid w:val="00061EB4"/>
    <w:rsid w:val="000627C8"/>
    <w:rsid w:val="00062B6C"/>
    <w:rsid w:val="00062F97"/>
    <w:rsid w:val="00063325"/>
    <w:rsid w:val="000636BA"/>
    <w:rsid w:val="00063775"/>
    <w:rsid w:val="00063CC9"/>
    <w:rsid w:val="0006411B"/>
    <w:rsid w:val="000664AA"/>
    <w:rsid w:val="00067912"/>
    <w:rsid w:val="00070339"/>
    <w:rsid w:val="0007037E"/>
    <w:rsid w:val="000706B7"/>
    <w:rsid w:val="00071016"/>
    <w:rsid w:val="000713B3"/>
    <w:rsid w:val="000717C8"/>
    <w:rsid w:val="000717EC"/>
    <w:rsid w:val="00072174"/>
    <w:rsid w:val="0007220D"/>
    <w:rsid w:val="0007236F"/>
    <w:rsid w:val="00072DB0"/>
    <w:rsid w:val="000739F0"/>
    <w:rsid w:val="00073B69"/>
    <w:rsid w:val="0007518B"/>
    <w:rsid w:val="00075378"/>
    <w:rsid w:val="00076378"/>
    <w:rsid w:val="00076C9C"/>
    <w:rsid w:val="000774C4"/>
    <w:rsid w:val="00080EB6"/>
    <w:rsid w:val="0008268D"/>
    <w:rsid w:val="0008282A"/>
    <w:rsid w:val="00083146"/>
    <w:rsid w:val="000835B9"/>
    <w:rsid w:val="000848CE"/>
    <w:rsid w:val="000849B8"/>
    <w:rsid w:val="000852F0"/>
    <w:rsid w:val="00085C49"/>
    <w:rsid w:val="00085CBF"/>
    <w:rsid w:val="000862D0"/>
    <w:rsid w:val="00086636"/>
    <w:rsid w:val="00086B39"/>
    <w:rsid w:val="00086CA9"/>
    <w:rsid w:val="00086ED8"/>
    <w:rsid w:val="00090273"/>
    <w:rsid w:val="00090845"/>
    <w:rsid w:val="00091204"/>
    <w:rsid w:val="0009177D"/>
    <w:rsid w:val="00092153"/>
    <w:rsid w:val="00092581"/>
    <w:rsid w:val="00092844"/>
    <w:rsid w:val="00092D7B"/>
    <w:rsid w:val="000934BE"/>
    <w:rsid w:val="0009362A"/>
    <w:rsid w:val="00093F13"/>
    <w:rsid w:val="00094D4D"/>
    <w:rsid w:val="00094DB8"/>
    <w:rsid w:val="00095984"/>
    <w:rsid w:val="00095FDF"/>
    <w:rsid w:val="00096336"/>
    <w:rsid w:val="00096432"/>
    <w:rsid w:val="00097380"/>
    <w:rsid w:val="000973AD"/>
    <w:rsid w:val="000A02BA"/>
    <w:rsid w:val="000A1E07"/>
    <w:rsid w:val="000A2958"/>
    <w:rsid w:val="000A2E3E"/>
    <w:rsid w:val="000A2F1E"/>
    <w:rsid w:val="000A317A"/>
    <w:rsid w:val="000A34DF"/>
    <w:rsid w:val="000A454A"/>
    <w:rsid w:val="000A4C3C"/>
    <w:rsid w:val="000A4D1F"/>
    <w:rsid w:val="000A52D8"/>
    <w:rsid w:val="000A566E"/>
    <w:rsid w:val="000A7179"/>
    <w:rsid w:val="000A71C9"/>
    <w:rsid w:val="000A7578"/>
    <w:rsid w:val="000A79E9"/>
    <w:rsid w:val="000A7E7F"/>
    <w:rsid w:val="000B146A"/>
    <w:rsid w:val="000B151D"/>
    <w:rsid w:val="000B1AA4"/>
    <w:rsid w:val="000B2014"/>
    <w:rsid w:val="000B2302"/>
    <w:rsid w:val="000B2588"/>
    <w:rsid w:val="000B2992"/>
    <w:rsid w:val="000B2CCE"/>
    <w:rsid w:val="000B30E7"/>
    <w:rsid w:val="000B3243"/>
    <w:rsid w:val="000B3641"/>
    <w:rsid w:val="000B42C9"/>
    <w:rsid w:val="000B4A2E"/>
    <w:rsid w:val="000B5049"/>
    <w:rsid w:val="000B5225"/>
    <w:rsid w:val="000B5FF3"/>
    <w:rsid w:val="000B6100"/>
    <w:rsid w:val="000B70B7"/>
    <w:rsid w:val="000B7719"/>
    <w:rsid w:val="000C05BB"/>
    <w:rsid w:val="000C11E8"/>
    <w:rsid w:val="000C2526"/>
    <w:rsid w:val="000C2BFF"/>
    <w:rsid w:val="000C3074"/>
    <w:rsid w:val="000C3183"/>
    <w:rsid w:val="000C3F94"/>
    <w:rsid w:val="000C41A2"/>
    <w:rsid w:val="000C44FE"/>
    <w:rsid w:val="000C5837"/>
    <w:rsid w:val="000C654F"/>
    <w:rsid w:val="000C681D"/>
    <w:rsid w:val="000C684D"/>
    <w:rsid w:val="000C755F"/>
    <w:rsid w:val="000C7723"/>
    <w:rsid w:val="000D0091"/>
    <w:rsid w:val="000D03EC"/>
    <w:rsid w:val="000D1272"/>
    <w:rsid w:val="000D1874"/>
    <w:rsid w:val="000D1D83"/>
    <w:rsid w:val="000D1FAC"/>
    <w:rsid w:val="000D2461"/>
    <w:rsid w:val="000D2AB8"/>
    <w:rsid w:val="000D2E68"/>
    <w:rsid w:val="000D2FAA"/>
    <w:rsid w:val="000D382B"/>
    <w:rsid w:val="000D4253"/>
    <w:rsid w:val="000D44AC"/>
    <w:rsid w:val="000D4AA2"/>
    <w:rsid w:val="000D4C7B"/>
    <w:rsid w:val="000D508F"/>
    <w:rsid w:val="000D58A5"/>
    <w:rsid w:val="000D6472"/>
    <w:rsid w:val="000D68F6"/>
    <w:rsid w:val="000D6BA7"/>
    <w:rsid w:val="000D7112"/>
    <w:rsid w:val="000D74FD"/>
    <w:rsid w:val="000D754F"/>
    <w:rsid w:val="000D7A4B"/>
    <w:rsid w:val="000E05EE"/>
    <w:rsid w:val="000E1830"/>
    <w:rsid w:val="000E1A94"/>
    <w:rsid w:val="000E1AD1"/>
    <w:rsid w:val="000E2368"/>
    <w:rsid w:val="000E2609"/>
    <w:rsid w:val="000E273B"/>
    <w:rsid w:val="000E33C4"/>
    <w:rsid w:val="000E3E7A"/>
    <w:rsid w:val="000E40AF"/>
    <w:rsid w:val="000E41FE"/>
    <w:rsid w:val="000E46A5"/>
    <w:rsid w:val="000E4C82"/>
    <w:rsid w:val="000E54C3"/>
    <w:rsid w:val="000E5B88"/>
    <w:rsid w:val="000E649E"/>
    <w:rsid w:val="000E6695"/>
    <w:rsid w:val="000E72A0"/>
    <w:rsid w:val="000E7FA4"/>
    <w:rsid w:val="000F169C"/>
    <w:rsid w:val="000F265A"/>
    <w:rsid w:val="000F26EB"/>
    <w:rsid w:val="000F2C2B"/>
    <w:rsid w:val="000F40F9"/>
    <w:rsid w:val="000F51C8"/>
    <w:rsid w:val="000F5420"/>
    <w:rsid w:val="000F564B"/>
    <w:rsid w:val="000F5BE5"/>
    <w:rsid w:val="000F5BF3"/>
    <w:rsid w:val="000F6124"/>
    <w:rsid w:val="000F6727"/>
    <w:rsid w:val="000F6ED7"/>
    <w:rsid w:val="00100903"/>
    <w:rsid w:val="00100995"/>
    <w:rsid w:val="0010157D"/>
    <w:rsid w:val="001021FE"/>
    <w:rsid w:val="001038A6"/>
    <w:rsid w:val="00104088"/>
    <w:rsid w:val="00104A87"/>
    <w:rsid w:val="00104B72"/>
    <w:rsid w:val="00104C31"/>
    <w:rsid w:val="00104D80"/>
    <w:rsid w:val="001055C6"/>
    <w:rsid w:val="0010639A"/>
    <w:rsid w:val="0010647B"/>
    <w:rsid w:val="00106597"/>
    <w:rsid w:val="00106BA4"/>
    <w:rsid w:val="0010757B"/>
    <w:rsid w:val="00111807"/>
    <w:rsid w:val="00112964"/>
    <w:rsid w:val="00113F62"/>
    <w:rsid w:val="00114574"/>
    <w:rsid w:val="00114C67"/>
    <w:rsid w:val="00114E0A"/>
    <w:rsid w:val="00114FE5"/>
    <w:rsid w:val="00115462"/>
    <w:rsid w:val="00115F03"/>
    <w:rsid w:val="00115F49"/>
    <w:rsid w:val="001167A6"/>
    <w:rsid w:val="0011692A"/>
    <w:rsid w:val="001170B6"/>
    <w:rsid w:val="00117156"/>
    <w:rsid w:val="0011754B"/>
    <w:rsid w:val="00117B99"/>
    <w:rsid w:val="0012033D"/>
    <w:rsid w:val="00121033"/>
    <w:rsid w:val="00121B99"/>
    <w:rsid w:val="00122002"/>
    <w:rsid w:val="00122818"/>
    <w:rsid w:val="00122ADA"/>
    <w:rsid w:val="0012364D"/>
    <w:rsid w:val="00123A32"/>
    <w:rsid w:val="00124190"/>
    <w:rsid w:val="0012436B"/>
    <w:rsid w:val="001244EC"/>
    <w:rsid w:val="001246B1"/>
    <w:rsid w:val="00124DE0"/>
    <w:rsid w:val="001250F3"/>
    <w:rsid w:val="001251C4"/>
    <w:rsid w:val="00125574"/>
    <w:rsid w:val="0012590E"/>
    <w:rsid w:val="00127320"/>
    <w:rsid w:val="001276F8"/>
    <w:rsid w:val="00127709"/>
    <w:rsid w:val="001304FB"/>
    <w:rsid w:val="0013075E"/>
    <w:rsid w:val="001315D1"/>
    <w:rsid w:val="001316CF"/>
    <w:rsid w:val="00131740"/>
    <w:rsid w:val="00131A99"/>
    <w:rsid w:val="00131B0F"/>
    <w:rsid w:val="0013246E"/>
    <w:rsid w:val="00132B8E"/>
    <w:rsid w:val="00133E37"/>
    <w:rsid w:val="00134351"/>
    <w:rsid w:val="001345C2"/>
    <w:rsid w:val="001350B1"/>
    <w:rsid w:val="001353BC"/>
    <w:rsid w:val="0013546C"/>
    <w:rsid w:val="00135CD7"/>
    <w:rsid w:val="00136318"/>
    <w:rsid w:val="00136350"/>
    <w:rsid w:val="00136518"/>
    <w:rsid w:val="00140104"/>
    <w:rsid w:val="00140416"/>
    <w:rsid w:val="00141071"/>
    <w:rsid w:val="00141266"/>
    <w:rsid w:val="001415F0"/>
    <w:rsid w:val="00141DD3"/>
    <w:rsid w:val="00141DD5"/>
    <w:rsid w:val="001426F9"/>
    <w:rsid w:val="00143230"/>
    <w:rsid w:val="001441C2"/>
    <w:rsid w:val="001442D2"/>
    <w:rsid w:val="001442EF"/>
    <w:rsid w:val="00144410"/>
    <w:rsid w:val="0014457F"/>
    <w:rsid w:val="001469CF"/>
    <w:rsid w:val="00146B18"/>
    <w:rsid w:val="00146C78"/>
    <w:rsid w:val="001506CE"/>
    <w:rsid w:val="00150A4D"/>
    <w:rsid w:val="0015168E"/>
    <w:rsid w:val="00151930"/>
    <w:rsid w:val="00151F86"/>
    <w:rsid w:val="0015259D"/>
    <w:rsid w:val="001531F9"/>
    <w:rsid w:val="001536D3"/>
    <w:rsid w:val="00153808"/>
    <w:rsid w:val="00153907"/>
    <w:rsid w:val="00154522"/>
    <w:rsid w:val="001545C6"/>
    <w:rsid w:val="001548A7"/>
    <w:rsid w:val="00154A96"/>
    <w:rsid w:val="00155789"/>
    <w:rsid w:val="00155DA7"/>
    <w:rsid w:val="0015609D"/>
    <w:rsid w:val="0015609E"/>
    <w:rsid w:val="00156284"/>
    <w:rsid w:val="00156493"/>
    <w:rsid w:val="0015667E"/>
    <w:rsid w:val="001566DA"/>
    <w:rsid w:val="00156BC2"/>
    <w:rsid w:val="00157194"/>
    <w:rsid w:val="00157227"/>
    <w:rsid w:val="00157F34"/>
    <w:rsid w:val="00160997"/>
    <w:rsid w:val="00160AA3"/>
    <w:rsid w:val="00160B70"/>
    <w:rsid w:val="00160CFB"/>
    <w:rsid w:val="001614B8"/>
    <w:rsid w:val="0016157F"/>
    <w:rsid w:val="00161DC9"/>
    <w:rsid w:val="00161E7A"/>
    <w:rsid w:val="001623AF"/>
    <w:rsid w:val="00163100"/>
    <w:rsid w:val="00163281"/>
    <w:rsid w:val="00163491"/>
    <w:rsid w:val="00163546"/>
    <w:rsid w:val="0016441B"/>
    <w:rsid w:val="001646A6"/>
    <w:rsid w:val="00164CE2"/>
    <w:rsid w:val="00164F1F"/>
    <w:rsid w:val="00165283"/>
    <w:rsid w:val="00165446"/>
    <w:rsid w:val="00165B0E"/>
    <w:rsid w:val="0016607A"/>
    <w:rsid w:val="001665BB"/>
    <w:rsid w:val="00166B3F"/>
    <w:rsid w:val="001670B7"/>
    <w:rsid w:val="0016754B"/>
    <w:rsid w:val="00167C14"/>
    <w:rsid w:val="00167DE2"/>
    <w:rsid w:val="001719B5"/>
    <w:rsid w:val="00172CD1"/>
    <w:rsid w:val="00173465"/>
    <w:rsid w:val="001742A1"/>
    <w:rsid w:val="00174B24"/>
    <w:rsid w:val="00174C85"/>
    <w:rsid w:val="0017503C"/>
    <w:rsid w:val="001755CB"/>
    <w:rsid w:val="00175893"/>
    <w:rsid w:val="00176019"/>
    <w:rsid w:val="001766EB"/>
    <w:rsid w:val="00176E70"/>
    <w:rsid w:val="00180F01"/>
    <w:rsid w:val="0018116C"/>
    <w:rsid w:val="001813E9"/>
    <w:rsid w:val="00181A9F"/>
    <w:rsid w:val="00181C7C"/>
    <w:rsid w:val="00182070"/>
    <w:rsid w:val="0018287B"/>
    <w:rsid w:val="00183101"/>
    <w:rsid w:val="0018317D"/>
    <w:rsid w:val="00183315"/>
    <w:rsid w:val="0018405C"/>
    <w:rsid w:val="0018451F"/>
    <w:rsid w:val="001847D3"/>
    <w:rsid w:val="0018513C"/>
    <w:rsid w:val="00185B6E"/>
    <w:rsid w:val="00185FF5"/>
    <w:rsid w:val="00186D0D"/>
    <w:rsid w:val="001871CB"/>
    <w:rsid w:val="00190697"/>
    <w:rsid w:val="001914E0"/>
    <w:rsid w:val="0019385E"/>
    <w:rsid w:val="001957FC"/>
    <w:rsid w:val="0019593D"/>
    <w:rsid w:val="0019675F"/>
    <w:rsid w:val="001968F8"/>
    <w:rsid w:val="00196AC8"/>
    <w:rsid w:val="001970BC"/>
    <w:rsid w:val="001973A6"/>
    <w:rsid w:val="00197729"/>
    <w:rsid w:val="00197782"/>
    <w:rsid w:val="001A0A38"/>
    <w:rsid w:val="001A14BB"/>
    <w:rsid w:val="001A2157"/>
    <w:rsid w:val="001A2493"/>
    <w:rsid w:val="001A3A41"/>
    <w:rsid w:val="001A3E7F"/>
    <w:rsid w:val="001A5C13"/>
    <w:rsid w:val="001B0097"/>
    <w:rsid w:val="001B0E69"/>
    <w:rsid w:val="001B0FB7"/>
    <w:rsid w:val="001B12AE"/>
    <w:rsid w:val="001B12B7"/>
    <w:rsid w:val="001B19A6"/>
    <w:rsid w:val="001B276E"/>
    <w:rsid w:val="001B29B7"/>
    <w:rsid w:val="001B2FCA"/>
    <w:rsid w:val="001B35B0"/>
    <w:rsid w:val="001B3867"/>
    <w:rsid w:val="001B3A83"/>
    <w:rsid w:val="001B3C43"/>
    <w:rsid w:val="001B431C"/>
    <w:rsid w:val="001B4D2D"/>
    <w:rsid w:val="001B60C9"/>
    <w:rsid w:val="001B6526"/>
    <w:rsid w:val="001B6D6A"/>
    <w:rsid w:val="001B792A"/>
    <w:rsid w:val="001C044B"/>
    <w:rsid w:val="001C0D6C"/>
    <w:rsid w:val="001C1132"/>
    <w:rsid w:val="001C1A6D"/>
    <w:rsid w:val="001C217D"/>
    <w:rsid w:val="001C2323"/>
    <w:rsid w:val="001C2381"/>
    <w:rsid w:val="001C23BD"/>
    <w:rsid w:val="001C2A4B"/>
    <w:rsid w:val="001C3CEA"/>
    <w:rsid w:val="001C4482"/>
    <w:rsid w:val="001C4B21"/>
    <w:rsid w:val="001C564F"/>
    <w:rsid w:val="001C5726"/>
    <w:rsid w:val="001C5A93"/>
    <w:rsid w:val="001C65BB"/>
    <w:rsid w:val="001D03E0"/>
    <w:rsid w:val="001D06B3"/>
    <w:rsid w:val="001D096F"/>
    <w:rsid w:val="001D0982"/>
    <w:rsid w:val="001D0CB2"/>
    <w:rsid w:val="001D1634"/>
    <w:rsid w:val="001D27A1"/>
    <w:rsid w:val="001D2914"/>
    <w:rsid w:val="001D2D75"/>
    <w:rsid w:val="001D350E"/>
    <w:rsid w:val="001D38A8"/>
    <w:rsid w:val="001D48AE"/>
    <w:rsid w:val="001D4F48"/>
    <w:rsid w:val="001D5383"/>
    <w:rsid w:val="001D5ECE"/>
    <w:rsid w:val="001D5F95"/>
    <w:rsid w:val="001D6003"/>
    <w:rsid w:val="001D6A8E"/>
    <w:rsid w:val="001D6CB6"/>
    <w:rsid w:val="001D7CCA"/>
    <w:rsid w:val="001E0B9E"/>
    <w:rsid w:val="001E1DAE"/>
    <w:rsid w:val="001E267E"/>
    <w:rsid w:val="001E2736"/>
    <w:rsid w:val="001E2B50"/>
    <w:rsid w:val="001E2DF9"/>
    <w:rsid w:val="001E2F51"/>
    <w:rsid w:val="001E3B5A"/>
    <w:rsid w:val="001E4E1A"/>
    <w:rsid w:val="001E6D30"/>
    <w:rsid w:val="001E7653"/>
    <w:rsid w:val="001E7DC1"/>
    <w:rsid w:val="001F07C9"/>
    <w:rsid w:val="001F19C0"/>
    <w:rsid w:val="001F1C7C"/>
    <w:rsid w:val="001F1E20"/>
    <w:rsid w:val="001F2612"/>
    <w:rsid w:val="001F2EA4"/>
    <w:rsid w:val="001F3007"/>
    <w:rsid w:val="001F44C6"/>
    <w:rsid w:val="001F4625"/>
    <w:rsid w:val="001F4EB6"/>
    <w:rsid w:val="001F5409"/>
    <w:rsid w:val="001F6232"/>
    <w:rsid w:val="001F6C9F"/>
    <w:rsid w:val="001F740F"/>
    <w:rsid w:val="001F78C9"/>
    <w:rsid w:val="0020089F"/>
    <w:rsid w:val="00200DED"/>
    <w:rsid w:val="00201D6C"/>
    <w:rsid w:val="0020200D"/>
    <w:rsid w:val="002020A0"/>
    <w:rsid w:val="002020F7"/>
    <w:rsid w:val="00202724"/>
    <w:rsid w:val="002027AF"/>
    <w:rsid w:val="002029E7"/>
    <w:rsid w:val="00202F64"/>
    <w:rsid w:val="00202F99"/>
    <w:rsid w:val="00204374"/>
    <w:rsid w:val="00205520"/>
    <w:rsid w:val="00205828"/>
    <w:rsid w:val="00205ADC"/>
    <w:rsid w:val="0020699F"/>
    <w:rsid w:val="00206D7F"/>
    <w:rsid w:val="00206F83"/>
    <w:rsid w:val="002074E7"/>
    <w:rsid w:val="00207A6E"/>
    <w:rsid w:val="00207EE3"/>
    <w:rsid w:val="00210594"/>
    <w:rsid w:val="00210DBE"/>
    <w:rsid w:val="00210E9B"/>
    <w:rsid w:val="00211669"/>
    <w:rsid w:val="00211B97"/>
    <w:rsid w:val="00211CE7"/>
    <w:rsid w:val="00211F61"/>
    <w:rsid w:val="00212140"/>
    <w:rsid w:val="00212625"/>
    <w:rsid w:val="00212FBD"/>
    <w:rsid w:val="0021363F"/>
    <w:rsid w:val="00213AF2"/>
    <w:rsid w:val="002147B6"/>
    <w:rsid w:val="002153FF"/>
    <w:rsid w:val="0021541F"/>
    <w:rsid w:val="00215D54"/>
    <w:rsid w:val="0021725B"/>
    <w:rsid w:val="002178FD"/>
    <w:rsid w:val="00217A86"/>
    <w:rsid w:val="002204CD"/>
    <w:rsid w:val="002210D3"/>
    <w:rsid w:val="00221565"/>
    <w:rsid w:val="00222246"/>
    <w:rsid w:val="0022256C"/>
    <w:rsid w:val="0022268E"/>
    <w:rsid w:val="00222882"/>
    <w:rsid w:val="002231EC"/>
    <w:rsid w:val="002234EA"/>
    <w:rsid w:val="0022367B"/>
    <w:rsid w:val="00223971"/>
    <w:rsid w:val="00224195"/>
    <w:rsid w:val="00224490"/>
    <w:rsid w:val="0022452E"/>
    <w:rsid w:val="00224570"/>
    <w:rsid w:val="002250DB"/>
    <w:rsid w:val="0022626B"/>
    <w:rsid w:val="00226D55"/>
    <w:rsid w:val="00226E2E"/>
    <w:rsid w:val="00227477"/>
    <w:rsid w:val="00227890"/>
    <w:rsid w:val="00230BCD"/>
    <w:rsid w:val="002316E6"/>
    <w:rsid w:val="00231839"/>
    <w:rsid w:val="00232599"/>
    <w:rsid w:val="00233688"/>
    <w:rsid w:val="00233DCC"/>
    <w:rsid w:val="00234B55"/>
    <w:rsid w:val="002350FE"/>
    <w:rsid w:val="002355AC"/>
    <w:rsid w:val="00235CBA"/>
    <w:rsid w:val="00236095"/>
    <w:rsid w:val="002364B7"/>
    <w:rsid w:val="002365A9"/>
    <w:rsid w:val="00236670"/>
    <w:rsid w:val="00237C5D"/>
    <w:rsid w:val="00237E13"/>
    <w:rsid w:val="00237E1A"/>
    <w:rsid w:val="002400A3"/>
    <w:rsid w:val="00241160"/>
    <w:rsid w:val="00241278"/>
    <w:rsid w:val="0024182A"/>
    <w:rsid w:val="00241E5E"/>
    <w:rsid w:val="002426D6"/>
    <w:rsid w:val="0024299A"/>
    <w:rsid w:val="00243276"/>
    <w:rsid w:val="0024347A"/>
    <w:rsid w:val="00243D6B"/>
    <w:rsid w:val="00244756"/>
    <w:rsid w:val="00244788"/>
    <w:rsid w:val="00244FA2"/>
    <w:rsid w:val="00244FB9"/>
    <w:rsid w:val="002450FE"/>
    <w:rsid w:val="0024592D"/>
    <w:rsid w:val="00245A1D"/>
    <w:rsid w:val="00246D7C"/>
    <w:rsid w:val="002471F0"/>
    <w:rsid w:val="00247861"/>
    <w:rsid w:val="00247B98"/>
    <w:rsid w:val="00247F02"/>
    <w:rsid w:val="00250D76"/>
    <w:rsid w:val="00250F9D"/>
    <w:rsid w:val="00251642"/>
    <w:rsid w:val="002516DB"/>
    <w:rsid w:val="002519B2"/>
    <w:rsid w:val="00251EED"/>
    <w:rsid w:val="00252B31"/>
    <w:rsid w:val="00255C16"/>
    <w:rsid w:val="00256B14"/>
    <w:rsid w:val="00256BAA"/>
    <w:rsid w:val="00256C68"/>
    <w:rsid w:val="00257283"/>
    <w:rsid w:val="0025731B"/>
    <w:rsid w:val="002575EF"/>
    <w:rsid w:val="00257DA3"/>
    <w:rsid w:val="002603AD"/>
    <w:rsid w:val="0026061B"/>
    <w:rsid w:val="00260805"/>
    <w:rsid w:val="00260BD1"/>
    <w:rsid w:val="00261349"/>
    <w:rsid w:val="002616BF"/>
    <w:rsid w:val="0026192D"/>
    <w:rsid w:val="00261BCF"/>
    <w:rsid w:val="002621A2"/>
    <w:rsid w:val="0026222D"/>
    <w:rsid w:val="002625D6"/>
    <w:rsid w:val="00262CA6"/>
    <w:rsid w:val="00263405"/>
    <w:rsid w:val="00263C79"/>
    <w:rsid w:val="00263D77"/>
    <w:rsid w:val="00263EF1"/>
    <w:rsid w:val="00263F25"/>
    <w:rsid w:val="002677D7"/>
    <w:rsid w:val="00267A26"/>
    <w:rsid w:val="00267C34"/>
    <w:rsid w:val="00267FD2"/>
    <w:rsid w:val="002710C2"/>
    <w:rsid w:val="002719D4"/>
    <w:rsid w:val="00271DA0"/>
    <w:rsid w:val="00272084"/>
    <w:rsid w:val="00272846"/>
    <w:rsid w:val="002735F9"/>
    <w:rsid w:val="00274161"/>
    <w:rsid w:val="00274ACD"/>
    <w:rsid w:val="00274E34"/>
    <w:rsid w:val="00275B43"/>
    <w:rsid w:val="00275F94"/>
    <w:rsid w:val="00275FC5"/>
    <w:rsid w:val="00276424"/>
    <w:rsid w:val="002764C7"/>
    <w:rsid w:val="00277779"/>
    <w:rsid w:val="002777B0"/>
    <w:rsid w:val="002779DC"/>
    <w:rsid w:val="00277CE9"/>
    <w:rsid w:val="002801F7"/>
    <w:rsid w:val="002824D5"/>
    <w:rsid w:val="0028284F"/>
    <w:rsid w:val="00282850"/>
    <w:rsid w:val="00282BFE"/>
    <w:rsid w:val="00282CC9"/>
    <w:rsid w:val="00283A3B"/>
    <w:rsid w:val="00283B63"/>
    <w:rsid w:val="00283DED"/>
    <w:rsid w:val="00284B1C"/>
    <w:rsid w:val="0028587E"/>
    <w:rsid w:val="00286C5F"/>
    <w:rsid w:val="002879F7"/>
    <w:rsid w:val="0029000E"/>
    <w:rsid w:val="00290910"/>
    <w:rsid w:val="00290A35"/>
    <w:rsid w:val="00292308"/>
    <w:rsid w:val="0029265A"/>
    <w:rsid w:val="00292BE5"/>
    <w:rsid w:val="00292C05"/>
    <w:rsid w:val="00293A9F"/>
    <w:rsid w:val="0029423B"/>
    <w:rsid w:val="00295F1E"/>
    <w:rsid w:val="002964D7"/>
    <w:rsid w:val="002971EA"/>
    <w:rsid w:val="00297A1A"/>
    <w:rsid w:val="00297A35"/>
    <w:rsid w:val="002A00A8"/>
    <w:rsid w:val="002A05A5"/>
    <w:rsid w:val="002A0733"/>
    <w:rsid w:val="002A21CD"/>
    <w:rsid w:val="002A360C"/>
    <w:rsid w:val="002A37A4"/>
    <w:rsid w:val="002A4342"/>
    <w:rsid w:val="002A4FF8"/>
    <w:rsid w:val="002A60A9"/>
    <w:rsid w:val="002A680B"/>
    <w:rsid w:val="002A7018"/>
    <w:rsid w:val="002A714A"/>
    <w:rsid w:val="002A74C2"/>
    <w:rsid w:val="002A76BC"/>
    <w:rsid w:val="002A77E7"/>
    <w:rsid w:val="002A7877"/>
    <w:rsid w:val="002A7C6D"/>
    <w:rsid w:val="002A7CCB"/>
    <w:rsid w:val="002A7F27"/>
    <w:rsid w:val="002B07F1"/>
    <w:rsid w:val="002B118A"/>
    <w:rsid w:val="002B1C58"/>
    <w:rsid w:val="002B2942"/>
    <w:rsid w:val="002B2A94"/>
    <w:rsid w:val="002B3852"/>
    <w:rsid w:val="002B6135"/>
    <w:rsid w:val="002B6517"/>
    <w:rsid w:val="002B685C"/>
    <w:rsid w:val="002B7714"/>
    <w:rsid w:val="002B7BA5"/>
    <w:rsid w:val="002C01C9"/>
    <w:rsid w:val="002C0E44"/>
    <w:rsid w:val="002C16DF"/>
    <w:rsid w:val="002C1FAD"/>
    <w:rsid w:val="002C31C1"/>
    <w:rsid w:val="002C363B"/>
    <w:rsid w:val="002C3B37"/>
    <w:rsid w:val="002C3DED"/>
    <w:rsid w:val="002C481A"/>
    <w:rsid w:val="002C4F63"/>
    <w:rsid w:val="002C51A1"/>
    <w:rsid w:val="002C5C2B"/>
    <w:rsid w:val="002C5F8C"/>
    <w:rsid w:val="002C6AA3"/>
    <w:rsid w:val="002C6B91"/>
    <w:rsid w:val="002C7BAC"/>
    <w:rsid w:val="002C7C8F"/>
    <w:rsid w:val="002D1505"/>
    <w:rsid w:val="002D1523"/>
    <w:rsid w:val="002D1628"/>
    <w:rsid w:val="002D19E9"/>
    <w:rsid w:val="002D1CE2"/>
    <w:rsid w:val="002D1E43"/>
    <w:rsid w:val="002D1FD1"/>
    <w:rsid w:val="002D216E"/>
    <w:rsid w:val="002D26DC"/>
    <w:rsid w:val="002D309C"/>
    <w:rsid w:val="002D420C"/>
    <w:rsid w:val="002D421C"/>
    <w:rsid w:val="002D4436"/>
    <w:rsid w:val="002D4909"/>
    <w:rsid w:val="002D58B3"/>
    <w:rsid w:val="002D5B07"/>
    <w:rsid w:val="002D5FB0"/>
    <w:rsid w:val="002D6122"/>
    <w:rsid w:val="002D690C"/>
    <w:rsid w:val="002D72E7"/>
    <w:rsid w:val="002D7EA6"/>
    <w:rsid w:val="002E0600"/>
    <w:rsid w:val="002E067A"/>
    <w:rsid w:val="002E0875"/>
    <w:rsid w:val="002E096A"/>
    <w:rsid w:val="002E0A63"/>
    <w:rsid w:val="002E0C85"/>
    <w:rsid w:val="002E100A"/>
    <w:rsid w:val="002E1196"/>
    <w:rsid w:val="002E11D2"/>
    <w:rsid w:val="002E13F4"/>
    <w:rsid w:val="002E1798"/>
    <w:rsid w:val="002E1CB1"/>
    <w:rsid w:val="002E1E0E"/>
    <w:rsid w:val="002E1EEC"/>
    <w:rsid w:val="002E4572"/>
    <w:rsid w:val="002E5197"/>
    <w:rsid w:val="002E5FD9"/>
    <w:rsid w:val="002E61D7"/>
    <w:rsid w:val="002E6480"/>
    <w:rsid w:val="002E6F70"/>
    <w:rsid w:val="002E7CF9"/>
    <w:rsid w:val="002F02D9"/>
    <w:rsid w:val="002F0CB3"/>
    <w:rsid w:val="002F0F95"/>
    <w:rsid w:val="002F13FD"/>
    <w:rsid w:val="002F16C9"/>
    <w:rsid w:val="002F1A6D"/>
    <w:rsid w:val="002F1DD3"/>
    <w:rsid w:val="002F212F"/>
    <w:rsid w:val="002F295D"/>
    <w:rsid w:val="002F39CC"/>
    <w:rsid w:val="002F437D"/>
    <w:rsid w:val="002F449E"/>
    <w:rsid w:val="002F510E"/>
    <w:rsid w:val="002F67FD"/>
    <w:rsid w:val="002F6EEC"/>
    <w:rsid w:val="002F7428"/>
    <w:rsid w:val="002F75D5"/>
    <w:rsid w:val="002F77D1"/>
    <w:rsid w:val="002F78DB"/>
    <w:rsid w:val="00300E3F"/>
    <w:rsid w:val="003020C1"/>
    <w:rsid w:val="0030277E"/>
    <w:rsid w:val="00303246"/>
    <w:rsid w:val="003034BD"/>
    <w:rsid w:val="0030377F"/>
    <w:rsid w:val="00303AD5"/>
    <w:rsid w:val="003040CB"/>
    <w:rsid w:val="00304E6D"/>
    <w:rsid w:val="003057DE"/>
    <w:rsid w:val="0030596D"/>
    <w:rsid w:val="003059D6"/>
    <w:rsid w:val="00305B9B"/>
    <w:rsid w:val="00306221"/>
    <w:rsid w:val="00307099"/>
    <w:rsid w:val="0030745F"/>
    <w:rsid w:val="00307E95"/>
    <w:rsid w:val="00307ED7"/>
    <w:rsid w:val="00310A8D"/>
    <w:rsid w:val="003110AB"/>
    <w:rsid w:val="00311269"/>
    <w:rsid w:val="0031135A"/>
    <w:rsid w:val="00311848"/>
    <w:rsid w:val="0031189B"/>
    <w:rsid w:val="003121F1"/>
    <w:rsid w:val="0031291C"/>
    <w:rsid w:val="00313307"/>
    <w:rsid w:val="00314108"/>
    <w:rsid w:val="003154D7"/>
    <w:rsid w:val="0031560C"/>
    <w:rsid w:val="00315C04"/>
    <w:rsid w:val="00315C78"/>
    <w:rsid w:val="00316C69"/>
    <w:rsid w:val="00316F3C"/>
    <w:rsid w:val="00317D7F"/>
    <w:rsid w:val="00320FFB"/>
    <w:rsid w:val="00321661"/>
    <w:rsid w:val="003218E2"/>
    <w:rsid w:val="003219D8"/>
    <w:rsid w:val="00321FB9"/>
    <w:rsid w:val="0032260B"/>
    <w:rsid w:val="00322749"/>
    <w:rsid w:val="00322795"/>
    <w:rsid w:val="00322A71"/>
    <w:rsid w:val="00323190"/>
    <w:rsid w:val="003231B1"/>
    <w:rsid w:val="003240B2"/>
    <w:rsid w:val="003247A4"/>
    <w:rsid w:val="00324B10"/>
    <w:rsid w:val="003257AC"/>
    <w:rsid w:val="0033124E"/>
    <w:rsid w:val="003315E9"/>
    <w:rsid w:val="003316D9"/>
    <w:rsid w:val="003324C6"/>
    <w:rsid w:val="0033250F"/>
    <w:rsid w:val="00332A6E"/>
    <w:rsid w:val="00333351"/>
    <w:rsid w:val="0033366C"/>
    <w:rsid w:val="00333EB3"/>
    <w:rsid w:val="003343AD"/>
    <w:rsid w:val="0033465D"/>
    <w:rsid w:val="00334D25"/>
    <w:rsid w:val="00335818"/>
    <w:rsid w:val="00335E1E"/>
    <w:rsid w:val="0033621D"/>
    <w:rsid w:val="0033653A"/>
    <w:rsid w:val="003368C0"/>
    <w:rsid w:val="00336C56"/>
    <w:rsid w:val="0033711A"/>
    <w:rsid w:val="0033712C"/>
    <w:rsid w:val="00337D4B"/>
    <w:rsid w:val="00337F75"/>
    <w:rsid w:val="00340916"/>
    <w:rsid w:val="00340932"/>
    <w:rsid w:val="0034157D"/>
    <w:rsid w:val="00341666"/>
    <w:rsid w:val="00341C34"/>
    <w:rsid w:val="00341EF7"/>
    <w:rsid w:val="00341FA2"/>
    <w:rsid w:val="003421EF"/>
    <w:rsid w:val="0034245F"/>
    <w:rsid w:val="00342E19"/>
    <w:rsid w:val="003434AB"/>
    <w:rsid w:val="00343D7C"/>
    <w:rsid w:val="00343FC8"/>
    <w:rsid w:val="00344380"/>
    <w:rsid w:val="003449F4"/>
    <w:rsid w:val="00345560"/>
    <w:rsid w:val="00345693"/>
    <w:rsid w:val="0034622B"/>
    <w:rsid w:val="003464F7"/>
    <w:rsid w:val="00346D08"/>
    <w:rsid w:val="0034753B"/>
    <w:rsid w:val="003479B9"/>
    <w:rsid w:val="0035081B"/>
    <w:rsid w:val="00350A5B"/>
    <w:rsid w:val="00350C92"/>
    <w:rsid w:val="00351AD3"/>
    <w:rsid w:val="00351DE3"/>
    <w:rsid w:val="0035213D"/>
    <w:rsid w:val="003523A1"/>
    <w:rsid w:val="00352F43"/>
    <w:rsid w:val="00353ADD"/>
    <w:rsid w:val="00354658"/>
    <w:rsid w:val="00354C2C"/>
    <w:rsid w:val="003562DE"/>
    <w:rsid w:val="003571A7"/>
    <w:rsid w:val="003577F0"/>
    <w:rsid w:val="00357E23"/>
    <w:rsid w:val="00360463"/>
    <w:rsid w:val="00360AC0"/>
    <w:rsid w:val="00360D0C"/>
    <w:rsid w:val="00361058"/>
    <w:rsid w:val="00361859"/>
    <w:rsid w:val="003619BD"/>
    <w:rsid w:val="00362338"/>
    <w:rsid w:val="00362D07"/>
    <w:rsid w:val="0036339E"/>
    <w:rsid w:val="003635CA"/>
    <w:rsid w:val="00363EBE"/>
    <w:rsid w:val="00364B9C"/>
    <w:rsid w:val="0036566F"/>
    <w:rsid w:val="00366B6A"/>
    <w:rsid w:val="00366BD9"/>
    <w:rsid w:val="00367214"/>
    <w:rsid w:val="00367C0D"/>
    <w:rsid w:val="00367D7A"/>
    <w:rsid w:val="00370252"/>
    <w:rsid w:val="00370614"/>
    <w:rsid w:val="00370A13"/>
    <w:rsid w:val="003713C8"/>
    <w:rsid w:val="0037168C"/>
    <w:rsid w:val="0037192D"/>
    <w:rsid w:val="003722A8"/>
    <w:rsid w:val="00372378"/>
    <w:rsid w:val="00372BE2"/>
    <w:rsid w:val="003735CA"/>
    <w:rsid w:val="00373825"/>
    <w:rsid w:val="00373846"/>
    <w:rsid w:val="0037388F"/>
    <w:rsid w:val="00373969"/>
    <w:rsid w:val="00373D56"/>
    <w:rsid w:val="003749F3"/>
    <w:rsid w:val="00374C0F"/>
    <w:rsid w:val="003750C4"/>
    <w:rsid w:val="00375125"/>
    <w:rsid w:val="0037548A"/>
    <w:rsid w:val="003757DD"/>
    <w:rsid w:val="00376091"/>
    <w:rsid w:val="00376C0C"/>
    <w:rsid w:val="00376D74"/>
    <w:rsid w:val="00377E60"/>
    <w:rsid w:val="00377F9D"/>
    <w:rsid w:val="0038025D"/>
    <w:rsid w:val="003812D7"/>
    <w:rsid w:val="00381302"/>
    <w:rsid w:val="00381E9C"/>
    <w:rsid w:val="0038274E"/>
    <w:rsid w:val="00382815"/>
    <w:rsid w:val="00382F03"/>
    <w:rsid w:val="00383240"/>
    <w:rsid w:val="00383340"/>
    <w:rsid w:val="003833C1"/>
    <w:rsid w:val="0038372F"/>
    <w:rsid w:val="00383E02"/>
    <w:rsid w:val="00383FE0"/>
    <w:rsid w:val="00384A16"/>
    <w:rsid w:val="00385989"/>
    <w:rsid w:val="003859EC"/>
    <w:rsid w:val="00385A0C"/>
    <w:rsid w:val="00386375"/>
    <w:rsid w:val="0038639B"/>
    <w:rsid w:val="0038719A"/>
    <w:rsid w:val="003879A0"/>
    <w:rsid w:val="00390048"/>
    <w:rsid w:val="0039021D"/>
    <w:rsid w:val="00390395"/>
    <w:rsid w:val="003905DD"/>
    <w:rsid w:val="00390ED5"/>
    <w:rsid w:val="00390FD0"/>
    <w:rsid w:val="003914D1"/>
    <w:rsid w:val="0039162C"/>
    <w:rsid w:val="00391648"/>
    <w:rsid w:val="0039173D"/>
    <w:rsid w:val="00391955"/>
    <w:rsid w:val="00391E6A"/>
    <w:rsid w:val="003930E6"/>
    <w:rsid w:val="00393311"/>
    <w:rsid w:val="00393634"/>
    <w:rsid w:val="00393E6D"/>
    <w:rsid w:val="0039447D"/>
    <w:rsid w:val="00394E9C"/>
    <w:rsid w:val="00395465"/>
    <w:rsid w:val="003970FC"/>
    <w:rsid w:val="0039751C"/>
    <w:rsid w:val="00397DD4"/>
    <w:rsid w:val="003A0091"/>
    <w:rsid w:val="003A08DD"/>
    <w:rsid w:val="003A0B84"/>
    <w:rsid w:val="003A0E07"/>
    <w:rsid w:val="003A11FD"/>
    <w:rsid w:val="003A15AA"/>
    <w:rsid w:val="003A15CA"/>
    <w:rsid w:val="003A19B0"/>
    <w:rsid w:val="003A1C81"/>
    <w:rsid w:val="003A2F4C"/>
    <w:rsid w:val="003A30FE"/>
    <w:rsid w:val="003A34C5"/>
    <w:rsid w:val="003A450E"/>
    <w:rsid w:val="003A4DCC"/>
    <w:rsid w:val="003A5627"/>
    <w:rsid w:val="003A5CBD"/>
    <w:rsid w:val="003A5E9A"/>
    <w:rsid w:val="003A5FD0"/>
    <w:rsid w:val="003A7240"/>
    <w:rsid w:val="003A731B"/>
    <w:rsid w:val="003A7347"/>
    <w:rsid w:val="003A785B"/>
    <w:rsid w:val="003A7ACE"/>
    <w:rsid w:val="003B0B99"/>
    <w:rsid w:val="003B1959"/>
    <w:rsid w:val="003B2620"/>
    <w:rsid w:val="003B265D"/>
    <w:rsid w:val="003B2BF0"/>
    <w:rsid w:val="003B322B"/>
    <w:rsid w:val="003B345D"/>
    <w:rsid w:val="003B34D7"/>
    <w:rsid w:val="003B35F1"/>
    <w:rsid w:val="003B3783"/>
    <w:rsid w:val="003B3FF1"/>
    <w:rsid w:val="003B4302"/>
    <w:rsid w:val="003B4D04"/>
    <w:rsid w:val="003B5B94"/>
    <w:rsid w:val="003B60CC"/>
    <w:rsid w:val="003B65A1"/>
    <w:rsid w:val="003B6E5B"/>
    <w:rsid w:val="003B7DC3"/>
    <w:rsid w:val="003B7FBB"/>
    <w:rsid w:val="003C0236"/>
    <w:rsid w:val="003C085F"/>
    <w:rsid w:val="003C0E1E"/>
    <w:rsid w:val="003C1DEF"/>
    <w:rsid w:val="003C1F8A"/>
    <w:rsid w:val="003C2226"/>
    <w:rsid w:val="003C28DE"/>
    <w:rsid w:val="003C29AB"/>
    <w:rsid w:val="003C32ED"/>
    <w:rsid w:val="003C49D1"/>
    <w:rsid w:val="003C4C74"/>
    <w:rsid w:val="003C4EA6"/>
    <w:rsid w:val="003C53A9"/>
    <w:rsid w:val="003C5470"/>
    <w:rsid w:val="003C55B8"/>
    <w:rsid w:val="003C6118"/>
    <w:rsid w:val="003C6501"/>
    <w:rsid w:val="003C6860"/>
    <w:rsid w:val="003C7245"/>
    <w:rsid w:val="003C7BAE"/>
    <w:rsid w:val="003C7C56"/>
    <w:rsid w:val="003C7D99"/>
    <w:rsid w:val="003D1359"/>
    <w:rsid w:val="003D16BA"/>
    <w:rsid w:val="003D1FA8"/>
    <w:rsid w:val="003D2411"/>
    <w:rsid w:val="003D25BE"/>
    <w:rsid w:val="003D2686"/>
    <w:rsid w:val="003D2795"/>
    <w:rsid w:val="003D3592"/>
    <w:rsid w:val="003D3C25"/>
    <w:rsid w:val="003D407C"/>
    <w:rsid w:val="003D41F1"/>
    <w:rsid w:val="003D6064"/>
    <w:rsid w:val="003D6FA9"/>
    <w:rsid w:val="003D70E2"/>
    <w:rsid w:val="003D75B1"/>
    <w:rsid w:val="003D7B5D"/>
    <w:rsid w:val="003E01BA"/>
    <w:rsid w:val="003E0620"/>
    <w:rsid w:val="003E06EB"/>
    <w:rsid w:val="003E0777"/>
    <w:rsid w:val="003E085F"/>
    <w:rsid w:val="003E0947"/>
    <w:rsid w:val="003E0F1A"/>
    <w:rsid w:val="003E1670"/>
    <w:rsid w:val="003E16DF"/>
    <w:rsid w:val="003E18AD"/>
    <w:rsid w:val="003E1B42"/>
    <w:rsid w:val="003E202C"/>
    <w:rsid w:val="003E27DA"/>
    <w:rsid w:val="003E28E9"/>
    <w:rsid w:val="003E2B0B"/>
    <w:rsid w:val="003E3349"/>
    <w:rsid w:val="003E374F"/>
    <w:rsid w:val="003E4405"/>
    <w:rsid w:val="003E4648"/>
    <w:rsid w:val="003E4AF0"/>
    <w:rsid w:val="003E5799"/>
    <w:rsid w:val="003E6F3F"/>
    <w:rsid w:val="003E7D03"/>
    <w:rsid w:val="003F0C46"/>
    <w:rsid w:val="003F0EC0"/>
    <w:rsid w:val="003F0ED6"/>
    <w:rsid w:val="003F3B1D"/>
    <w:rsid w:val="003F4419"/>
    <w:rsid w:val="003F50B4"/>
    <w:rsid w:val="003F6D48"/>
    <w:rsid w:val="003F7573"/>
    <w:rsid w:val="004006E1"/>
    <w:rsid w:val="004012F4"/>
    <w:rsid w:val="00402031"/>
    <w:rsid w:val="00402580"/>
    <w:rsid w:val="0040285E"/>
    <w:rsid w:val="00402B35"/>
    <w:rsid w:val="0040349A"/>
    <w:rsid w:val="00403861"/>
    <w:rsid w:val="0040426E"/>
    <w:rsid w:val="004057BB"/>
    <w:rsid w:val="00405A0E"/>
    <w:rsid w:val="00405A30"/>
    <w:rsid w:val="00405CC4"/>
    <w:rsid w:val="004062AC"/>
    <w:rsid w:val="00406B0A"/>
    <w:rsid w:val="00407CA7"/>
    <w:rsid w:val="00410EEF"/>
    <w:rsid w:val="0041186C"/>
    <w:rsid w:val="00411C39"/>
    <w:rsid w:val="00412669"/>
    <w:rsid w:val="00414C27"/>
    <w:rsid w:val="00414C5F"/>
    <w:rsid w:val="00416072"/>
    <w:rsid w:val="004160C3"/>
    <w:rsid w:val="00416A97"/>
    <w:rsid w:val="00416EAB"/>
    <w:rsid w:val="004174AB"/>
    <w:rsid w:val="00417CDC"/>
    <w:rsid w:val="004206A6"/>
    <w:rsid w:val="00421932"/>
    <w:rsid w:val="00421C56"/>
    <w:rsid w:val="00421C62"/>
    <w:rsid w:val="00421C7D"/>
    <w:rsid w:val="00421C95"/>
    <w:rsid w:val="004229D6"/>
    <w:rsid w:val="00422DB6"/>
    <w:rsid w:val="00423298"/>
    <w:rsid w:val="004232E1"/>
    <w:rsid w:val="00424724"/>
    <w:rsid w:val="00424B32"/>
    <w:rsid w:val="00424BB9"/>
    <w:rsid w:val="004250DD"/>
    <w:rsid w:val="0042523B"/>
    <w:rsid w:val="004258F9"/>
    <w:rsid w:val="00425CC3"/>
    <w:rsid w:val="00425E20"/>
    <w:rsid w:val="00430A6C"/>
    <w:rsid w:val="00430C7E"/>
    <w:rsid w:val="00430C86"/>
    <w:rsid w:val="00430E2C"/>
    <w:rsid w:val="00430F11"/>
    <w:rsid w:val="004319D7"/>
    <w:rsid w:val="00431BFA"/>
    <w:rsid w:val="00432FF4"/>
    <w:rsid w:val="004330A7"/>
    <w:rsid w:val="00433E42"/>
    <w:rsid w:val="004340AA"/>
    <w:rsid w:val="00434E73"/>
    <w:rsid w:val="00435207"/>
    <w:rsid w:val="004359FA"/>
    <w:rsid w:val="00435DBD"/>
    <w:rsid w:val="0043659A"/>
    <w:rsid w:val="00436DFB"/>
    <w:rsid w:val="004375EA"/>
    <w:rsid w:val="00441012"/>
    <w:rsid w:val="00441686"/>
    <w:rsid w:val="00441C6E"/>
    <w:rsid w:val="004423E0"/>
    <w:rsid w:val="00442709"/>
    <w:rsid w:val="004432E8"/>
    <w:rsid w:val="00443F58"/>
    <w:rsid w:val="004442A8"/>
    <w:rsid w:val="00444D65"/>
    <w:rsid w:val="00445DB5"/>
    <w:rsid w:val="00445EB5"/>
    <w:rsid w:val="004463CA"/>
    <w:rsid w:val="004468B7"/>
    <w:rsid w:val="0044754F"/>
    <w:rsid w:val="004477F5"/>
    <w:rsid w:val="00447912"/>
    <w:rsid w:val="004479E3"/>
    <w:rsid w:val="00447C49"/>
    <w:rsid w:val="00450441"/>
    <w:rsid w:val="00451195"/>
    <w:rsid w:val="0045198F"/>
    <w:rsid w:val="004519C6"/>
    <w:rsid w:val="00451EED"/>
    <w:rsid w:val="00452598"/>
    <w:rsid w:val="00452BEC"/>
    <w:rsid w:val="00453120"/>
    <w:rsid w:val="004533A6"/>
    <w:rsid w:val="0045389F"/>
    <w:rsid w:val="00454620"/>
    <w:rsid w:val="004551BB"/>
    <w:rsid w:val="004551FD"/>
    <w:rsid w:val="004553F2"/>
    <w:rsid w:val="004557F9"/>
    <w:rsid w:val="00455E61"/>
    <w:rsid w:val="00455F3D"/>
    <w:rsid w:val="00456979"/>
    <w:rsid w:val="00456986"/>
    <w:rsid w:val="00456AC4"/>
    <w:rsid w:val="00456DE2"/>
    <w:rsid w:val="00457C70"/>
    <w:rsid w:val="00460482"/>
    <w:rsid w:val="004608A7"/>
    <w:rsid w:val="00461287"/>
    <w:rsid w:val="004614A5"/>
    <w:rsid w:val="00462032"/>
    <w:rsid w:val="00462047"/>
    <w:rsid w:val="0046229E"/>
    <w:rsid w:val="00462791"/>
    <w:rsid w:val="00462A79"/>
    <w:rsid w:val="00463A9F"/>
    <w:rsid w:val="00463D93"/>
    <w:rsid w:val="004641A1"/>
    <w:rsid w:val="004654F4"/>
    <w:rsid w:val="004664EF"/>
    <w:rsid w:val="0046652B"/>
    <w:rsid w:val="0046664F"/>
    <w:rsid w:val="004666EB"/>
    <w:rsid w:val="00466921"/>
    <w:rsid w:val="00470735"/>
    <w:rsid w:val="004708C0"/>
    <w:rsid w:val="00471624"/>
    <w:rsid w:val="00471859"/>
    <w:rsid w:val="00472366"/>
    <w:rsid w:val="004733D0"/>
    <w:rsid w:val="0047344C"/>
    <w:rsid w:val="004736C4"/>
    <w:rsid w:val="00473975"/>
    <w:rsid w:val="00473C6D"/>
    <w:rsid w:val="00473E15"/>
    <w:rsid w:val="0047447C"/>
    <w:rsid w:val="00474796"/>
    <w:rsid w:val="004751FF"/>
    <w:rsid w:val="00475FB9"/>
    <w:rsid w:val="00477F3C"/>
    <w:rsid w:val="00477F6C"/>
    <w:rsid w:val="0048012C"/>
    <w:rsid w:val="00481084"/>
    <w:rsid w:val="004811DC"/>
    <w:rsid w:val="00481745"/>
    <w:rsid w:val="0048216D"/>
    <w:rsid w:val="00482B7B"/>
    <w:rsid w:val="00482B8D"/>
    <w:rsid w:val="004837F3"/>
    <w:rsid w:val="00483FD2"/>
    <w:rsid w:val="00485360"/>
    <w:rsid w:val="00486003"/>
    <w:rsid w:val="004866DE"/>
    <w:rsid w:val="00486B99"/>
    <w:rsid w:val="00486C97"/>
    <w:rsid w:val="00486EC2"/>
    <w:rsid w:val="0048704D"/>
    <w:rsid w:val="004874D8"/>
    <w:rsid w:val="004875BA"/>
    <w:rsid w:val="00490053"/>
    <w:rsid w:val="004904B4"/>
    <w:rsid w:val="004906FB"/>
    <w:rsid w:val="00490736"/>
    <w:rsid w:val="00490C12"/>
    <w:rsid w:val="00490CBD"/>
    <w:rsid w:val="0049118A"/>
    <w:rsid w:val="004911B3"/>
    <w:rsid w:val="004913A2"/>
    <w:rsid w:val="0049194C"/>
    <w:rsid w:val="00491B97"/>
    <w:rsid w:val="00491C77"/>
    <w:rsid w:val="00492587"/>
    <w:rsid w:val="004925BE"/>
    <w:rsid w:val="004926C9"/>
    <w:rsid w:val="0049287E"/>
    <w:rsid w:val="00492AEE"/>
    <w:rsid w:val="00493120"/>
    <w:rsid w:val="00493B66"/>
    <w:rsid w:val="004956F3"/>
    <w:rsid w:val="004960AF"/>
    <w:rsid w:val="00496833"/>
    <w:rsid w:val="00496FFD"/>
    <w:rsid w:val="004A0055"/>
    <w:rsid w:val="004A0107"/>
    <w:rsid w:val="004A0360"/>
    <w:rsid w:val="004A07A6"/>
    <w:rsid w:val="004A1762"/>
    <w:rsid w:val="004A1934"/>
    <w:rsid w:val="004A213E"/>
    <w:rsid w:val="004A2A96"/>
    <w:rsid w:val="004A2C2C"/>
    <w:rsid w:val="004A2DDC"/>
    <w:rsid w:val="004A2FDC"/>
    <w:rsid w:val="004A396C"/>
    <w:rsid w:val="004A3CE2"/>
    <w:rsid w:val="004A47B8"/>
    <w:rsid w:val="004A5317"/>
    <w:rsid w:val="004A5C23"/>
    <w:rsid w:val="004A5CC0"/>
    <w:rsid w:val="004A7438"/>
    <w:rsid w:val="004A76BA"/>
    <w:rsid w:val="004A7B74"/>
    <w:rsid w:val="004B04EB"/>
    <w:rsid w:val="004B0C5A"/>
    <w:rsid w:val="004B0E7D"/>
    <w:rsid w:val="004B1E14"/>
    <w:rsid w:val="004B237B"/>
    <w:rsid w:val="004B2840"/>
    <w:rsid w:val="004B2A61"/>
    <w:rsid w:val="004B2E13"/>
    <w:rsid w:val="004B337F"/>
    <w:rsid w:val="004B3906"/>
    <w:rsid w:val="004B3D19"/>
    <w:rsid w:val="004B40B2"/>
    <w:rsid w:val="004B4DDF"/>
    <w:rsid w:val="004B54F2"/>
    <w:rsid w:val="004B57B0"/>
    <w:rsid w:val="004B57C1"/>
    <w:rsid w:val="004B5FB8"/>
    <w:rsid w:val="004B60FE"/>
    <w:rsid w:val="004B6222"/>
    <w:rsid w:val="004B667E"/>
    <w:rsid w:val="004B73E4"/>
    <w:rsid w:val="004B7785"/>
    <w:rsid w:val="004C0A65"/>
    <w:rsid w:val="004C11E7"/>
    <w:rsid w:val="004C1644"/>
    <w:rsid w:val="004C24B2"/>
    <w:rsid w:val="004C37D6"/>
    <w:rsid w:val="004C3880"/>
    <w:rsid w:val="004C3958"/>
    <w:rsid w:val="004C4C6C"/>
    <w:rsid w:val="004C4E85"/>
    <w:rsid w:val="004C52FB"/>
    <w:rsid w:val="004C5751"/>
    <w:rsid w:val="004C6115"/>
    <w:rsid w:val="004C6B9C"/>
    <w:rsid w:val="004D0B8E"/>
    <w:rsid w:val="004D0D10"/>
    <w:rsid w:val="004D0EE7"/>
    <w:rsid w:val="004D1216"/>
    <w:rsid w:val="004D2411"/>
    <w:rsid w:val="004D2876"/>
    <w:rsid w:val="004D3558"/>
    <w:rsid w:val="004D37D9"/>
    <w:rsid w:val="004D46D6"/>
    <w:rsid w:val="004D481B"/>
    <w:rsid w:val="004D6354"/>
    <w:rsid w:val="004D6473"/>
    <w:rsid w:val="004D6962"/>
    <w:rsid w:val="004D773B"/>
    <w:rsid w:val="004E0430"/>
    <w:rsid w:val="004E0B02"/>
    <w:rsid w:val="004E186B"/>
    <w:rsid w:val="004E1908"/>
    <w:rsid w:val="004E2177"/>
    <w:rsid w:val="004E2208"/>
    <w:rsid w:val="004E2AE6"/>
    <w:rsid w:val="004E2F11"/>
    <w:rsid w:val="004E2F22"/>
    <w:rsid w:val="004E2FEB"/>
    <w:rsid w:val="004E35B1"/>
    <w:rsid w:val="004E3B74"/>
    <w:rsid w:val="004E4D0C"/>
    <w:rsid w:val="004E4E4E"/>
    <w:rsid w:val="004E4F1C"/>
    <w:rsid w:val="004E5721"/>
    <w:rsid w:val="004E5D92"/>
    <w:rsid w:val="004E5E54"/>
    <w:rsid w:val="004E647D"/>
    <w:rsid w:val="004E69C8"/>
    <w:rsid w:val="004E6D25"/>
    <w:rsid w:val="004E71A2"/>
    <w:rsid w:val="004F0058"/>
    <w:rsid w:val="004F0395"/>
    <w:rsid w:val="004F0FF9"/>
    <w:rsid w:val="004F1106"/>
    <w:rsid w:val="004F129B"/>
    <w:rsid w:val="004F1563"/>
    <w:rsid w:val="004F1889"/>
    <w:rsid w:val="004F19EE"/>
    <w:rsid w:val="004F20FE"/>
    <w:rsid w:val="004F274F"/>
    <w:rsid w:val="004F33B6"/>
    <w:rsid w:val="004F3E53"/>
    <w:rsid w:val="004F40F4"/>
    <w:rsid w:val="004F4F1A"/>
    <w:rsid w:val="004F55AE"/>
    <w:rsid w:val="004F55E3"/>
    <w:rsid w:val="004F56E9"/>
    <w:rsid w:val="004F5B23"/>
    <w:rsid w:val="004F6B99"/>
    <w:rsid w:val="004F6CE8"/>
    <w:rsid w:val="004F7426"/>
    <w:rsid w:val="004F7660"/>
    <w:rsid w:val="005002EA"/>
    <w:rsid w:val="0050221F"/>
    <w:rsid w:val="00502284"/>
    <w:rsid w:val="005027B4"/>
    <w:rsid w:val="00502D84"/>
    <w:rsid w:val="00503B2D"/>
    <w:rsid w:val="00503CB4"/>
    <w:rsid w:val="00505B66"/>
    <w:rsid w:val="005064F7"/>
    <w:rsid w:val="005071AB"/>
    <w:rsid w:val="00507FE4"/>
    <w:rsid w:val="005103D4"/>
    <w:rsid w:val="00510430"/>
    <w:rsid w:val="00510432"/>
    <w:rsid w:val="00511B44"/>
    <w:rsid w:val="0051223D"/>
    <w:rsid w:val="00512D6A"/>
    <w:rsid w:val="0051364F"/>
    <w:rsid w:val="005137FD"/>
    <w:rsid w:val="005140AA"/>
    <w:rsid w:val="005145FC"/>
    <w:rsid w:val="005153F8"/>
    <w:rsid w:val="005155E5"/>
    <w:rsid w:val="0051565D"/>
    <w:rsid w:val="00515721"/>
    <w:rsid w:val="00515A42"/>
    <w:rsid w:val="00516086"/>
    <w:rsid w:val="00516B98"/>
    <w:rsid w:val="00517054"/>
    <w:rsid w:val="0051733A"/>
    <w:rsid w:val="005174C2"/>
    <w:rsid w:val="00520022"/>
    <w:rsid w:val="00521A6B"/>
    <w:rsid w:val="00521A73"/>
    <w:rsid w:val="005226F4"/>
    <w:rsid w:val="00522D8C"/>
    <w:rsid w:val="00522E16"/>
    <w:rsid w:val="00523558"/>
    <w:rsid w:val="0052482E"/>
    <w:rsid w:val="00524B1C"/>
    <w:rsid w:val="00524DB7"/>
    <w:rsid w:val="00525825"/>
    <w:rsid w:val="0052628F"/>
    <w:rsid w:val="00526D39"/>
    <w:rsid w:val="00527464"/>
    <w:rsid w:val="00527B01"/>
    <w:rsid w:val="00530101"/>
    <w:rsid w:val="005302E9"/>
    <w:rsid w:val="00530A0F"/>
    <w:rsid w:val="00530E54"/>
    <w:rsid w:val="0053177C"/>
    <w:rsid w:val="00531A3F"/>
    <w:rsid w:val="00531F3F"/>
    <w:rsid w:val="00533F30"/>
    <w:rsid w:val="00534228"/>
    <w:rsid w:val="00534531"/>
    <w:rsid w:val="00534681"/>
    <w:rsid w:val="00534A72"/>
    <w:rsid w:val="00534AD5"/>
    <w:rsid w:val="00535678"/>
    <w:rsid w:val="00535D14"/>
    <w:rsid w:val="005376BB"/>
    <w:rsid w:val="00537AD5"/>
    <w:rsid w:val="0054059A"/>
    <w:rsid w:val="005409B9"/>
    <w:rsid w:val="00540ECD"/>
    <w:rsid w:val="00541218"/>
    <w:rsid w:val="005416A9"/>
    <w:rsid w:val="005419F2"/>
    <w:rsid w:val="00541E19"/>
    <w:rsid w:val="00541EA1"/>
    <w:rsid w:val="00541F08"/>
    <w:rsid w:val="00541F33"/>
    <w:rsid w:val="00542376"/>
    <w:rsid w:val="0054276C"/>
    <w:rsid w:val="005428CC"/>
    <w:rsid w:val="00542D56"/>
    <w:rsid w:val="00542D80"/>
    <w:rsid w:val="0054327A"/>
    <w:rsid w:val="0054395F"/>
    <w:rsid w:val="00543A5E"/>
    <w:rsid w:val="00544A49"/>
    <w:rsid w:val="005450AA"/>
    <w:rsid w:val="005450F4"/>
    <w:rsid w:val="0054532E"/>
    <w:rsid w:val="00545C47"/>
    <w:rsid w:val="00546C1D"/>
    <w:rsid w:val="00547A0F"/>
    <w:rsid w:val="00547F95"/>
    <w:rsid w:val="005500FB"/>
    <w:rsid w:val="005506EC"/>
    <w:rsid w:val="00550B8E"/>
    <w:rsid w:val="00550E84"/>
    <w:rsid w:val="00551343"/>
    <w:rsid w:val="005513D1"/>
    <w:rsid w:val="00551C07"/>
    <w:rsid w:val="005523E1"/>
    <w:rsid w:val="0055290F"/>
    <w:rsid w:val="005529BE"/>
    <w:rsid w:val="0055301C"/>
    <w:rsid w:val="005533A4"/>
    <w:rsid w:val="0055372D"/>
    <w:rsid w:val="00553C96"/>
    <w:rsid w:val="0055461E"/>
    <w:rsid w:val="00555EC0"/>
    <w:rsid w:val="00555EEC"/>
    <w:rsid w:val="00556822"/>
    <w:rsid w:val="00556893"/>
    <w:rsid w:val="00556B39"/>
    <w:rsid w:val="00556D91"/>
    <w:rsid w:val="0055764F"/>
    <w:rsid w:val="0055782E"/>
    <w:rsid w:val="005600A2"/>
    <w:rsid w:val="00560764"/>
    <w:rsid w:val="0056095B"/>
    <w:rsid w:val="00560CB0"/>
    <w:rsid w:val="00561F00"/>
    <w:rsid w:val="00561F9E"/>
    <w:rsid w:val="00562BA6"/>
    <w:rsid w:val="00562EAB"/>
    <w:rsid w:val="00563156"/>
    <w:rsid w:val="00563864"/>
    <w:rsid w:val="00565E5B"/>
    <w:rsid w:val="005662E2"/>
    <w:rsid w:val="00566A7C"/>
    <w:rsid w:val="00566C64"/>
    <w:rsid w:val="00566E8D"/>
    <w:rsid w:val="00566E97"/>
    <w:rsid w:val="00567138"/>
    <w:rsid w:val="005672D3"/>
    <w:rsid w:val="00567467"/>
    <w:rsid w:val="00567C02"/>
    <w:rsid w:val="005705E8"/>
    <w:rsid w:val="005707AD"/>
    <w:rsid w:val="00570BD6"/>
    <w:rsid w:val="00570D45"/>
    <w:rsid w:val="0057165D"/>
    <w:rsid w:val="00572F08"/>
    <w:rsid w:val="00573322"/>
    <w:rsid w:val="00573361"/>
    <w:rsid w:val="00573E7D"/>
    <w:rsid w:val="00573E99"/>
    <w:rsid w:val="00575224"/>
    <w:rsid w:val="00575B44"/>
    <w:rsid w:val="00575BB8"/>
    <w:rsid w:val="00575CD2"/>
    <w:rsid w:val="0057623E"/>
    <w:rsid w:val="00576272"/>
    <w:rsid w:val="0057740D"/>
    <w:rsid w:val="00577B13"/>
    <w:rsid w:val="005813D8"/>
    <w:rsid w:val="00581BEC"/>
    <w:rsid w:val="00582BE7"/>
    <w:rsid w:val="005839BB"/>
    <w:rsid w:val="005846A3"/>
    <w:rsid w:val="00586561"/>
    <w:rsid w:val="00586811"/>
    <w:rsid w:val="00586CC2"/>
    <w:rsid w:val="005871AD"/>
    <w:rsid w:val="0058793A"/>
    <w:rsid w:val="00587C07"/>
    <w:rsid w:val="00587C2A"/>
    <w:rsid w:val="00591765"/>
    <w:rsid w:val="005934D4"/>
    <w:rsid w:val="0059437B"/>
    <w:rsid w:val="00595239"/>
    <w:rsid w:val="0059561B"/>
    <w:rsid w:val="00596DC8"/>
    <w:rsid w:val="0059734B"/>
    <w:rsid w:val="00597491"/>
    <w:rsid w:val="00597D65"/>
    <w:rsid w:val="00597D6B"/>
    <w:rsid w:val="005A0291"/>
    <w:rsid w:val="005A04BA"/>
    <w:rsid w:val="005A04CC"/>
    <w:rsid w:val="005A0560"/>
    <w:rsid w:val="005A21A3"/>
    <w:rsid w:val="005A22D7"/>
    <w:rsid w:val="005A271B"/>
    <w:rsid w:val="005A2DF5"/>
    <w:rsid w:val="005A3A05"/>
    <w:rsid w:val="005A3A89"/>
    <w:rsid w:val="005A4794"/>
    <w:rsid w:val="005A49E7"/>
    <w:rsid w:val="005A4BA8"/>
    <w:rsid w:val="005A4C6F"/>
    <w:rsid w:val="005A561D"/>
    <w:rsid w:val="005A5806"/>
    <w:rsid w:val="005A5BCB"/>
    <w:rsid w:val="005A60DA"/>
    <w:rsid w:val="005A61A9"/>
    <w:rsid w:val="005A6564"/>
    <w:rsid w:val="005A6B42"/>
    <w:rsid w:val="005A6BFB"/>
    <w:rsid w:val="005A78EB"/>
    <w:rsid w:val="005A7D65"/>
    <w:rsid w:val="005B0241"/>
    <w:rsid w:val="005B056D"/>
    <w:rsid w:val="005B0E09"/>
    <w:rsid w:val="005B0EED"/>
    <w:rsid w:val="005B1155"/>
    <w:rsid w:val="005B1D5D"/>
    <w:rsid w:val="005B1EB6"/>
    <w:rsid w:val="005B2C6F"/>
    <w:rsid w:val="005B30A6"/>
    <w:rsid w:val="005B356D"/>
    <w:rsid w:val="005B3655"/>
    <w:rsid w:val="005B38A3"/>
    <w:rsid w:val="005B3A6B"/>
    <w:rsid w:val="005B3BE5"/>
    <w:rsid w:val="005B3CD5"/>
    <w:rsid w:val="005B4028"/>
    <w:rsid w:val="005B45DD"/>
    <w:rsid w:val="005B46D2"/>
    <w:rsid w:val="005B5A05"/>
    <w:rsid w:val="005B5BF3"/>
    <w:rsid w:val="005B5C3E"/>
    <w:rsid w:val="005B6530"/>
    <w:rsid w:val="005B6F88"/>
    <w:rsid w:val="005B71DB"/>
    <w:rsid w:val="005B7660"/>
    <w:rsid w:val="005B778F"/>
    <w:rsid w:val="005B7CF2"/>
    <w:rsid w:val="005B7DE9"/>
    <w:rsid w:val="005C04CE"/>
    <w:rsid w:val="005C11A8"/>
    <w:rsid w:val="005C2A6F"/>
    <w:rsid w:val="005C328E"/>
    <w:rsid w:val="005C4792"/>
    <w:rsid w:val="005C49C2"/>
    <w:rsid w:val="005C5195"/>
    <w:rsid w:val="005C5461"/>
    <w:rsid w:val="005C5FB3"/>
    <w:rsid w:val="005C662D"/>
    <w:rsid w:val="005C7389"/>
    <w:rsid w:val="005C738F"/>
    <w:rsid w:val="005D07FA"/>
    <w:rsid w:val="005D0C6C"/>
    <w:rsid w:val="005D1125"/>
    <w:rsid w:val="005D27F6"/>
    <w:rsid w:val="005D2B05"/>
    <w:rsid w:val="005D2BFB"/>
    <w:rsid w:val="005D2D5D"/>
    <w:rsid w:val="005D30FC"/>
    <w:rsid w:val="005D37CB"/>
    <w:rsid w:val="005D4320"/>
    <w:rsid w:val="005D486F"/>
    <w:rsid w:val="005D4916"/>
    <w:rsid w:val="005D6D57"/>
    <w:rsid w:val="005D78EC"/>
    <w:rsid w:val="005E0AEF"/>
    <w:rsid w:val="005E14CE"/>
    <w:rsid w:val="005E192B"/>
    <w:rsid w:val="005E3178"/>
    <w:rsid w:val="005E330A"/>
    <w:rsid w:val="005E3628"/>
    <w:rsid w:val="005E38D8"/>
    <w:rsid w:val="005E3E28"/>
    <w:rsid w:val="005E5D69"/>
    <w:rsid w:val="005E5FFA"/>
    <w:rsid w:val="005E6349"/>
    <w:rsid w:val="005E662B"/>
    <w:rsid w:val="005E6966"/>
    <w:rsid w:val="005E6FCE"/>
    <w:rsid w:val="005E79BD"/>
    <w:rsid w:val="005F0BEE"/>
    <w:rsid w:val="005F0E50"/>
    <w:rsid w:val="005F1EF9"/>
    <w:rsid w:val="005F2BE1"/>
    <w:rsid w:val="005F358E"/>
    <w:rsid w:val="005F3695"/>
    <w:rsid w:val="005F40B2"/>
    <w:rsid w:val="005F4371"/>
    <w:rsid w:val="005F51F1"/>
    <w:rsid w:val="005F5E05"/>
    <w:rsid w:val="005F7AD4"/>
    <w:rsid w:val="00601217"/>
    <w:rsid w:val="00601A01"/>
    <w:rsid w:val="00601E9E"/>
    <w:rsid w:val="00601EE7"/>
    <w:rsid w:val="00602596"/>
    <w:rsid w:val="006025E4"/>
    <w:rsid w:val="00603AF0"/>
    <w:rsid w:val="00603CC2"/>
    <w:rsid w:val="00603F14"/>
    <w:rsid w:val="00604480"/>
    <w:rsid w:val="00604560"/>
    <w:rsid w:val="0060456E"/>
    <w:rsid w:val="006049DA"/>
    <w:rsid w:val="00605547"/>
    <w:rsid w:val="006057F3"/>
    <w:rsid w:val="00606557"/>
    <w:rsid w:val="00606601"/>
    <w:rsid w:val="00606760"/>
    <w:rsid w:val="006069EC"/>
    <w:rsid w:val="00606A11"/>
    <w:rsid w:val="0060714D"/>
    <w:rsid w:val="0060791A"/>
    <w:rsid w:val="0060795D"/>
    <w:rsid w:val="00607F4F"/>
    <w:rsid w:val="00610F14"/>
    <w:rsid w:val="00611A88"/>
    <w:rsid w:val="006120C4"/>
    <w:rsid w:val="006123CB"/>
    <w:rsid w:val="0061318D"/>
    <w:rsid w:val="00613318"/>
    <w:rsid w:val="00613A8C"/>
    <w:rsid w:val="0061404E"/>
    <w:rsid w:val="00614AE8"/>
    <w:rsid w:val="00614E33"/>
    <w:rsid w:val="00615DD4"/>
    <w:rsid w:val="006161DE"/>
    <w:rsid w:val="00616483"/>
    <w:rsid w:val="006168E6"/>
    <w:rsid w:val="00616B67"/>
    <w:rsid w:val="006175F3"/>
    <w:rsid w:val="006178C3"/>
    <w:rsid w:val="006207A1"/>
    <w:rsid w:val="00620BE1"/>
    <w:rsid w:val="00621A4D"/>
    <w:rsid w:val="006226DD"/>
    <w:rsid w:val="0062328D"/>
    <w:rsid w:val="00623350"/>
    <w:rsid w:val="006238E0"/>
    <w:rsid w:val="00625032"/>
    <w:rsid w:val="00625133"/>
    <w:rsid w:val="006255F8"/>
    <w:rsid w:val="00625969"/>
    <w:rsid w:val="00625998"/>
    <w:rsid w:val="00625B72"/>
    <w:rsid w:val="00625B99"/>
    <w:rsid w:val="00625F10"/>
    <w:rsid w:val="006261BF"/>
    <w:rsid w:val="0062628C"/>
    <w:rsid w:val="006269DB"/>
    <w:rsid w:val="00626AC2"/>
    <w:rsid w:val="00626C3D"/>
    <w:rsid w:val="0062776C"/>
    <w:rsid w:val="0063050A"/>
    <w:rsid w:val="006311D7"/>
    <w:rsid w:val="00631754"/>
    <w:rsid w:val="006319CA"/>
    <w:rsid w:val="00631B58"/>
    <w:rsid w:val="00631F55"/>
    <w:rsid w:val="0063230F"/>
    <w:rsid w:val="00633D36"/>
    <w:rsid w:val="006341C3"/>
    <w:rsid w:val="0063421D"/>
    <w:rsid w:val="006344FF"/>
    <w:rsid w:val="0063558E"/>
    <w:rsid w:val="00635693"/>
    <w:rsid w:val="00636FDC"/>
    <w:rsid w:val="0063746F"/>
    <w:rsid w:val="00637622"/>
    <w:rsid w:val="00637E29"/>
    <w:rsid w:val="00640039"/>
    <w:rsid w:val="006416F2"/>
    <w:rsid w:val="00641758"/>
    <w:rsid w:val="00641C6E"/>
    <w:rsid w:val="006420D0"/>
    <w:rsid w:val="006420D9"/>
    <w:rsid w:val="006426B9"/>
    <w:rsid w:val="0064297E"/>
    <w:rsid w:val="006430B5"/>
    <w:rsid w:val="00644156"/>
    <w:rsid w:val="006441A1"/>
    <w:rsid w:val="00644622"/>
    <w:rsid w:val="006449C6"/>
    <w:rsid w:val="00644D1D"/>
    <w:rsid w:val="0064611A"/>
    <w:rsid w:val="00646426"/>
    <w:rsid w:val="006465BE"/>
    <w:rsid w:val="006469D4"/>
    <w:rsid w:val="00646B14"/>
    <w:rsid w:val="00646B5C"/>
    <w:rsid w:val="006478C3"/>
    <w:rsid w:val="006479C1"/>
    <w:rsid w:val="00651DB3"/>
    <w:rsid w:val="00652405"/>
    <w:rsid w:val="006524D8"/>
    <w:rsid w:val="00652CA6"/>
    <w:rsid w:val="00653717"/>
    <w:rsid w:val="00653F3A"/>
    <w:rsid w:val="00654129"/>
    <w:rsid w:val="00654969"/>
    <w:rsid w:val="006552C2"/>
    <w:rsid w:val="00655DCF"/>
    <w:rsid w:val="00656A02"/>
    <w:rsid w:val="00657483"/>
    <w:rsid w:val="00657CAD"/>
    <w:rsid w:val="006602DE"/>
    <w:rsid w:val="00660568"/>
    <w:rsid w:val="00660626"/>
    <w:rsid w:val="0066062A"/>
    <w:rsid w:val="0066065D"/>
    <w:rsid w:val="006609FD"/>
    <w:rsid w:val="00660D8E"/>
    <w:rsid w:val="006620C2"/>
    <w:rsid w:val="00663242"/>
    <w:rsid w:val="00663AD0"/>
    <w:rsid w:val="00663D6A"/>
    <w:rsid w:val="00664330"/>
    <w:rsid w:val="00664D25"/>
    <w:rsid w:val="0066643A"/>
    <w:rsid w:val="0066685C"/>
    <w:rsid w:val="00666963"/>
    <w:rsid w:val="006673D3"/>
    <w:rsid w:val="00667C3D"/>
    <w:rsid w:val="0067043E"/>
    <w:rsid w:val="006704EF"/>
    <w:rsid w:val="00671D65"/>
    <w:rsid w:val="00672624"/>
    <w:rsid w:val="00672770"/>
    <w:rsid w:val="00672F1C"/>
    <w:rsid w:val="006737A6"/>
    <w:rsid w:val="006739DA"/>
    <w:rsid w:val="00674753"/>
    <w:rsid w:val="00675219"/>
    <w:rsid w:val="006752A9"/>
    <w:rsid w:val="00675716"/>
    <w:rsid w:val="00675AAC"/>
    <w:rsid w:val="006762B8"/>
    <w:rsid w:val="00676871"/>
    <w:rsid w:val="006769DA"/>
    <w:rsid w:val="00676EC0"/>
    <w:rsid w:val="006773EB"/>
    <w:rsid w:val="00677A7B"/>
    <w:rsid w:val="00677AA4"/>
    <w:rsid w:val="00680CFF"/>
    <w:rsid w:val="00681707"/>
    <w:rsid w:val="0068209A"/>
    <w:rsid w:val="006821EA"/>
    <w:rsid w:val="00682802"/>
    <w:rsid w:val="00682B5F"/>
    <w:rsid w:val="006835BF"/>
    <w:rsid w:val="00683FDC"/>
    <w:rsid w:val="00684249"/>
    <w:rsid w:val="006843F7"/>
    <w:rsid w:val="00684C8E"/>
    <w:rsid w:val="00685596"/>
    <w:rsid w:val="006856E3"/>
    <w:rsid w:val="006858BC"/>
    <w:rsid w:val="00685FE1"/>
    <w:rsid w:val="00686627"/>
    <w:rsid w:val="00686CDF"/>
    <w:rsid w:val="00687B70"/>
    <w:rsid w:val="00687D09"/>
    <w:rsid w:val="006906F3"/>
    <w:rsid w:val="00690B24"/>
    <w:rsid w:val="00690C2D"/>
    <w:rsid w:val="00692144"/>
    <w:rsid w:val="00692971"/>
    <w:rsid w:val="00692B61"/>
    <w:rsid w:val="00692BE7"/>
    <w:rsid w:val="006937E0"/>
    <w:rsid w:val="00693993"/>
    <w:rsid w:val="00693F91"/>
    <w:rsid w:val="006942F6"/>
    <w:rsid w:val="00695055"/>
    <w:rsid w:val="00695EFB"/>
    <w:rsid w:val="00696041"/>
    <w:rsid w:val="006972C0"/>
    <w:rsid w:val="006A0435"/>
    <w:rsid w:val="006A0527"/>
    <w:rsid w:val="006A0532"/>
    <w:rsid w:val="006A0C43"/>
    <w:rsid w:val="006A15FF"/>
    <w:rsid w:val="006A19D1"/>
    <w:rsid w:val="006A2026"/>
    <w:rsid w:val="006A2218"/>
    <w:rsid w:val="006A26A8"/>
    <w:rsid w:val="006A2F3F"/>
    <w:rsid w:val="006A30DA"/>
    <w:rsid w:val="006A3140"/>
    <w:rsid w:val="006A3B43"/>
    <w:rsid w:val="006A4B44"/>
    <w:rsid w:val="006A4BF1"/>
    <w:rsid w:val="006A504A"/>
    <w:rsid w:val="006A6D42"/>
    <w:rsid w:val="006A6FDE"/>
    <w:rsid w:val="006B1CAE"/>
    <w:rsid w:val="006B2090"/>
    <w:rsid w:val="006B223A"/>
    <w:rsid w:val="006B2636"/>
    <w:rsid w:val="006B2ED9"/>
    <w:rsid w:val="006B3ACC"/>
    <w:rsid w:val="006B3E55"/>
    <w:rsid w:val="006B4021"/>
    <w:rsid w:val="006B48A4"/>
    <w:rsid w:val="006B4FD6"/>
    <w:rsid w:val="006B504B"/>
    <w:rsid w:val="006B5139"/>
    <w:rsid w:val="006B5363"/>
    <w:rsid w:val="006B6C74"/>
    <w:rsid w:val="006B6DD8"/>
    <w:rsid w:val="006C06DB"/>
    <w:rsid w:val="006C12D9"/>
    <w:rsid w:val="006C1946"/>
    <w:rsid w:val="006C23DD"/>
    <w:rsid w:val="006C31D7"/>
    <w:rsid w:val="006C3F9E"/>
    <w:rsid w:val="006C41FE"/>
    <w:rsid w:val="006C5A4F"/>
    <w:rsid w:val="006C5A89"/>
    <w:rsid w:val="006D0038"/>
    <w:rsid w:val="006D01A3"/>
    <w:rsid w:val="006D130F"/>
    <w:rsid w:val="006D1475"/>
    <w:rsid w:val="006D1EC7"/>
    <w:rsid w:val="006D2261"/>
    <w:rsid w:val="006D2563"/>
    <w:rsid w:val="006D2F49"/>
    <w:rsid w:val="006D3CF4"/>
    <w:rsid w:val="006D3F33"/>
    <w:rsid w:val="006D403E"/>
    <w:rsid w:val="006D5401"/>
    <w:rsid w:val="006D5620"/>
    <w:rsid w:val="006D5692"/>
    <w:rsid w:val="006D69CC"/>
    <w:rsid w:val="006D6D20"/>
    <w:rsid w:val="006D6DBA"/>
    <w:rsid w:val="006E0129"/>
    <w:rsid w:val="006E03D5"/>
    <w:rsid w:val="006E03E3"/>
    <w:rsid w:val="006E045B"/>
    <w:rsid w:val="006E0D22"/>
    <w:rsid w:val="006E0EA8"/>
    <w:rsid w:val="006E1467"/>
    <w:rsid w:val="006E1479"/>
    <w:rsid w:val="006E1FFE"/>
    <w:rsid w:val="006E238B"/>
    <w:rsid w:val="006E311E"/>
    <w:rsid w:val="006E34A7"/>
    <w:rsid w:val="006E36B7"/>
    <w:rsid w:val="006E36D9"/>
    <w:rsid w:val="006E3B0D"/>
    <w:rsid w:val="006E4091"/>
    <w:rsid w:val="006E427D"/>
    <w:rsid w:val="006E4649"/>
    <w:rsid w:val="006E483D"/>
    <w:rsid w:val="006E5595"/>
    <w:rsid w:val="006E589F"/>
    <w:rsid w:val="006E5D83"/>
    <w:rsid w:val="006E5F04"/>
    <w:rsid w:val="006E5FFF"/>
    <w:rsid w:val="006E6A20"/>
    <w:rsid w:val="006E7182"/>
    <w:rsid w:val="006E76A7"/>
    <w:rsid w:val="006E796B"/>
    <w:rsid w:val="006F0365"/>
    <w:rsid w:val="006F04DE"/>
    <w:rsid w:val="006F06B4"/>
    <w:rsid w:val="006F159B"/>
    <w:rsid w:val="006F2573"/>
    <w:rsid w:val="006F31FB"/>
    <w:rsid w:val="006F31FF"/>
    <w:rsid w:val="006F329F"/>
    <w:rsid w:val="006F33DB"/>
    <w:rsid w:val="006F3817"/>
    <w:rsid w:val="006F39A3"/>
    <w:rsid w:val="006F57D9"/>
    <w:rsid w:val="006F700C"/>
    <w:rsid w:val="006F730D"/>
    <w:rsid w:val="006F7E58"/>
    <w:rsid w:val="006F7EE3"/>
    <w:rsid w:val="00701C9E"/>
    <w:rsid w:val="00702BF5"/>
    <w:rsid w:val="00702FDB"/>
    <w:rsid w:val="0070349E"/>
    <w:rsid w:val="00704371"/>
    <w:rsid w:val="007045CE"/>
    <w:rsid w:val="00704CC1"/>
    <w:rsid w:val="0070535B"/>
    <w:rsid w:val="00706B15"/>
    <w:rsid w:val="00706B99"/>
    <w:rsid w:val="00706C23"/>
    <w:rsid w:val="00706C5F"/>
    <w:rsid w:val="007073FF"/>
    <w:rsid w:val="00707C1E"/>
    <w:rsid w:val="007100B2"/>
    <w:rsid w:val="00710135"/>
    <w:rsid w:val="00710311"/>
    <w:rsid w:val="00710BCF"/>
    <w:rsid w:val="00710FB2"/>
    <w:rsid w:val="00711569"/>
    <w:rsid w:val="00711806"/>
    <w:rsid w:val="00711B2E"/>
    <w:rsid w:val="00711D6D"/>
    <w:rsid w:val="0071317B"/>
    <w:rsid w:val="00713653"/>
    <w:rsid w:val="007139BC"/>
    <w:rsid w:val="00713BA5"/>
    <w:rsid w:val="007158F7"/>
    <w:rsid w:val="00715EB7"/>
    <w:rsid w:val="007169E4"/>
    <w:rsid w:val="007174D6"/>
    <w:rsid w:val="00717E05"/>
    <w:rsid w:val="0072003A"/>
    <w:rsid w:val="0072021C"/>
    <w:rsid w:val="00720382"/>
    <w:rsid w:val="00720B06"/>
    <w:rsid w:val="00720F41"/>
    <w:rsid w:val="00721A0D"/>
    <w:rsid w:val="00721F8E"/>
    <w:rsid w:val="007220BE"/>
    <w:rsid w:val="0072294A"/>
    <w:rsid w:val="007233AD"/>
    <w:rsid w:val="007235E1"/>
    <w:rsid w:val="0072424D"/>
    <w:rsid w:val="007243E8"/>
    <w:rsid w:val="00724D47"/>
    <w:rsid w:val="00725075"/>
    <w:rsid w:val="00725081"/>
    <w:rsid w:val="00725488"/>
    <w:rsid w:val="00725E3E"/>
    <w:rsid w:val="00725F94"/>
    <w:rsid w:val="0072624B"/>
    <w:rsid w:val="007270A2"/>
    <w:rsid w:val="00727258"/>
    <w:rsid w:val="007272E9"/>
    <w:rsid w:val="007273A6"/>
    <w:rsid w:val="0073086D"/>
    <w:rsid w:val="00730BDE"/>
    <w:rsid w:val="00731185"/>
    <w:rsid w:val="00731FE1"/>
    <w:rsid w:val="00732535"/>
    <w:rsid w:val="00732694"/>
    <w:rsid w:val="00733E84"/>
    <w:rsid w:val="00733FE0"/>
    <w:rsid w:val="00735525"/>
    <w:rsid w:val="00735A0E"/>
    <w:rsid w:val="0073666C"/>
    <w:rsid w:val="00736C66"/>
    <w:rsid w:val="00737273"/>
    <w:rsid w:val="00737B2D"/>
    <w:rsid w:val="007405A0"/>
    <w:rsid w:val="0074097E"/>
    <w:rsid w:val="00740EB3"/>
    <w:rsid w:val="00741DE0"/>
    <w:rsid w:val="00742192"/>
    <w:rsid w:val="00743342"/>
    <w:rsid w:val="0074393B"/>
    <w:rsid w:val="007439E8"/>
    <w:rsid w:val="00743E1B"/>
    <w:rsid w:val="007441E9"/>
    <w:rsid w:val="007444B3"/>
    <w:rsid w:val="00744B24"/>
    <w:rsid w:val="00744DFB"/>
    <w:rsid w:val="00745017"/>
    <w:rsid w:val="007458E0"/>
    <w:rsid w:val="00745B38"/>
    <w:rsid w:val="0074692B"/>
    <w:rsid w:val="00746B90"/>
    <w:rsid w:val="00746D16"/>
    <w:rsid w:val="00746E9E"/>
    <w:rsid w:val="00747177"/>
    <w:rsid w:val="00747D26"/>
    <w:rsid w:val="0075084F"/>
    <w:rsid w:val="00751CFF"/>
    <w:rsid w:val="00751D53"/>
    <w:rsid w:val="00752136"/>
    <w:rsid w:val="00752344"/>
    <w:rsid w:val="007539D7"/>
    <w:rsid w:val="00753AA4"/>
    <w:rsid w:val="00754306"/>
    <w:rsid w:val="007544C5"/>
    <w:rsid w:val="00754B0E"/>
    <w:rsid w:val="00755176"/>
    <w:rsid w:val="00756203"/>
    <w:rsid w:val="007568AD"/>
    <w:rsid w:val="007576F1"/>
    <w:rsid w:val="00757B09"/>
    <w:rsid w:val="00757E16"/>
    <w:rsid w:val="0076015D"/>
    <w:rsid w:val="0076059A"/>
    <w:rsid w:val="00760C7C"/>
    <w:rsid w:val="007613A0"/>
    <w:rsid w:val="00761980"/>
    <w:rsid w:val="00761A8B"/>
    <w:rsid w:val="0076209D"/>
    <w:rsid w:val="0076304E"/>
    <w:rsid w:val="0076347D"/>
    <w:rsid w:val="0076360F"/>
    <w:rsid w:val="0076403B"/>
    <w:rsid w:val="007645E5"/>
    <w:rsid w:val="007654DA"/>
    <w:rsid w:val="0076580C"/>
    <w:rsid w:val="00765859"/>
    <w:rsid w:val="00765982"/>
    <w:rsid w:val="00765A4B"/>
    <w:rsid w:val="00765C40"/>
    <w:rsid w:val="00766573"/>
    <w:rsid w:val="00770746"/>
    <w:rsid w:val="00770D6D"/>
    <w:rsid w:val="0077110E"/>
    <w:rsid w:val="007712C5"/>
    <w:rsid w:val="00771613"/>
    <w:rsid w:val="00772C44"/>
    <w:rsid w:val="00774019"/>
    <w:rsid w:val="00774B9E"/>
    <w:rsid w:val="00774D46"/>
    <w:rsid w:val="00775414"/>
    <w:rsid w:val="007759B3"/>
    <w:rsid w:val="00776FD8"/>
    <w:rsid w:val="007778BF"/>
    <w:rsid w:val="007807CC"/>
    <w:rsid w:val="007808E9"/>
    <w:rsid w:val="00780BA4"/>
    <w:rsid w:val="0078105C"/>
    <w:rsid w:val="0078113F"/>
    <w:rsid w:val="0078137B"/>
    <w:rsid w:val="007819AD"/>
    <w:rsid w:val="00782608"/>
    <w:rsid w:val="007835E0"/>
    <w:rsid w:val="00783B93"/>
    <w:rsid w:val="00784941"/>
    <w:rsid w:val="00784E04"/>
    <w:rsid w:val="00784EAA"/>
    <w:rsid w:val="00785247"/>
    <w:rsid w:val="007869DF"/>
    <w:rsid w:val="0078743C"/>
    <w:rsid w:val="0078763E"/>
    <w:rsid w:val="00787C96"/>
    <w:rsid w:val="00787E36"/>
    <w:rsid w:val="00787FE6"/>
    <w:rsid w:val="00790068"/>
    <w:rsid w:val="0079052D"/>
    <w:rsid w:val="00790806"/>
    <w:rsid w:val="00791E15"/>
    <w:rsid w:val="00792B80"/>
    <w:rsid w:val="00792D17"/>
    <w:rsid w:val="00793468"/>
    <w:rsid w:val="007936D9"/>
    <w:rsid w:val="00793CA6"/>
    <w:rsid w:val="00793DC9"/>
    <w:rsid w:val="007942C4"/>
    <w:rsid w:val="0079525F"/>
    <w:rsid w:val="007969DC"/>
    <w:rsid w:val="007970B8"/>
    <w:rsid w:val="00797493"/>
    <w:rsid w:val="007A08BA"/>
    <w:rsid w:val="007A0E39"/>
    <w:rsid w:val="007A1B0A"/>
    <w:rsid w:val="007A1EE7"/>
    <w:rsid w:val="007A1F47"/>
    <w:rsid w:val="007A22F0"/>
    <w:rsid w:val="007A27DA"/>
    <w:rsid w:val="007A2ABF"/>
    <w:rsid w:val="007A363E"/>
    <w:rsid w:val="007A3747"/>
    <w:rsid w:val="007A3CD1"/>
    <w:rsid w:val="007A43CB"/>
    <w:rsid w:val="007A519D"/>
    <w:rsid w:val="007A657E"/>
    <w:rsid w:val="007A66A2"/>
    <w:rsid w:val="007A6704"/>
    <w:rsid w:val="007A6758"/>
    <w:rsid w:val="007A67E3"/>
    <w:rsid w:val="007A6F2D"/>
    <w:rsid w:val="007A73DD"/>
    <w:rsid w:val="007A7506"/>
    <w:rsid w:val="007A781F"/>
    <w:rsid w:val="007A7A5E"/>
    <w:rsid w:val="007A7DA2"/>
    <w:rsid w:val="007A7DD1"/>
    <w:rsid w:val="007B2C0F"/>
    <w:rsid w:val="007B3869"/>
    <w:rsid w:val="007B3DC7"/>
    <w:rsid w:val="007B5592"/>
    <w:rsid w:val="007B591F"/>
    <w:rsid w:val="007B5F8B"/>
    <w:rsid w:val="007B6539"/>
    <w:rsid w:val="007B6BAF"/>
    <w:rsid w:val="007B7A9E"/>
    <w:rsid w:val="007B7BA8"/>
    <w:rsid w:val="007C096A"/>
    <w:rsid w:val="007C0F35"/>
    <w:rsid w:val="007C12F0"/>
    <w:rsid w:val="007C18D7"/>
    <w:rsid w:val="007C1A82"/>
    <w:rsid w:val="007C1BB8"/>
    <w:rsid w:val="007C1EF5"/>
    <w:rsid w:val="007C27CA"/>
    <w:rsid w:val="007C2F1C"/>
    <w:rsid w:val="007C3312"/>
    <w:rsid w:val="007C33DE"/>
    <w:rsid w:val="007C402A"/>
    <w:rsid w:val="007C52C4"/>
    <w:rsid w:val="007C574A"/>
    <w:rsid w:val="007C5AEF"/>
    <w:rsid w:val="007C6E3E"/>
    <w:rsid w:val="007C6E54"/>
    <w:rsid w:val="007C701C"/>
    <w:rsid w:val="007D0C09"/>
    <w:rsid w:val="007D1018"/>
    <w:rsid w:val="007D10E4"/>
    <w:rsid w:val="007D14B7"/>
    <w:rsid w:val="007D1DA9"/>
    <w:rsid w:val="007D1E79"/>
    <w:rsid w:val="007D2B44"/>
    <w:rsid w:val="007D2E3A"/>
    <w:rsid w:val="007D359A"/>
    <w:rsid w:val="007D3BDB"/>
    <w:rsid w:val="007D412A"/>
    <w:rsid w:val="007D45AD"/>
    <w:rsid w:val="007D46C7"/>
    <w:rsid w:val="007D4A86"/>
    <w:rsid w:val="007D5A23"/>
    <w:rsid w:val="007D6D47"/>
    <w:rsid w:val="007D73FB"/>
    <w:rsid w:val="007E012F"/>
    <w:rsid w:val="007E0877"/>
    <w:rsid w:val="007E0B6C"/>
    <w:rsid w:val="007E0BA0"/>
    <w:rsid w:val="007E0FEB"/>
    <w:rsid w:val="007E1630"/>
    <w:rsid w:val="007E1FC6"/>
    <w:rsid w:val="007E2824"/>
    <w:rsid w:val="007E3FA7"/>
    <w:rsid w:val="007E5A82"/>
    <w:rsid w:val="007E6B74"/>
    <w:rsid w:val="007E7184"/>
    <w:rsid w:val="007E76CF"/>
    <w:rsid w:val="007E76F8"/>
    <w:rsid w:val="007E7A82"/>
    <w:rsid w:val="007E7CA9"/>
    <w:rsid w:val="007F05A6"/>
    <w:rsid w:val="007F106A"/>
    <w:rsid w:val="007F2317"/>
    <w:rsid w:val="007F2CA4"/>
    <w:rsid w:val="007F352A"/>
    <w:rsid w:val="007F367C"/>
    <w:rsid w:val="007F380B"/>
    <w:rsid w:val="007F3968"/>
    <w:rsid w:val="007F39A9"/>
    <w:rsid w:val="007F3A79"/>
    <w:rsid w:val="007F3AD2"/>
    <w:rsid w:val="007F3AE3"/>
    <w:rsid w:val="007F3E62"/>
    <w:rsid w:val="007F4792"/>
    <w:rsid w:val="007F4FB4"/>
    <w:rsid w:val="007F58F4"/>
    <w:rsid w:val="007F5A4E"/>
    <w:rsid w:val="007F5D50"/>
    <w:rsid w:val="007F62A5"/>
    <w:rsid w:val="007F74CB"/>
    <w:rsid w:val="007F770A"/>
    <w:rsid w:val="007F7EC9"/>
    <w:rsid w:val="0080092A"/>
    <w:rsid w:val="00801959"/>
    <w:rsid w:val="00801A06"/>
    <w:rsid w:val="00801A8B"/>
    <w:rsid w:val="00801EFA"/>
    <w:rsid w:val="00802132"/>
    <w:rsid w:val="0080246A"/>
    <w:rsid w:val="00803AD4"/>
    <w:rsid w:val="00803FAD"/>
    <w:rsid w:val="008042AA"/>
    <w:rsid w:val="00804591"/>
    <w:rsid w:val="0080555A"/>
    <w:rsid w:val="00805C82"/>
    <w:rsid w:val="00805CF8"/>
    <w:rsid w:val="00806421"/>
    <w:rsid w:val="0080657A"/>
    <w:rsid w:val="0080690F"/>
    <w:rsid w:val="00806C3A"/>
    <w:rsid w:val="0080734B"/>
    <w:rsid w:val="008073E8"/>
    <w:rsid w:val="00807435"/>
    <w:rsid w:val="00807D46"/>
    <w:rsid w:val="0081061F"/>
    <w:rsid w:val="00811C22"/>
    <w:rsid w:val="00811C74"/>
    <w:rsid w:val="00811FD4"/>
    <w:rsid w:val="008126A1"/>
    <w:rsid w:val="00812F84"/>
    <w:rsid w:val="00813571"/>
    <w:rsid w:val="00813B0A"/>
    <w:rsid w:val="008140CC"/>
    <w:rsid w:val="00814C16"/>
    <w:rsid w:val="00814C92"/>
    <w:rsid w:val="0081517F"/>
    <w:rsid w:val="0081548F"/>
    <w:rsid w:val="008164A4"/>
    <w:rsid w:val="00816B90"/>
    <w:rsid w:val="00817096"/>
    <w:rsid w:val="008175F1"/>
    <w:rsid w:val="008177C7"/>
    <w:rsid w:val="00817C51"/>
    <w:rsid w:val="00817DC9"/>
    <w:rsid w:val="00820AE3"/>
    <w:rsid w:val="00820FF4"/>
    <w:rsid w:val="008210B7"/>
    <w:rsid w:val="008210D1"/>
    <w:rsid w:val="00821295"/>
    <w:rsid w:val="00821789"/>
    <w:rsid w:val="008217BC"/>
    <w:rsid w:val="00822E6F"/>
    <w:rsid w:val="008230C0"/>
    <w:rsid w:val="00823D87"/>
    <w:rsid w:val="00824287"/>
    <w:rsid w:val="00824CFA"/>
    <w:rsid w:val="0082532E"/>
    <w:rsid w:val="00825767"/>
    <w:rsid w:val="00826507"/>
    <w:rsid w:val="00826DB9"/>
    <w:rsid w:val="008271AE"/>
    <w:rsid w:val="00827EEC"/>
    <w:rsid w:val="0083013A"/>
    <w:rsid w:val="008302F6"/>
    <w:rsid w:val="00830EA1"/>
    <w:rsid w:val="00831EA1"/>
    <w:rsid w:val="008320E6"/>
    <w:rsid w:val="008333B5"/>
    <w:rsid w:val="00833712"/>
    <w:rsid w:val="00833AE3"/>
    <w:rsid w:val="00834A20"/>
    <w:rsid w:val="008350AC"/>
    <w:rsid w:val="00835338"/>
    <w:rsid w:val="0083572E"/>
    <w:rsid w:val="00835A36"/>
    <w:rsid w:val="00835FA7"/>
    <w:rsid w:val="0083678C"/>
    <w:rsid w:val="008374D8"/>
    <w:rsid w:val="008401A7"/>
    <w:rsid w:val="008405D4"/>
    <w:rsid w:val="008408FD"/>
    <w:rsid w:val="00840C4B"/>
    <w:rsid w:val="00843521"/>
    <w:rsid w:val="00843D41"/>
    <w:rsid w:val="00844B90"/>
    <w:rsid w:val="00844BD3"/>
    <w:rsid w:val="00845C01"/>
    <w:rsid w:val="008460A0"/>
    <w:rsid w:val="00846D4E"/>
    <w:rsid w:val="00847187"/>
    <w:rsid w:val="008472F8"/>
    <w:rsid w:val="008478E5"/>
    <w:rsid w:val="00847B7F"/>
    <w:rsid w:val="0085011C"/>
    <w:rsid w:val="0085111C"/>
    <w:rsid w:val="008511D0"/>
    <w:rsid w:val="00851324"/>
    <w:rsid w:val="0085193A"/>
    <w:rsid w:val="008519D2"/>
    <w:rsid w:val="00852365"/>
    <w:rsid w:val="00852532"/>
    <w:rsid w:val="00852826"/>
    <w:rsid w:val="00852DD4"/>
    <w:rsid w:val="00852EC5"/>
    <w:rsid w:val="0085302E"/>
    <w:rsid w:val="00854447"/>
    <w:rsid w:val="008549BE"/>
    <w:rsid w:val="00854CF5"/>
    <w:rsid w:val="008553F5"/>
    <w:rsid w:val="008555BA"/>
    <w:rsid w:val="00855688"/>
    <w:rsid w:val="00855D09"/>
    <w:rsid w:val="00856094"/>
    <w:rsid w:val="00856DFE"/>
    <w:rsid w:val="00860241"/>
    <w:rsid w:val="00860594"/>
    <w:rsid w:val="0086150F"/>
    <w:rsid w:val="0086171B"/>
    <w:rsid w:val="00861CB7"/>
    <w:rsid w:val="00863CF0"/>
    <w:rsid w:val="00864069"/>
    <w:rsid w:val="00864091"/>
    <w:rsid w:val="008640FB"/>
    <w:rsid w:val="008644D6"/>
    <w:rsid w:val="0086492E"/>
    <w:rsid w:val="00864A6A"/>
    <w:rsid w:val="008657CE"/>
    <w:rsid w:val="00865A80"/>
    <w:rsid w:val="00866493"/>
    <w:rsid w:val="00866F06"/>
    <w:rsid w:val="0086756C"/>
    <w:rsid w:val="008677F5"/>
    <w:rsid w:val="0086782E"/>
    <w:rsid w:val="00867C38"/>
    <w:rsid w:val="00870B42"/>
    <w:rsid w:val="00870BE7"/>
    <w:rsid w:val="00871476"/>
    <w:rsid w:val="00871621"/>
    <w:rsid w:val="00871E5C"/>
    <w:rsid w:val="00872426"/>
    <w:rsid w:val="00872B59"/>
    <w:rsid w:val="00872B91"/>
    <w:rsid w:val="0087357E"/>
    <w:rsid w:val="00873BDC"/>
    <w:rsid w:val="00874BEA"/>
    <w:rsid w:val="008753E5"/>
    <w:rsid w:val="0087569D"/>
    <w:rsid w:val="00875863"/>
    <w:rsid w:val="00875889"/>
    <w:rsid w:val="008764E1"/>
    <w:rsid w:val="00876672"/>
    <w:rsid w:val="00876943"/>
    <w:rsid w:val="00877A00"/>
    <w:rsid w:val="00881043"/>
    <w:rsid w:val="008811A7"/>
    <w:rsid w:val="00881AF2"/>
    <w:rsid w:val="00882BBB"/>
    <w:rsid w:val="00883D22"/>
    <w:rsid w:val="0088412F"/>
    <w:rsid w:val="00885040"/>
    <w:rsid w:val="00885960"/>
    <w:rsid w:val="00885AEE"/>
    <w:rsid w:val="0088611D"/>
    <w:rsid w:val="008863BA"/>
    <w:rsid w:val="008865C4"/>
    <w:rsid w:val="00886CE1"/>
    <w:rsid w:val="00886EBC"/>
    <w:rsid w:val="00887677"/>
    <w:rsid w:val="008878C6"/>
    <w:rsid w:val="008903C6"/>
    <w:rsid w:val="00890621"/>
    <w:rsid w:val="008906DD"/>
    <w:rsid w:val="00891381"/>
    <w:rsid w:val="00891C4D"/>
    <w:rsid w:val="0089220A"/>
    <w:rsid w:val="00892F39"/>
    <w:rsid w:val="00892F85"/>
    <w:rsid w:val="0089394D"/>
    <w:rsid w:val="00893D6A"/>
    <w:rsid w:val="00893E9A"/>
    <w:rsid w:val="00894876"/>
    <w:rsid w:val="0089502F"/>
    <w:rsid w:val="00895062"/>
    <w:rsid w:val="0089533A"/>
    <w:rsid w:val="00895969"/>
    <w:rsid w:val="008959EF"/>
    <w:rsid w:val="00895A08"/>
    <w:rsid w:val="00896437"/>
    <w:rsid w:val="0089662B"/>
    <w:rsid w:val="008968AB"/>
    <w:rsid w:val="008970B9"/>
    <w:rsid w:val="00897651"/>
    <w:rsid w:val="00897680"/>
    <w:rsid w:val="008977F6"/>
    <w:rsid w:val="00897A3E"/>
    <w:rsid w:val="00897CFB"/>
    <w:rsid w:val="008A06B1"/>
    <w:rsid w:val="008A1093"/>
    <w:rsid w:val="008A1301"/>
    <w:rsid w:val="008A1DFE"/>
    <w:rsid w:val="008A21BE"/>
    <w:rsid w:val="008A239E"/>
    <w:rsid w:val="008A3287"/>
    <w:rsid w:val="008A3EA0"/>
    <w:rsid w:val="008A4203"/>
    <w:rsid w:val="008A45E2"/>
    <w:rsid w:val="008A5B60"/>
    <w:rsid w:val="008A5BDB"/>
    <w:rsid w:val="008A6236"/>
    <w:rsid w:val="008A6526"/>
    <w:rsid w:val="008A66BC"/>
    <w:rsid w:val="008A79B8"/>
    <w:rsid w:val="008B0600"/>
    <w:rsid w:val="008B0C12"/>
    <w:rsid w:val="008B0FF4"/>
    <w:rsid w:val="008B1071"/>
    <w:rsid w:val="008B20DD"/>
    <w:rsid w:val="008B2192"/>
    <w:rsid w:val="008B2E58"/>
    <w:rsid w:val="008B32B2"/>
    <w:rsid w:val="008B3594"/>
    <w:rsid w:val="008B3763"/>
    <w:rsid w:val="008B3925"/>
    <w:rsid w:val="008B39F8"/>
    <w:rsid w:val="008B3B9B"/>
    <w:rsid w:val="008B46BB"/>
    <w:rsid w:val="008B4E11"/>
    <w:rsid w:val="008B515F"/>
    <w:rsid w:val="008B600E"/>
    <w:rsid w:val="008B613F"/>
    <w:rsid w:val="008B688F"/>
    <w:rsid w:val="008B68D7"/>
    <w:rsid w:val="008B6C3D"/>
    <w:rsid w:val="008C0165"/>
    <w:rsid w:val="008C01F3"/>
    <w:rsid w:val="008C0733"/>
    <w:rsid w:val="008C0CBC"/>
    <w:rsid w:val="008C0F45"/>
    <w:rsid w:val="008C1012"/>
    <w:rsid w:val="008C11A8"/>
    <w:rsid w:val="008C14BC"/>
    <w:rsid w:val="008C14D4"/>
    <w:rsid w:val="008C2723"/>
    <w:rsid w:val="008C301E"/>
    <w:rsid w:val="008C3020"/>
    <w:rsid w:val="008C3601"/>
    <w:rsid w:val="008C3FAE"/>
    <w:rsid w:val="008C3FDD"/>
    <w:rsid w:val="008C48F9"/>
    <w:rsid w:val="008C4B8E"/>
    <w:rsid w:val="008C4DCC"/>
    <w:rsid w:val="008C50A2"/>
    <w:rsid w:val="008C55FE"/>
    <w:rsid w:val="008C6008"/>
    <w:rsid w:val="008C6799"/>
    <w:rsid w:val="008C6AB5"/>
    <w:rsid w:val="008C75A6"/>
    <w:rsid w:val="008C7869"/>
    <w:rsid w:val="008C7CD6"/>
    <w:rsid w:val="008C7D53"/>
    <w:rsid w:val="008D0502"/>
    <w:rsid w:val="008D10EF"/>
    <w:rsid w:val="008D14D0"/>
    <w:rsid w:val="008D19EE"/>
    <w:rsid w:val="008D1AE0"/>
    <w:rsid w:val="008D1C89"/>
    <w:rsid w:val="008D1EAE"/>
    <w:rsid w:val="008D1FA3"/>
    <w:rsid w:val="008D23D5"/>
    <w:rsid w:val="008D26C6"/>
    <w:rsid w:val="008D37B6"/>
    <w:rsid w:val="008D3E31"/>
    <w:rsid w:val="008D444A"/>
    <w:rsid w:val="008D45AE"/>
    <w:rsid w:val="008D4817"/>
    <w:rsid w:val="008D513B"/>
    <w:rsid w:val="008D5257"/>
    <w:rsid w:val="008D5A99"/>
    <w:rsid w:val="008D6382"/>
    <w:rsid w:val="008D6558"/>
    <w:rsid w:val="008D67BA"/>
    <w:rsid w:val="008D6FAA"/>
    <w:rsid w:val="008D6FEE"/>
    <w:rsid w:val="008E00D0"/>
    <w:rsid w:val="008E06F3"/>
    <w:rsid w:val="008E0DAB"/>
    <w:rsid w:val="008E13BF"/>
    <w:rsid w:val="008E1473"/>
    <w:rsid w:val="008E22F6"/>
    <w:rsid w:val="008E261B"/>
    <w:rsid w:val="008E2C93"/>
    <w:rsid w:val="008E2EB9"/>
    <w:rsid w:val="008E2ED9"/>
    <w:rsid w:val="008E309E"/>
    <w:rsid w:val="008E336F"/>
    <w:rsid w:val="008E35FA"/>
    <w:rsid w:val="008E3CB2"/>
    <w:rsid w:val="008E6009"/>
    <w:rsid w:val="008E61AF"/>
    <w:rsid w:val="008E6A62"/>
    <w:rsid w:val="008E6D92"/>
    <w:rsid w:val="008E7AC3"/>
    <w:rsid w:val="008F0C77"/>
    <w:rsid w:val="008F0F03"/>
    <w:rsid w:val="008F116A"/>
    <w:rsid w:val="008F1BFC"/>
    <w:rsid w:val="008F25C4"/>
    <w:rsid w:val="008F28D0"/>
    <w:rsid w:val="008F31C4"/>
    <w:rsid w:val="008F3BDB"/>
    <w:rsid w:val="008F3DE4"/>
    <w:rsid w:val="008F46BC"/>
    <w:rsid w:val="008F4976"/>
    <w:rsid w:val="008F500C"/>
    <w:rsid w:val="008F55A2"/>
    <w:rsid w:val="008F5A22"/>
    <w:rsid w:val="008F62A6"/>
    <w:rsid w:val="008F6B17"/>
    <w:rsid w:val="008F6D02"/>
    <w:rsid w:val="008F6F33"/>
    <w:rsid w:val="008F7017"/>
    <w:rsid w:val="008F7060"/>
    <w:rsid w:val="0090146B"/>
    <w:rsid w:val="00901878"/>
    <w:rsid w:val="00901880"/>
    <w:rsid w:val="009018FB"/>
    <w:rsid w:val="0090212F"/>
    <w:rsid w:val="00902AE8"/>
    <w:rsid w:val="009030B9"/>
    <w:rsid w:val="00903340"/>
    <w:rsid w:val="0090359C"/>
    <w:rsid w:val="00903A93"/>
    <w:rsid w:val="00903DD2"/>
    <w:rsid w:val="00903FBA"/>
    <w:rsid w:val="0090442E"/>
    <w:rsid w:val="00904682"/>
    <w:rsid w:val="0090513E"/>
    <w:rsid w:val="00905451"/>
    <w:rsid w:val="009057A6"/>
    <w:rsid w:val="00905C22"/>
    <w:rsid w:val="00906492"/>
    <w:rsid w:val="00906727"/>
    <w:rsid w:val="00907977"/>
    <w:rsid w:val="00907C80"/>
    <w:rsid w:val="00907E3D"/>
    <w:rsid w:val="009106AF"/>
    <w:rsid w:val="00910C8F"/>
    <w:rsid w:val="00911545"/>
    <w:rsid w:val="00911F28"/>
    <w:rsid w:val="0091297B"/>
    <w:rsid w:val="00912EB5"/>
    <w:rsid w:val="00913125"/>
    <w:rsid w:val="009144CA"/>
    <w:rsid w:val="00914AD4"/>
    <w:rsid w:val="00914C44"/>
    <w:rsid w:val="00914F41"/>
    <w:rsid w:val="00915107"/>
    <w:rsid w:val="009155FC"/>
    <w:rsid w:val="009163CE"/>
    <w:rsid w:val="0091644D"/>
    <w:rsid w:val="00916562"/>
    <w:rsid w:val="00916EB0"/>
    <w:rsid w:val="00916F78"/>
    <w:rsid w:val="009170B5"/>
    <w:rsid w:val="009173C0"/>
    <w:rsid w:val="00917919"/>
    <w:rsid w:val="00917E1B"/>
    <w:rsid w:val="00917ED5"/>
    <w:rsid w:val="0092123F"/>
    <w:rsid w:val="00921305"/>
    <w:rsid w:val="009219C3"/>
    <w:rsid w:val="00921C41"/>
    <w:rsid w:val="00921C65"/>
    <w:rsid w:val="00921C81"/>
    <w:rsid w:val="00923265"/>
    <w:rsid w:val="0092369F"/>
    <w:rsid w:val="00923D17"/>
    <w:rsid w:val="00923EE1"/>
    <w:rsid w:val="00924077"/>
    <w:rsid w:val="009246AD"/>
    <w:rsid w:val="0092492F"/>
    <w:rsid w:val="00924CD1"/>
    <w:rsid w:val="00924EA6"/>
    <w:rsid w:val="00924EF9"/>
    <w:rsid w:val="00925185"/>
    <w:rsid w:val="009257C9"/>
    <w:rsid w:val="00925FD7"/>
    <w:rsid w:val="0092644A"/>
    <w:rsid w:val="0092674A"/>
    <w:rsid w:val="00926A9C"/>
    <w:rsid w:val="009273C8"/>
    <w:rsid w:val="009276A6"/>
    <w:rsid w:val="009277BE"/>
    <w:rsid w:val="00927AB3"/>
    <w:rsid w:val="00932B41"/>
    <w:rsid w:val="009333B8"/>
    <w:rsid w:val="0093344F"/>
    <w:rsid w:val="00933673"/>
    <w:rsid w:val="0093376E"/>
    <w:rsid w:val="00933802"/>
    <w:rsid w:val="00935173"/>
    <w:rsid w:val="00935A94"/>
    <w:rsid w:val="00935FFE"/>
    <w:rsid w:val="00936177"/>
    <w:rsid w:val="00936B30"/>
    <w:rsid w:val="00937112"/>
    <w:rsid w:val="0093732E"/>
    <w:rsid w:val="00937E73"/>
    <w:rsid w:val="009400D7"/>
    <w:rsid w:val="009403D2"/>
    <w:rsid w:val="00940896"/>
    <w:rsid w:val="00942203"/>
    <w:rsid w:val="009425BE"/>
    <w:rsid w:val="00943108"/>
    <w:rsid w:val="00943FFE"/>
    <w:rsid w:val="009441CD"/>
    <w:rsid w:val="0094456E"/>
    <w:rsid w:val="00944F44"/>
    <w:rsid w:val="009459AC"/>
    <w:rsid w:val="00945ADF"/>
    <w:rsid w:val="009465A2"/>
    <w:rsid w:val="00946A28"/>
    <w:rsid w:val="00946B37"/>
    <w:rsid w:val="00946C72"/>
    <w:rsid w:val="00946F09"/>
    <w:rsid w:val="009479BB"/>
    <w:rsid w:val="009479D3"/>
    <w:rsid w:val="00947B03"/>
    <w:rsid w:val="0095042F"/>
    <w:rsid w:val="009507E9"/>
    <w:rsid w:val="00950C45"/>
    <w:rsid w:val="009512EB"/>
    <w:rsid w:val="009515E0"/>
    <w:rsid w:val="009524BF"/>
    <w:rsid w:val="009528A0"/>
    <w:rsid w:val="0095329C"/>
    <w:rsid w:val="00953E8B"/>
    <w:rsid w:val="00954188"/>
    <w:rsid w:val="0095449D"/>
    <w:rsid w:val="00954D70"/>
    <w:rsid w:val="009550FC"/>
    <w:rsid w:val="009552A7"/>
    <w:rsid w:val="00956282"/>
    <w:rsid w:val="00956683"/>
    <w:rsid w:val="00956C23"/>
    <w:rsid w:val="0095711A"/>
    <w:rsid w:val="00957776"/>
    <w:rsid w:val="0096031A"/>
    <w:rsid w:val="00960AF7"/>
    <w:rsid w:val="0096125F"/>
    <w:rsid w:val="0096139D"/>
    <w:rsid w:val="009614D3"/>
    <w:rsid w:val="009615C4"/>
    <w:rsid w:val="00961D1C"/>
    <w:rsid w:val="009622DE"/>
    <w:rsid w:val="009626DC"/>
    <w:rsid w:val="0096322B"/>
    <w:rsid w:val="0096326A"/>
    <w:rsid w:val="00963DEE"/>
    <w:rsid w:val="0096415B"/>
    <w:rsid w:val="00964595"/>
    <w:rsid w:val="00964B1D"/>
    <w:rsid w:val="00965073"/>
    <w:rsid w:val="009650BD"/>
    <w:rsid w:val="009650FA"/>
    <w:rsid w:val="0096513D"/>
    <w:rsid w:val="009663A9"/>
    <w:rsid w:val="009667C5"/>
    <w:rsid w:val="00966F3F"/>
    <w:rsid w:val="009675B2"/>
    <w:rsid w:val="0097000B"/>
    <w:rsid w:val="0097070F"/>
    <w:rsid w:val="00970B65"/>
    <w:rsid w:val="00970C73"/>
    <w:rsid w:val="00971870"/>
    <w:rsid w:val="00971CFC"/>
    <w:rsid w:val="00972038"/>
    <w:rsid w:val="0097272D"/>
    <w:rsid w:val="0097275E"/>
    <w:rsid w:val="00972DE1"/>
    <w:rsid w:val="00972E83"/>
    <w:rsid w:val="00973799"/>
    <w:rsid w:val="00973936"/>
    <w:rsid w:val="00973E7A"/>
    <w:rsid w:val="0097437B"/>
    <w:rsid w:val="00975231"/>
    <w:rsid w:val="00975292"/>
    <w:rsid w:val="00975B51"/>
    <w:rsid w:val="00975C5D"/>
    <w:rsid w:val="00976034"/>
    <w:rsid w:val="00976B01"/>
    <w:rsid w:val="0097721F"/>
    <w:rsid w:val="0097764C"/>
    <w:rsid w:val="00981332"/>
    <w:rsid w:val="00982288"/>
    <w:rsid w:val="00983AC7"/>
    <w:rsid w:val="009842B4"/>
    <w:rsid w:val="00984B5A"/>
    <w:rsid w:val="00984C59"/>
    <w:rsid w:val="009855AF"/>
    <w:rsid w:val="009858E9"/>
    <w:rsid w:val="00986035"/>
    <w:rsid w:val="0098663E"/>
    <w:rsid w:val="0098740B"/>
    <w:rsid w:val="00987B89"/>
    <w:rsid w:val="00990138"/>
    <w:rsid w:val="00990AA4"/>
    <w:rsid w:val="009910AD"/>
    <w:rsid w:val="00991E51"/>
    <w:rsid w:val="009922D8"/>
    <w:rsid w:val="00992A48"/>
    <w:rsid w:val="00992F34"/>
    <w:rsid w:val="00992F56"/>
    <w:rsid w:val="00993FB1"/>
    <w:rsid w:val="0099429B"/>
    <w:rsid w:val="00994629"/>
    <w:rsid w:val="009948EF"/>
    <w:rsid w:val="009950AE"/>
    <w:rsid w:val="009950E9"/>
    <w:rsid w:val="009959EE"/>
    <w:rsid w:val="009963CC"/>
    <w:rsid w:val="0099687A"/>
    <w:rsid w:val="00996B62"/>
    <w:rsid w:val="00996BD4"/>
    <w:rsid w:val="00996FB0"/>
    <w:rsid w:val="00996FC0"/>
    <w:rsid w:val="0099721B"/>
    <w:rsid w:val="009972D2"/>
    <w:rsid w:val="009A091F"/>
    <w:rsid w:val="009A11B6"/>
    <w:rsid w:val="009A18AD"/>
    <w:rsid w:val="009A21E4"/>
    <w:rsid w:val="009A26DF"/>
    <w:rsid w:val="009A3FFA"/>
    <w:rsid w:val="009A4F14"/>
    <w:rsid w:val="009A59C6"/>
    <w:rsid w:val="009A5BB1"/>
    <w:rsid w:val="009A6420"/>
    <w:rsid w:val="009A68C9"/>
    <w:rsid w:val="009A6F5E"/>
    <w:rsid w:val="009A70C1"/>
    <w:rsid w:val="009A7A72"/>
    <w:rsid w:val="009A7C29"/>
    <w:rsid w:val="009B001B"/>
    <w:rsid w:val="009B0047"/>
    <w:rsid w:val="009B053D"/>
    <w:rsid w:val="009B0820"/>
    <w:rsid w:val="009B0A45"/>
    <w:rsid w:val="009B0BAF"/>
    <w:rsid w:val="009B1869"/>
    <w:rsid w:val="009B27B0"/>
    <w:rsid w:val="009B2FF3"/>
    <w:rsid w:val="009B35E6"/>
    <w:rsid w:val="009B42C8"/>
    <w:rsid w:val="009B4A6D"/>
    <w:rsid w:val="009B57CC"/>
    <w:rsid w:val="009B5D31"/>
    <w:rsid w:val="009B67D9"/>
    <w:rsid w:val="009B7D2D"/>
    <w:rsid w:val="009C0200"/>
    <w:rsid w:val="009C0584"/>
    <w:rsid w:val="009C08C2"/>
    <w:rsid w:val="009C168D"/>
    <w:rsid w:val="009C1812"/>
    <w:rsid w:val="009C1E44"/>
    <w:rsid w:val="009C2000"/>
    <w:rsid w:val="009C2423"/>
    <w:rsid w:val="009C25C5"/>
    <w:rsid w:val="009C2612"/>
    <w:rsid w:val="009C2EF8"/>
    <w:rsid w:val="009C3C59"/>
    <w:rsid w:val="009C3E82"/>
    <w:rsid w:val="009C47EA"/>
    <w:rsid w:val="009C5D5D"/>
    <w:rsid w:val="009C5DB5"/>
    <w:rsid w:val="009C5F84"/>
    <w:rsid w:val="009C65A3"/>
    <w:rsid w:val="009C6C70"/>
    <w:rsid w:val="009C7B93"/>
    <w:rsid w:val="009C7C3B"/>
    <w:rsid w:val="009C7D51"/>
    <w:rsid w:val="009D0A3B"/>
    <w:rsid w:val="009D0A6D"/>
    <w:rsid w:val="009D0C86"/>
    <w:rsid w:val="009D1E5F"/>
    <w:rsid w:val="009D1EC1"/>
    <w:rsid w:val="009D2DF9"/>
    <w:rsid w:val="009D34C9"/>
    <w:rsid w:val="009D37D2"/>
    <w:rsid w:val="009D3953"/>
    <w:rsid w:val="009D3965"/>
    <w:rsid w:val="009D53D0"/>
    <w:rsid w:val="009D5EFC"/>
    <w:rsid w:val="009D61A8"/>
    <w:rsid w:val="009D666B"/>
    <w:rsid w:val="009D67C0"/>
    <w:rsid w:val="009D67CE"/>
    <w:rsid w:val="009E0309"/>
    <w:rsid w:val="009E03A0"/>
    <w:rsid w:val="009E2B74"/>
    <w:rsid w:val="009E2E54"/>
    <w:rsid w:val="009E3DA1"/>
    <w:rsid w:val="009E4667"/>
    <w:rsid w:val="009E567E"/>
    <w:rsid w:val="009E595C"/>
    <w:rsid w:val="009E60C5"/>
    <w:rsid w:val="009E6E80"/>
    <w:rsid w:val="009E7FB4"/>
    <w:rsid w:val="009F100D"/>
    <w:rsid w:val="009F1033"/>
    <w:rsid w:val="009F14DF"/>
    <w:rsid w:val="009F176E"/>
    <w:rsid w:val="009F2634"/>
    <w:rsid w:val="009F27AC"/>
    <w:rsid w:val="009F27E6"/>
    <w:rsid w:val="009F27F6"/>
    <w:rsid w:val="009F3265"/>
    <w:rsid w:val="009F3289"/>
    <w:rsid w:val="009F33F8"/>
    <w:rsid w:val="009F4BAE"/>
    <w:rsid w:val="009F4F18"/>
    <w:rsid w:val="009F6371"/>
    <w:rsid w:val="009F6790"/>
    <w:rsid w:val="00A008B2"/>
    <w:rsid w:val="00A01A04"/>
    <w:rsid w:val="00A01CC1"/>
    <w:rsid w:val="00A02116"/>
    <w:rsid w:val="00A02CDB"/>
    <w:rsid w:val="00A0340B"/>
    <w:rsid w:val="00A0357A"/>
    <w:rsid w:val="00A035BC"/>
    <w:rsid w:val="00A04969"/>
    <w:rsid w:val="00A053F0"/>
    <w:rsid w:val="00A05702"/>
    <w:rsid w:val="00A05861"/>
    <w:rsid w:val="00A05866"/>
    <w:rsid w:val="00A05C2F"/>
    <w:rsid w:val="00A076B9"/>
    <w:rsid w:val="00A07AF7"/>
    <w:rsid w:val="00A07F97"/>
    <w:rsid w:val="00A10176"/>
    <w:rsid w:val="00A10266"/>
    <w:rsid w:val="00A10739"/>
    <w:rsid w:val="00A1255E"/>
    <w:rsid w:val="00A12776"/>
    <w:rsid w:val="00A12984"/>
    <w:rsid w:val="00A133AF"/>
    <w:rsid w:val="00A15AC3"/>
    <w:rsid w:val="00A165DC"/>
    <w:rsid w:val="00A1758B"/>
    <w:rsid w:val="00A17ED6"/>
    <w:rsid w:val="00A20328"/>
    <w:rsid w:val="00A20A36"/>
    <w:rsid w:val="00A20B19"/>
    <w:rsid w:val="00A21928"/>
    <w:rsid w:val="00A21B9D"/>
    <w:rsid w:val="00A227A8"/>
    <w:rsid w:val="00A228BD"/>
    <w:rsid w:val="00A2374E"/>
    <w:rsid w:val="00A23786"/>
    <w:rsid w:val="00A23788"/>
    <w:rsid w:val="00A23823"/>
    <w:rsid w:val="00A24779"/>
    <w:rsid w:val="00A250CE"/>
    <w:rsid w:val="00A254F0"/>
    <w:rsid w:val="00A25506"/>
    <w:rsid w:val="00A25984"/>
    <w:rsid w:val="00A266C8"/>
    <w:rsid w:val="00A279CC"/>
    <w:rsid w:val="00A27F75"/>
    <w:rsid w:val="00A301DD"/>
    <w:rsid w:val="00A307A1"/>
    <w:rsid w:val="00A31C1F"/>
    <w:rsid w:val="00A31F5F"/>
    <w:rsid w:val="00A320A3"/>
    <w:rsid w:val="00A3222F"/>
    <w:rsid w:val="00A33652"/>
    <w:rsid w:val="00A33C78"/>
    <w:rsid w:val="00A342C1"/>
    <w:rsid w:val="00A3445B"/>
    <w:rsid w:val="00A3463A"/>
    <w:rsid w:val="00A35836"/>
    <w:rsid w:val="00A366ED"/>
    <w:rsid w:val="00A3680A"/>
    <w:rsid w:val="00A36DC0"/>
    <w:rsid w:val="00A37A22"/>
    <w:rsid w:val="00A40ADB"/>
    <w:rsid w:val="00A40C7D"/>
    <w:rsid w:val="00A42548"/>
    <w:rsid w:val="00A433B6"/>
    <w:rsid w:val="00A433BF"/>
    <w:rsid w:val="00A435E5"/>
    <w:rsid w:val="00A43E09"/>
    <w:rsid w:val="00A44D6E"/>
    <w:rsid w:val="00A44DF3"/>
    <w:rsid w:val="00A45CF8"/>
    <w:rsid w:val="00A45E01"/>
    <w:rsid w:val="00A46147"/>
    <w:rsid w:val="00A47393"/>
    <w:rsid w:val="00A474B9"/>
    <w:rsid w:val="00A47BCB"/>
    <w:rsid w:val="00A50313"/>
    <w:rsid w:val="00A50769"/>
    <w:rsid w:val="00A5078B"/>
    <w:rsid w:val="00A51A92"/>
    <w:rsid w:val="00A51BDB"/>
    <w:rsid w:val="00A52826"/>
    <w:rsid w:val="00A5295F"/>
    <w:rsid w:val="00A52A98"/>
    <w:rsid w:val="00A53D9B"/>
    <w:rsid w:val="00A53E10"/>
    <w:rsid w:val="00A54716"/>
    <w:rsid w:val="00A5536A"/>
    <w:rsid w:val="00A55CA1"/>
    <w:rsid w:val="00A55DDB"/>
    <w:rsid w:val="00A56F34"/>
    <w:rsid w:val="00A57587"/>
    <w:rsid w:val="00A60511"/>
    <w:rsid w:val="00A61567"/>
    <w:rsid w:val="00A6187D"/>
    <w:rsid w:val="00A61F12"/>
    <w:rsid w:val="00A61F47"/>
    <w:rsid w:val="00A6226F"/>
    <w:rsid w:val="00A63154"/>
    <w:rsid w:val="00A6324B"/>
    <w:rsid w:val="00A63862"/>
    <w:rsid w:val="00A63963"/>
    <w:rsid w:val="00A6426E"/>
    <w:rsid w:val="00A64AAF"/>
    <w:rsid w:val="00A64BC3"/>
    <w:rsid w:val="00A6504D"/>
    <w:rsid w:val="00A6524E"/>
    <w:rsid w:val="00A656CD"/>
    <w:rsid w:val="00A66C62"/>
    <w:rsid w:val="00A66CA6"/>
    <w:rsid w:val="00A7184C"/>
    <w:rsid w:val="00A7191A"/>
    <w:rsid w:val="00A71FF6"/>
    <w:rsid w:val="00A72A9D"/>
    <w:rsid w:val="00A72F9E"/>
    <w:rsid w:val="00A73B83"/>
    <w:rsid w:val="00A741A9"/>
    <w:rsid w:val="00A7446D"/>
    <w:rsid w:val="00A7531A"/>
    <w:rsid w:val="00A757A5"/>
    <w:rsid w:val="00A75A62"/>
    <w:rsid w:val="00A75CA3"/>
    <w:rsid w:val="00A76601"/>
    <w:rsid w:val="00A766AE"/>
    <w:rsid w:val="00A7707F"/>
    <w:rsid w:val="00A77963"/>
    <w:rsid w:val="00A802D1"/>
    <w:rsid w:val="00A8060B"/>
    <w:rsid w:val="00A80994"/>
    <w:rsid w:val="00A809AE"/>
    <w:rsid w:val="00A809EB"/>
    <w:rsid w:val="00A81BD6"/>
    <w:rsid w:val="00A81ED7"/>
    <w:rsid w:val="00A81FB7"/>
    <w:rsid w:val="00A82BAE"/>
    <w:rsid w:val="00A832BC"/>
    <w:rsid w:val="00A842CB"/>
    <w:rsid w:val="00A846FE"/>
    <w:rsid w:val="00A85251"/>
    <w:rsid w:val="00A8528F"/>
    <w:rsid w:val="00A85DAB"/>
    <w:rsid w:val="00A863DF"/>
    <w:rsid w:val="00A87142"/>
    <w:rsid w:val="00A87912"/>
    <w:rsid w:val="00A9002D"/>
    <w:rsid w:val="00A90888"/>
    <w:rsid w:val="00A90D8C"/>
    <w:rsid w:val="00A91516"/>
    <w:rsid w:val="00A91707"/>
    <w:rsid w:val="00A91996"/>
    <w:rsid w:val="00A91B6E"/>
    <w:rsid w:val="00A9233C"/>
    <w:rsid w:val="00A92491"/>
    <w:rsid w:val="00A93B13"/>
    <w:rsid w:val="00A93DE2"/>
    <w:rsid w:val="00A94064"/>
    <w:rsid w:val="00A94498"/>
    <w:rsid w:val="00A94999"/>
    <w:rsid w:val="00A949B0"/>
    <w:rsid w:val="00A94D8C"/>
    <w:rsid w:val="00A9635B"/>
    <w:rsid w:val="00A96389"/>
    <w:rsid w:val="00A965A3"/>
    <w:rsid w:val="00A96D5F"/>
    <w:rsid w:val="00A970AE"/>
    <w:rsid w:val="00A976BA"/>
    <w:rsid w:val="00A97E35"/>
    <w:rsid w:val="00AA055D"/>
    <w:rsid w:val="00AA058D"/>
    <w:rsid w:val="00AA0850"/>
    <w:rsid w:val="00AA1E49"/>
    <w:rsid w:val="00AA3B00"/>
    <w:rsid w:val="00AA43B8"/>
    <w:rsid w:val="00AA4417"/>
    <w:rsid w:val="00AA4CA5"/>
    <w:rsid w:val="00AA5B39"/>
    <w:rsid w:val="00AA72D2"/>
    <w:rsid w:val="00AA757A"/>
    <w:rsid w:val="00AA7F3C"/>
    <w:rsid w:val="00AB0618"/>
    <w:rsid w:val="00AB0BCC"/>
    <w:rsid w:val="00AB1243"/>
    <w:rsid w:val="00AB1C42"/>
    <w:rsid w:val="00AB2BAA"/>
    <w:rsid w:val="00AB2E84"/>
    <w:rsid w:val="00AB2EA2"/>
    <w:rsid w:val="00AB3070"/>
    <w:rsid w:val="00AB3891"/>
    <w:rsid w:val="00AB3942"/>
    <w:rsid w:val="00AB480C"/>
    <w:rsid w:val="00AB4BB2"/>
    <w:rsid w:val="00AB569B"/>
    <w:rsid w:val="00AB6A3D"/>
    <w:rsid w:val="00AB6E8E"/>
    <w:rsid w:val="00AB6F5E"/>
    <w:rsid w:val="00AB7327"/>
    <w:rsid w:val="00AB741A"/>
    <w:rsid w:val="00AB76D7"/>
    <w:rsid w:val="00AC02D7"/>
    <w:rsid w:val="00AC04EF"/>
    <w:rsid w:val="00AC13B8"/>
    <w:rsid w:val="00AC1C06"/>
    <w:rsid w:val="00AC1F4D"/>
    <w:rsid w:val="00AC29C8"/>
    <w:rsid w:val="00AC2E94"/>
    <w:rsid w:val="00AC31B4"/>
    <w:rsid w:val="00AC379A"/>
    <w:rsid w:val="00AC43DC"/>
    <w:rsid w:val="00AC464C"/>
    <w:rsid w:val="00AC4742"/>
    <w:rsid w:val="00AC55DA"/>
    <w:rsid w:val="00AC5AFE"/>
    <w:rsid w:val="00AC63CC"/>
    <w:rsid w:val="00AC6C07"/>
    <w:rsid w:val="00AC7740"/>
    <w:rsid w:val="00AC7A27"/>
    <w:rsid w:val="00AC7FF5"/>
    <w:rsid w:val="00AD001A"/>
    <w:rsid w:val="00AD036C"/>
    <w:rsid w:val="00AD0625"/>
    <w:rsid w:val="00AD0820"/>
    <w:rsid w:val="00AD0D4E"/>
    <w:rsid w:val="00AD1EBD"/>
    <w:rsid w:val="00AD1FB5"/>
    <w:rsid w:val="00AD2CC5"/>
    <w:rsid w:val="00AD384D"/>
    <w:rsid w:val="00AD4696"/>
    <w:rsid w:val="00AD4A42"/>
    <w:rsid w:val="00AD4D68"/>
    <w:rsid w:val="00AD5A88"/>
    <w:rsid w:val="00AD6E92"/>
    <w:rsid w:val="00AD6EC3"/>
    <w:rsid w:val="00AD7425"/>
    <w:rsid w:val="00AE163A"/>
    <w:rsid w:val="00AE1712"/>
    <w:rsid w:val="00AE2213"/>
    <w:rsid w:val="00AE27D9"/>
    <w:rsid w:val="00AE2F94"/>
    <w:rsid w:val="00AE4F7E"/>
    <w:rsid w:val="00AE55F4"/>
    <w:rsid w:val="00AE5773"/>
    <w:rsid w:val="00AE58A4"/>
    <w:rsid w:val="00AE5E05"/>
    <w:rsid w:val="00AE5EF2"/>
    <w:rsid w:val="00AE71FD"/>
    <w:rsid w:val="00AE7765"/>
    <w:rsid w:val="00AE7901"/>
    <w:rsid w:val="00AE7A7D"/>
    <w:rsid w:val="00AE7EDA"/>
    <w:rsid w:val="00AF197E"/>
    <w:rsid w:val="00AF20D1"/>
    <w:rsid w:val="00AF27F1"/>
    <w:rsid w:val="00AF39C0"/>
    <w:rsid w:val="00AF43F3"/>
    <w:rsid w:val="00AF453C"/>
    <w:rsid w:val="00AF4814"/>
    <w:rsid w:val="00AF5338"/>
    <w:rsid w:val="00AF5CB8"/>
    <w:rsid w:val="00AF64A6"/>
    <w:rsid w:val="00AF690E"/>
    <w:rsid w:val="00AF722F"/>
    <w:rsid w:val="00B00147"/>
    <w:rsid w:val="00B0133D"/>
    <w:rsid w:val="00B01CDC"/>
    <w:rsid w:val="00B01D43"/>
    <w:rsid w:val="00B037C8"/>
    <w:rsid w:val="00B03AEB"/>
    <w:rsid w:val="00B03FD4"/>
    <w:rsid w:val="00B04C19"/>
    <w:rsid w:val="00B04FEB"/>
    <w:rsid w:val="00B064CE"/>
    <w:rsid w:val="00B068B4"/>
    <w:rsid w:val="00B07036"/>
    <w:rsid w:val="00B07767"/>
    <w:rsid w:val="00B0781C"/>
    <w:rsid w:val="00B1025D"/>
    <w:rsid w:val="00B10496"/>
    <w:rsid w:val="00B10971"/>
    <w:rsid w:val="00B10BCE"/>
    <w:rsid w:val="00B10CDB"/>
    <w:rsid w:val="00B11C83"/>
    <w:rsid w:val="00B123C0"/>
    <w:rsid w:val="00B1246B"/>
    <w:rsid w:val="00B1272A"/>
    <w:rsid w:val="00B1336E"/>
    <w:rsid w:val="00B136F5"/>
    <w:rsid w:val="00B13ADA"/>
    <w:rsid w:val="00B143DB"/>
    <w:rsid w:val="00B151F7"/>
    <w:rsid w:val="00B15236"/>
    <w:rsid w:val="00B159BA"/>
    <w:rsid w:val="00B16158"/>
    <w:rsid w:val="00B162F4"/>
    <w:rsid w:val="00B164E7"/>
    <w:rsid w:val="00B1666D"/>
    <w:rsid w:val="00B16A5F"/>
    <w:rsid w:val="00B17050"/>
    <w:rsid w:val="00B17A51"/>
    <w:rsid w:val="00B17C59"/>
    <w:rsid w:val="00B17D05"/>
    <w:rsid w:val="00B17D6F"/>
    <w:rsid w:val="00B2043F"/>
    <w:rsid w:val="00B21814"/>
    <w:rsid w:val="00B21A76"/>
    <w:rsid w:val="00B22826"/>
    <w:rsid w:val="00B22A01"/>
    <w:rsid w:val="00B22D97"/>
    <w:rsid w:val="00B23400"/>
    <w:rsid w:val="00B2345D"/>
    <w:rsid w:val="00B23870"/>
    <w:rsid w:val="00B254FC"/>
    <w:rsid w:val="00B263BF"/>
    <w:rsid w:val="00B2651C"/>
    <w:rsid w:val="00B26967"/>
    <w:rsid w:val="00B26B5E"/>
    <w:rsid w:val="00B271EE"/>
    <w:rsid w:val="00B3021D"/>
    <w:rsid w:val="00B3060B"/>
    <w:rsid w:val="00B30826"/>
    <w:rsid w:val="00B327D3"/>
    <w:rsid w:val="00B3290C"/>
    <w:rsid w:val="00B32BBE"/>
    <w:rsid w:val="00B335FF"/>
    <w:rsid w:val="00B34F90"/>
    <w:rsid w:val="00B35537"/>
    <w:rsid w:val="00B36507"/>
    <w:rsid w:val="00B366CC"/>
    <w:rsid w:val="00B37811"/>
    <w:rsid w:val="00B4008B"/>
    <w:rsid w:val="00B40F53"/>
    <w:rsid w:val="00B41992"/>
    <w:rsid w:val="00B41AD7"/>
    <w:rsid w:val="00B41C18"/>
    <w:rsid w:val="00B41C65"/>
    <w:rsid w:val="00B42311"/>
    <w:rsid w:val="00B42B27"/>
    <w:rsid w:val="00B432AC"/>
    <w:rsid w:val="00B433F0"/>
    <w:rsid w:val="00B43A37"/>
    <w:rsid w:val="00B44274"/>
    <w:rsid w:val="00B4477A"/>
    <w:rsid w:val="00B449AD"/>
    <w:rsid w:val="00B44E8E"/>
    <w:rsid w:val="00B456C0"/>
    <w:rsid w:val="00B45E8B"/>
    <w:rsid w:val="00B46033"/>
    <w:rsid w:val="00B46971"/>
    <w:rsid w:val="00B46DE7"/>
    <w:rsid w:val="00B4776A"/>
    <w:rsid w:val="00B5086C"/>
    <w:rsid w:val="00B50C63"/>
    <w:rsid w:val="00B51CD8"/>
    <w:rsid w:val="00B52CF3"/>
    <w:rsid w:val="00B5356C"/>
    <w:rsid w:val="00B53BB6"/>
    <w:rsid w:val="00B563B0"/>
    <w:rsid w:val="00B57001"/>
    <w:rsid w:val="00B570C2"/>
    <w:rsid w:val="00B57CF0"/>
    <w:rsid w:val="00B6015B"/>
    <w:rsid w:val="00B60C40"/>
    <w:rsid w:val="00B60EE3"/>
    <w:rsid w:val="00B61145"/>
    <w:rsid w:val="00B6170C"/>
    <w:rsid w:val="00B61DF5"/>
    <w:rsid w:val="00B62653"/>
    <w:rsid w:val="00B63EB8"/>
    <w:rsid w:val="00B649E6"/>
    <w:rsid w:val="00B6536A"/>
    <w:rsid w:val="00B65670"/>
    <w:rsid w:val="00B65A45"/>
    <w:rsid w:val="00B66034"/>
    <w:rsid w:val="00B661F3"/>
    <w:rsid w:val="00B663CC"/>
    <w:rsid w:val="00B6658A"/>
    <w:rsid w:val="00B66EBC"/>
    <w:rsid w:val="00B70319"/>
    <w:rsid w:val="00B70F1E"/>
    <w:rsid w:val="00B711CA"/>
    <w:rsid w:val="00B716C4"/>
    <w:rsid w:val="00B71D8D"/>
    <w:rsid w:val="00B71DF9"/>
    <w:rsid w:val="00B7207F"/>
    <w:rsid w:val="00B72ABA"/>
    <w:rsid w:val="00B73BBF"/>
    <w:rsid w:val="00B73BDC"/>
    <w:rsid w:val="00B73CC5"/>
    <w:rsid w:val="00B74163"/>
    <w:rsid w:val="00B74355"/>
    <w:rsid w:val="00B7446D"/>
    <w:rsid w:val="00B74A99"/>
    <w:rsid w:val="00B75B71"/>
    <w:rsid w:val="00B75CCE"/>
    <w:rsid w:val="00B761CB"/>
    <w:rsid w:val="00B76544"/>
    <w:rsid w:val="00B769DD"/>
    <w:rsid w:val="00B76E42"/>
    <w:rsid w:val="00B77BEF"/>
    <w:rsid w:val="00B8006F"/>
    <w:rsid w:val="00B800A3"/>
    <w:rsid w:val="00B80C7D"/>
    <w:rsid w:val="00B80D04"/>
    <w:rsid w:val="00B81217"/>
    <w:rsid w:val="00B812F1"/>
    <w:rsid w:val="00B813CE"/>
    <w:rsid w:val="00B82462"/>
    <w:rsid w:val="00B824CC"/>
    <w:rsid w:val="00B829E9"/>
    <w:rsid w:val="00B84A9D"/>
    <w:rsid w:val="00B84D04"/>
    <w:rsid w:val="00B85268"/>
    <w:rsid w:val="00B85580"/>
    <w:rsid w:val="00B8573C"/>
    <w:rsid w:val="00B86092"/>
    <w:rsid w:val="00B8654E"/>
    <w:rsid w:val="00B867C9"/>
    <w:rsid w:val="00B86E0E"/>
    <w:rsid w:val="00B91303"/>
    <w:rsid w:val="00B91BAD"/>
    <w:rsid w:val="00B920EE"/>
    <w:rsid w:val="00B92D79"/>
    <w:rsid w:val="00B93443"/>
    <w:rsid w:val="00B93F0F"/>
    <w:rsid w:val="00B941FD"/>
    <w:rsid w:val="00B94219"/>
    <w:rsid w:val="00B945D0"/>
    <w:rsid w:val="00B946DB"/>
    <w:rsid w:val="00B9596A"/>
    <w:rsid w:val="00B95993"/>
    <w:rsid w:val="00B95B65"/>
    <w:rsid w:val="00B9683C"/>
    <w:rsid w:val="00B97B60"/>
    <w:rsid w:val="00BA0689"/>
    <w:rsid w:val="00BA12BF"/>
    <w:rsid w:val="00BA192C"/>
    <w:rsid w:val="00BA27E3"/>
    <w:rsid w:val="00BA304B"/>
    <w:rsid w:val="00BA338E"/>
    <w:rsid w:val="00BA3901"/>
    <w:rsid w:val="00BA3BA1"/>
    <w:rsid w:val="00BA485F"/>
    <w:rsid w:val="00BA51C3"/>
    <w:rsid w:val="00BA53F0"/>
    <w:rsid w:val="00BA6702"/>
    <w:rsid w:val="00BA68A0"/>
    <w:rsid w:val="00BA6D87"/>
    <w:rsid w:val="00BA7B0D"/>
    <w:rsid w:val="00BA7C81"/>
    <w:rsid w:val="00BA7E3A"/>
    <w:rsid w:val="00BA7EB6"/>
    <w:rsid w:val="00BB04AC"/>
    <w:rsid w:val="00BB0A1B"/>
    <w:rsid w:val="00BB1686"/>
    <w:rsid w:val="00BB1A0C"/>
    <w:rsid w:val="00BB1A81"/>
    <w:rsid w:val="00BB1ACE"/>
    <w:rsid w:val="00BB1EFF"/>
    <w:rsid w:val="00BB2036"/>
    <w:rsid w:val="00BB2299"/>
    <w:rsid w:val="00BB2987"/>
    <w:rsid w:val="00BB2ADD"/>
    <w:rsid w:val="00BB2B6B"/>
    <w:rsid w:val="00BB3B47"/>
    <w:rsid w:val="00BB435D"/>
    <w:rsid w:val="00BB49DD"/>
    <w:rsid w:val="00BB55D8"/>
    <w:rsid w:val="00BB5F22"/>
    <w:rsid w:val="00BB6B5A"/>
    <w:rsid w:val="00BB777B"/>
    <w:rsid w:val="00BB77C4"/>
    <w:rsid w:val="00BC0A5F"/>
    <w:rsid w:val="00BC0ABE"/>
    <w:rsid w:val="00BC2A71"/>
    <w:rsid w:val="00BC2B1D"/>
    <w:rsid w:val="00BC301D"/>
    <w:rsid w:val="00BC3084"/>
    <w:rsid w:val="00BC3149"/>
    <w:rsid w:val="00BC3D8C"/>
    <w:rsid w:val="00BC3E03"/>
    <w:rsid w:val="00BC4940"/>
    <w:rsid w:val="00BC4B02"/>
    <w:rsid w:val="00BC4C75"/>
    <w:rsid w:val="00BC4E7E"/>
    <w:rsid w:val="00BC54E4"/>
    <w:rsid w:val="00BC55C9"/>
    <w:rsid w:val="00BC5A71"/>
    <w:rsid w:val="00BC5DDE"/>
    <w:rsid w:val="00BC5F1C"/>
    <w:rsid w:val="00BC60C9"/>
    <w:rsid w:val="00BC690D"/>
    <w:rsid w:val="00BC784D"/>
    <w:rsid w:val="00BD1045"/>
    <w:rsid w:val="00BD15EF"/>
    <w:rsid w:val="00BD27B7"/>
    <w:rsid w:val="00BD2865"/>
    <w:rsid w:val="00BD338E"/>
    <w:rsid w:val="00BD342E"/>
    <w:rsid w:val="00BD3B6C"/>
    <w:rsid w:val="00BD3DBB"/>
    <w:rsid w:val="00BD3E8A"/>
    <w:rsid w:val="00BD3FE1"/>
    <w:rsid w:val="00BD4382"/>
    <w:rsid w:val="00BD47C8"/>
    <w:rsid w:val="00BD547D"/>
    <w:rsid w:val="00BD6270"/>
    <w:rsid w:val="00BD65AF"/>
    <w:rsid w:val="00BD676E"/>
    <w:rsid w:val="00BD67AB"/>
    <w:rsid w:val="00BD6DBD"/>
    <w:rsid w:val="00BD7066"/>
    <w:rsid w:val="00BD7079"/>
    <w:rsid w:val="00BD70F5"/>
    <w:rsid w:val="00BD75D0"/>
    <w:rsid w:val="00BD7E02"/>
    <w:rsid w:val="00BE00FD"/>
    <w:rsid w:val="00BE0728"/>
    <w:rsid w:val="00BE0CBE"/>
    <w:rsid w:val="00BE15F0"/>
    <w:rsid w:val="00BE19A2"/>
    <w:rsid w:val="00BE2094"/>
    <w:rsid w:val="00BE2DC6"/>
    <w:rsid w:val="00BE35C4"/>
    <w:rsid w:val="00BE4015"/>
    <w:rsid w:val="00BE45E9"/>
    <w:rsid w:val="00BE466B"/>
    <w:rsid w:val="00BE4848"/>
    <w:rsid w:val="00BE4D89"/>
    <w:rsid w:val="00BE50E8"/>
    <w:rsid w:val="00BE525B"/>
    <w:rsid w:val="00BE525E"/>
    <w:rsid w:val="00BE53C0"/>
    <w:rsid w:val="00BE5BB6"/>
    <w:rsid w:val="00BE69D1"/>
    <w:rsid w:val="00BE77BB"/>
    <w:rsid w:val="00BE789B"/>
    <w:rsid w:val="00BE7FA0"/>
    <w:rsid w:val="00BF2103"/>
    <w:rsid w:val="00BF2C09"/>
    <w:rsid w:val="00BF2C61"/>
    <w:rsid w:val="00BF3741"/>
    <w:rsid w:val="00BF404E"/>
    <w:rsid w:val="00BF45C9"/>
    <w:rsid w:val="00BF49E2"/>
    <w:rsid w:val="00BF4ED9"/>
    <w:rsid w:val="00BF4F4E"/>
    <w:rsid w:val="00BF5D3F"/>
    <w:rsid w:val="00BF5F3F"/>
    <w:rsid w:val="00BF64A6"/>
    <w:rsid w:val="00BF7155"/>
    <w:rsid w:val="00BF72C8"/>
    <w:rsid w:val="00C00233"/>
    <w:rsid w:val="00C007CB"/>
    <w:rsid w:val="00C00E90"/>
    <w:rsid w:val="00C01507"/>
    <w:rsid w:val="00C01AE2"/>
    <w:rsid w:val="00C02FB7"/>
    <w:rsid w:val="00C037D7"/>
    <w:rsid w:val="00C03B0D"/>
    <w:rsid w:val="00C03CB7"/>
    <w:rsid w:val="00C03E72"/>
    <w:rsid w:val="00C03F73"/>
    <w:rsid w:val="00C04975"/>
    <w:rsid w:val="00C0555B"/>
    <w:rsid w:val="00C05819"/>
    <w:rsid w:val="00C05CFC"/>
    <w:rsid w:val="00C065FF"/>
    <w:rsid w:val="00C06E59"/>
    <w:rsid w:val="00C075FC"/>
    <w:rsid w:val="00C10796"/>
    <w:rsid w:val="00C10CC1"/>
    <w:rsid w:val="00C10D9D"/>
    <w:rsid w:val="00C112AF"/>
    <w:rsid w:val="00C11958"/>
    <w:rsid w:val="00C11C65"/>
    <w:rsid w:val="00C11E67"/>
    <w:rsid w:val="00C120B1"/>
    <w:rsid w:val="00C120B6"/>
    <w:rsid w:val="00C12705"/>
    <w:rsid w:val="00C12B17"/>
    <w:rsid w:val="00C137FA"/>
    <w:rsid w:val="00C13E7A"/>
    <w:rsid w:val="00C140E4"/>
    <w:rsid w:val="00C150DB"/>
    <w:rsid w:val="00C1548A"/>
    <w:rsid w:val="00C17404"/>
    <w:rsid w:val="00C176D3"/>
    <w:rsid w:val="00C17EFE"/>
    <w:rsid w:val="00C20D66"/>
    <w:rsid w:val="00C20DD3"/>
    <w:rsid w:val="00C21D82"/>
    <w:rsid w:val="00C22374"/>
    <w:rsid w:val="00C22645"/>
    <w:rsid w:val="00C22DB3"/>
    <w:rsid w:val="00C23094"/>
    <w:rsid w:val="00C23765"/>
    <w:rsid w:val="00C246F3"/>
    <w:rsid w:val="00C25605"/>
    <w:rsid w:val="00C25A3D"/>
    <w:rsid w:val="00C260D6"/>
    <w:rsid w:val="00C2640F"/>
    <w:rsid w:val="00C264A3"/>
    <w:rsid w:val="00C274DE"/>
    <w:rsid w:val="00C27F13"/>
    <w:rsid w:val="00C308D9"/>
    <w:rsid w:val="00C3093C"/>
    <w:rsid w:val="00C30C19"/>
    <w:rsid w:val="00C312AA"/>
    <w:rsid w:val="00C31500"/>
    <w:rsid w:val="00C31677"/>
    <w:rsid w:val="00C3170D"/>
    <w:rsid w:val="00C3200C"/>
    <w:rsid w:val="00C3217B"/>
    <w:rsid w:val="00C32471"/>
    <w:rsid w:val="00C324DA"/>
    <w:rsid w:val="00C32D3C"/>
    <w:rsid w:val="00C341DC"/>
    <w:rsid w:val="00C3422B"/>
    <w:rsid w:val="00C34908"/>
    <w:rsid w:val="00C35A53"/>
    <w:rsid w:val="00C36126"/>
    <w:rsid w:val="00C411CD"/>
    <w:rsid w:val="00C41C4A"/>
    <w:rsid w:val="00C4256F"/>
    <w:rsid w:val="00C42F90"/>
    <w:rsid w:val="00C431C2"/>
    <w:rsid w:val="00C43D74"/>
    <w:rsid w:val="00C43F04"/>
    <w:rsid w:val="00C4415C"/>
    <w:rsid w:val="00C441F5"/>
    <w:rsid w:val="00C44990"/>
    <w:rsid w:val="00C44B29"/>
    <w:rsid w:val="00C4509B"/>
    <w:rsid w:val="00C459B7"/>
    <w:rsid w:val="00C46CD5"/>
    <w:rsid w:val="00C46D8E"/>
    <w:rsid w:val="00C46E2D"/>
    <w:rsid w:val="00C46E4D"/>
    <w:rsid w:val="00C47000"/>
    <w:rsid w:val="00C47580"/>
    <w:rsid w:val="00C47ACA"/>
    <w:rsid w:val="00C507D4"/>
    <w:rsid w:val="00C50D99"/>
    <w:rsid w:val="00C51139"/>
    <w:rsid w:val="00C51739"/>
    <w:rsid w:val="00C51929"/>
    <w:rsid w:val="00C51BB9"/>
    <w:rsid w:val="00C526B1"/>
    <w:rsid w:val="00C52A4B"/>
    <w:rsid w:val="00C52CD2"/>
    <w:rsid w:val="00C53245"/>
    <w:rsid w:val="00C53A0C"/>
    <w:rsid w:val="00C54B52"/>
    <w:rsid w:val="00C57BAA"/>
    <w:rsid w:val="00C57FC4"/>
    <w:rsid w:val="00C60886"/>
    <w:rsid w:val="00C61085"/>
    <w:rsid w:val="00C63215"/>
    <w:rsid w:val="00C635A4"/>
    <w:rsid w:val="00C63790"/>
    <w:rsid w:val="00C63D0F"/>
    <w:rsid w:val="00C641E0"/>
    <w:rsid w:val="00C64774"/>
    <w:rsid w:val="00C64AD6"/>
    <w:rsid w:val="00C65091"/>
    <w:rsid w:val="00C65570"/>
    <w:rsid w:val="00C65CC9"/>
    <w:rsid w:val="00C66B37"/>
    <w:rsid w:val="00C67431"/>
    <w:rsid w:val="00C67581"/>
    <w:rsid w:val="00C675A8"/>
    <w:rsid w:val="00C703B1"/>
    <w:rsid w:val="00C7044F"/>
    <w:rsid w:val="00C704F8"/>
    <w:rsid w:val="00C70BDC"/>
    <w:rsid w:val="00C71028"/>
    <w:rsid w:val="00C71921"/>
    <w:rsid w:val="00C72505"/>
    <w:rsid w:val="00C72D38"/>
    <w:rsid w:val="00C73A7E"/>
    <w:rsid w:val="00C74081"/>
    <w:rsid w:val="00C748CF"/>
    <w:rsid w:val="00C751D3"/>
    <w:rsid w:val="00C759D8"/>
    <w:rsid w:val="00C7607C"/>
    <w:rsid w:val="00C76533"/>
    <w:rsid w:val="00C77226"/>
    <w:rsid w:val="00C77EA8"/>
    <w:rsid w:val="00C80D6C"/>
    <w:rsid w:val="00C80FE5"/>
    <w:rsid w:val="00C815A3"/>
    <w:rsid w:val="00C82330"/>
    <w:rsid w:val="00C83025"/>
    <w:rsid w:val="00C83B82"/>
    <w:rsid w:val="00C84307"/>
    <w:rsid w:val="00C848B7"/>
    <w:rsid w:val="00C84FC3"/>
    <w:rsid w:val="00C8552E"/>
    <w:rsid w:val="00C85665"/>
    <w:rsid w:val="00C85DAB"/>
    <w:rsid w:val="00C86834"/>
    <w:rsid w:val="00C86E80"/>
    <w:rsid w:val="00C87219"/>
    <w:rsid w:val="00C87C8F"/>
    <w:rsid w:val="00C9098F"/>
    <w:rsid w:val="00C91103"/>
    <w:rsid w:val="00C91565"/>
    <w:rsid w:val="00C92B5E"/>
    <w:rsid w:val="00C92C95"/>
    <w:rsid w:val="00C92CC3"/>
    <w:rsid w:val="00C93016"/>
    <w:rsid w:val="00C930B0"/>
    <w:rsid w:val="00C9384B"/>
    <w:rsid w:val="00C939D0"/>
    <w:rsid w:val="00C93F89"/>
    <w:rsid w:val="00C952D5"/>
    <w:rsid w:val="00C95650"/>
    <w:rsid w:val="00C956D1"/>
    <w:rsid w:val="00C95960"/>
    <w:rsid w:val="00C95CD0"/>
    <w:rsid w:val="00C95F5E"/>
    <w:rsid w:val="00C962F4"/>
    <w:rsid w:val="00C9655D"/>
    <w:rsid w:val="00C96A94"/>
    <w:rsid w:val="00C96B70"/>
    <w:rsid w:val="00C96E43"/>
    <w:rsid w:val="00C97533"/>
    <w:rsid w:val="00C97E8D"/>
    <w:rsid w:val="00CA0763"/>
    <w:rsid w:val="00CA07C6"/>
    <w:rsid w:val="00CA07DB"/>
    <w:rsid w:val="00CA1302"/>
    <w:rsid w:val="00CA168D"/>
    <w:rsid w:val="00CA18FF"/>
    <w:rsid w:val="00CA190A"/>
    <w:rsid w:val="00CA1AAB"/>
    <w:rsid w:val="00CA3BA4"/>
    <w:rsid w:val="00CA3BBB"/>
    <w:rsid w:val="00CA4231"/>
    <w:rsid w:val="00CA4BE5"/>
    <w:rsid w:val="00CA4E5C"/>
    <w:rsid w:val="00CA59AF"/>
    <w:rsid w:val="00CA6250"/>
    <w:rsid w:val="00CA6400"/>
    <w:rsid w:val="00CA687B"/>
    <w:rsid w:val="00CA69C1"/>
    <w:rsid w:val="00CA701D"/>
    <w:rsid w:val="00CA79AD"/>
    <w:rsid w:val="00CB08A6"/>
    <w:rsid w:val="00CB0AB0"/>
    <w:rsid w:val="00CB0D6D"/>
    <w:rsid w:val="00CB1169"/>
    <w:rsid w:val="00CB1856"/>
    <w:rsid w:val="00CB187C"/>
    <w:rsid w:val="00CB1CA6"/>
    <w:rsid w:val="00CB1F32"/>
    <w:rsid w:val="00CB206A"/>
    <w:rsid w:val="00CB213C"/>
    <w:rsid w:val="00CB25CC"/>
    <w:rsid w:val="00CB280A"/>
    <w:rsid w:val="00CB2967"/>
    <w:rsid w:val="00CB2B61"/>
    <w:rsid w:val="00CB32CD"/>
    <w:rsid w:val="00CB33A3"/>
    <w:rsid w:val="00CB399B"/>
    <w:rsid w:val="00CB42BC"/>
    <w:rsid w:val="00CB4354"/>
    <w:rsid w:val="00CB468A"/>
    <w:rsid w:val="00CB4850"/>
    <w:rsid w:val="00CB4930"/>
    <w:rsid w:val="00CB4AC7"/>
    <w:rsid w:val="00CB4DAA"/>
    <w:rsid w:val="00CB4E8A"/>
    <w:rsid w:val="00CB4F68"/>
    <w:rsid w:val="00CB5C8F"/>
    <w:rsid w:val="00CB6151"/>
    <w:rsid w:val="00CB6F31"/>
    <w:rsid w:val="00CB7A24"/>
    <w:rsid w:val="00CC2BB9"/>
    <w:rsid w:val="00CC3083"/>
    <w:rsid w:val="00CC3A05"/>
    <w:rsid w:val="00CC4401"/>
    <w:rsid w:val="00CC4458"/>
    <w:rsid w:val="00CC4DD6"/>
    <w:rsid w:val="00CC4E2A"/>
    <w:rsid w:val="00CC4F42"/>
    <w:rsid w:val="00CC4FF1"/>
    <w:rsid w:val="00CC5205"/>
    <w:rsid w:val="00CC71D7"/>
    <w:rsid w:val="00CC748D"/>
    <w:rsid w:val="00CC7764"/>
    <w:rsid w:val="00CC7CE7"/>
    <w:rsid w:val="00CC7D59"/>
    <w:rsid w:val="00CC7EA0"/>
    <w:rsid w:val="00CD0187"/>
    <w:rsid w:val="00CD1252"/>
    <w:rsid w:val="00CD15EE"/>
    <w:rsid w:val="00CD2B19"/>
    <w:rsid w:val="00CD3701"/>
    <w:rsid w:val="00CD3F84"/>
    <w:rsid w:val="00CD50F0"/>
    <w:rsid w:val="00CD592D"/>
    <w:rsid w:val="00CD5D60"/>
    <w:rsid w:val="00CD61E9"/>
    <w:rsid w:val="00CD6531"/>
    <w:rsid w:val="00CD786D"/>
    <w:rsid w:val="00CD7A97"/>
    <w:rsid w:val="00CE0FA1"/>
    <w:rsid w:val="00CE1533"/>
    <w:rsid w:val="00CE24BA"/>
    <w:rsid w:val="00CE24ED"/>
    <w:rsid w:val="00CE2946"/>
    <w:rsid w:val="00CE3E69"/>
    <w:rsid w:val="00CE40B4"/>
    <w:rsid w:val="00CE43B2"/>
    <w:rsid w:val="00CE4E0B"/>
    <w:rsid w:val="00CE4FA6"/>
    <w:rsid w:val="00CE5968"/>
    <w:rsid w:val="00CE5CEF"/>
    <w:rsid w:val="00CE6029"/>
    <w:rsid w:val="00CE62B7"/>
    <w:rsid w:val="00CE6954"/>
    <w:rsid w:val="00CE6B70"/>
    <w:rsid w:val="00CE6DF7"/>
    <w:rsid w:val="00CE7532"/>
    <w:rsid w:val="00CE7EE1"/>
    <w:rsid w:val="00CF088E"/>
    <w:rsid w:val="00CF0C3B"/>
    <w:rsid w:val="00CF1AAF"/>
    <w:rsid w:val="00CF1E97"/>
    <w:rsid w:val="00CF2B82"/>
    <w:rsid w:val="00CF305A"/>
    <w:rsid w:val="00CF3291"/>
    <w:rsid w:val="00CF37F3"/>
    <w:rsid w:val="00CF4210"/>
    <w:rsid w:val="00CF5739"/>
    <w:rsid w:val="00CF5C4D"/>
    <w:rsid w:val="00CF6641"/>
    <w:rsid w:val="00CF7A74"/>
    <w:rsid w:val="00CF7E06"/>
    <w:rsid w:val="00D00212"/>
    <w:rsid w:val="00D00346"/>
    <w:rsid w:val="00D00E07"/>
    <w:rsid w:val="00D01EAC"/>
    <w:rsid w:val="00D02F8F"/>
    <w:rsid w:val="00D0321B"/>
    <w:rsid w:val="00D03527"/>
    <w:rsid w:val="00D03A99"/>
    <w:rsid w:val="00D04456"/>
    <w:rsid w:val="00D04FAB"/>
    <w:rsid w:val="00D050AA"/>
    <w:rsid w:val="00D05BE6"/>
    <w:rsid w:val="00D06980"/>
    <w:rsid w:val="00D06A62"/>
    <w:rsid w:val="00D06C7A"/>
    <w:rsid w:val="00D06EFB"/>
    <w:rsid w:val="00D07350"/>
    <w:rsid w:val="00D11218"/>
    <w:rsid w:val="00D11243"/>
    <w:rsid w:val="00D11683"/>
    <w:rsid w:val="00D117EC"/>
    <w:rsid w:val="00D118FE"/>
    <w:rsid w:val="00D11FDF"/>
    <w:rsid w:val="00D124A6"/>
    <w:rsid w:val="00D126FD"/>
    <w:rsid w:val="00D12A31"/>
    <w:rsid w:val="00D133E6"/>
    <w:rsid w:val="00D135D6"/>
    <w:rsid w:val="00D15364"/>
    <w:rsid w:val="00D154D8"/>
    <w:rsid w:val="00D1568E"/>
    <w:rsid w:val="00D15C6A"/>
    <w:rsid w:val="00D15D80"/>
    <w:rsid w:val="00D1607A"/>
    <w:rsid w:val="00D17803"/>
    <w:rsid w:val="00D204C6"/>
    <w:rsid w:val="00D20B32"/>
    <w:rsid w:val="00D20CA3"/>
    <w:rsid w:val="00D20D64"/>
    <w:rsid w:val="00D21456"/>
    <w:rsid w:val="00D21795"/>
    <w:rsid w:val="00D219E3"/>
    <w:rsid w:val="00D21E26"/>
    <w:rsid w:val="00D22949"/>
    <w:rsid w:val="00D24D9C"/>
    <w:rsid w:val="00D25311"/>
    <w:rsid w:val="00D2695D"/>
    <w:rsid w:val="00D26E1F"/>
    <w:rsid w:val="00D26F1E"/>
    <w:rsid w:val="00D2751D"/>
    <w:rsid w:val="00D27D12"/>
    <w:rsid w:val="00D301D4"/>
    <w:rsid w:val="00D308D7"/>
    <w:rsid w:val="00D30D02"/>
    <w:rsid w:val="00D31964"/>
    <w:rsid w:val="00D31FA6"/>
    <w:rsid w:val="00D31FEC"/>
    <w:rsid w:val="00D3215E"/>
    <w:rsid w:val="00D321C9"/>
    <w:rsid w:val="00D32464"/>
    <w:rsid w:val="00D32EC7"/>
    <w:rsid w:val="00D33264"/>
    <w:rsid w:val="00D33D22"/>
    <w:rsid w:val="00D34247"/>
    <w:rsid w:val="00D34688"/>
    <w:rsid w:val="00D34A15"/>
    <w:rsid w:val="00D355B7"/>
    <w:rsid w:val="00D3572F"/>
    <w:rsid w:val="00D35E59"/>
    <w:rsid w:val="00D3638B"/>
    <w:rsid w:val="00D3642A"/>
    <w:rsid w:val="00D40060"/>
    <w:rsid w:val="00D40220"/>
    <w:rsid w:val="00D416EE"/>
    <w:rsid w:val="00D41DBC"/>
    <w:rsid w:val="00D41FEF"/>
    <w:rsid w:val="00D42179"/>
    <w:rsid w:val="00D4268E"/>
    <w:rsid w:val="00D42975"/>
    <w:rsid w:val="00D42D15"/>
    <w:rsid w:val="00D43E7D"/>
    <w:rsid w:val="00D43FE6"/>
    <w:rsid w:val="00D445D7"/>
    <w:rsid w:val="00D446A9"/>
    <w:rsid w:val="00D44932"/>
    <w:rsid w:val="00D457F4"/>
    <w:rsid w:val="00D45DC0"/>
    <w:rsid w:val="00D4646A"/>
    <w:rsid w:val="00D47055"/>
    <w:rsid w:val="00D47450"/>
    <w:rsid w:val="00D47A31"/>
    <w:rsid w:val="00D47AF0"/>
    <w:rsid w:val="00D51BFA"/>
    <w:rsid w:val="00D52546"/>
    <w:rsid w:val="00D52D7B"/>
    <w:rsid w:val="00D54AD2"/>
    <w:rsid w:val="00D54B13"/>
    <w:rsid w:val="00D54C22"/>
    <w:rsid w:val="00D5526F"/>
    <w:rsid w:val="00D5702E"/>
    <w:rsid w:val="00D577F6"/>
    <w:rsid w:val="00D57958"/>
    <w:rsid w:val="00D57A28"/>
    <w:rsid w:val="00D57E81"/>
    <w:rsid w:val="00D6095A"/>
    <w:rsid w:val="00D60E85"/>
    <w:rsid w:val="00D60EDD"/>
    <w:rsid w:val="00D61880"/>
    <w:rsid w:val="00D623C9"/>
    <w:rsid w:val="00D62D3F"/>
    <w:rsid w:val="00D62E90"/>
    <w:rsid w:val="00D631A8"/>
    <w:rsid w:val="00D6329F"/>
    <w:rsid w:val="00D642F2"/>
    <w:rsid w:val="00D64F2A"/>
    <w:rsid w:val="00D6591E"/>
    <w:rsid w:val="00D65DCB"/>
    <w:rsid w:val="00D660EA"/>
    <w:rsid w:val="00D67D38"/>
    <w:rsid w:val="00D701B9"/>
    <w:rsid w:val="00D702F4"/>
    <w:rsid w:val="00D7033E"/>
    <w:rsid w:val="00D707EB"/>
    <w:rsid w:val="00D7090A"/>
    <w:rsid w:val="00D70977"/>
    <w:rsid w:val="00D70B39"/>
    <w:rsid w:val="00D70D55"/>
    <w:rsid w:val="00D71BC9"/>
    <w:rsid w:val="00D7278B"/>
    <w:rsid w:val="00D72AB9"/>
    <w:rsid w:val="00D741AC"/>
    <w:rsid w:val="00D755C4"/>
    <w:rsid w:val="00D75773"/>
    <w:rsid w:val="00D75AAA"/>
    <w:rsid w:val="00D75DA5"/>
    <w:rsid w:val="00D76161"/>
    <w:rsid w:val="00D76214"/>
    <w:rsid w:val="00D76711"/>
    <w:rsid w:val="00D76EB6"/>
    <w:rsid w:val="00D771FE"/>
    <w:rsid w:val="00D77295"/>
    <w:rsid w:val="00D778D4"/>
    <w:rsid w:val="00D80F0C"/>
    <w:rsid w:val="00D80F10"/>
    <w:rsid w:val="00D80FAA"/>
    <w:rsid w:val="00D81CD8"/>
    <w:rsid w:val="00D81EAF"/>
    <w:rsid w:val="00D8260E"/>
    <w:rsid w:val="00D82A1D"/>
    <w:rsid w:val="00D82B20"/>
    <w:rsid w:val="00D82E73"/>
    <w:rsid w:val="00D82FF3"/>
    <w:rsid w:val="00D831F7"/>
    <w:rsid w:val="00D84110"/>
    <w:rsid w:val="00D841D7"/>
    <w:rsid w:val="00D84668"/>
    <w:rsid w:val="00D848A8"/>
    <w:rsid w:val="00D85EB5"/>
    <w:rsid w:val="00D8642A"/>
    <w:rsid w:val="00D875A1"/>
    <w:rsid w:val="00D87D35"/>
    <w:rsid w:val="00D900C8"/>
    <w:rsid w:val="00D902FF"/>
    <w:rsid w:val="00D907C4"/>
    <w:rsid w:val="00D9129F"/>
    <w:rsid w:val="00D914ED"/>
    <w:rsid w:val="00D91D6F"/>
    <w:rsid w:val="00D9252D"/>
    <w:rsid w:val="00D9256B"/>
    <w:rsid w:val="00D930EE"/>
    <w:rsid w:val="00D934B3"/>
    <w:rsid w:val="00D93B2F"/>
    <w:rsid w:val="00D945B7"/>
    <w:rsid w:val="00D945E9"/>
    <w:rsid w:val="00D948D0"/>
    <w:rsid w:val="00D94C30"/>
    <w:rsid w:val="00D94DC6"/>
    <w:rsid w:val="00D950EA"/>
    <w:rsid w:val="00D9560B"/>
    <w:rsid w:val="00D95F9F"/>
    <w:rsid w:val="00D96AA8"/>
    <w:rsid w:val="00D97318"/>
    <w:rsid w:val="00D97E7D"/>
    <w:rsid w:val="00DA06E3"/>
    <w:rsid w:val="00DA06F4"/>
    <w:rsid w:val="00DA0B2A"/>
    <w:rsid w:val="00DA0B53"/>
    <w:rsid w:val="00DA1A96"/>
    <w:rsid w:val="00DA1B1B"/>
    <w:rsid w:val="00DA248E"/>
    <w:rsid w:val="00DA2CB1"/>
    <w:rsid w:val="00DA41C7"/>
    <w:rsid w:val="00DA46AD"/>
    <w:rsid w:val="00DA4E18"/>
    <w:rsid w:val="00DB0BCD"/>
    <w:rsid w:val="00DB0EFC"/>
    <w:rsid w:val="00DB0FF0"/>
    <w:rsid w:val="00DB1844"/>
    <w:rsid w:val="00DB1FC2"/>
    <w:rsid w:val="00DB24ED"/>
    <w:rsid w:val="00DB30FD"/>
    <w:rsid w:val="00DB31F2"/>
    <w:rsid w:val="00DB4684"/>
    <w:rsid w:val="00DB482C"/>
    <w:rsid w:val="00DB4984"/>
    <w:rsid w:val="00DB5988"/>
    <w:rsid w:val="00DB59AA"/>
    <w:rsid w:val="00DB5E28"/>
    <w:rsid w:val="00DB610D"/>
    <w:rsid w:val="00DB686A"/>
    <w:rsid w:val="00DB6F14"/>
    <w:rsid w:val="00DB7E83"/>
    <w:rsid w:val="00DC07F8"/>
    <w:rsid w:val="00DC1582"/>
    <w:rsid w:val="00DC20D7"/>
    <w:rsid w:val="00DC234D"/>
    <w:rsid w:val="00DC29FF"/>
    <w:rsid w:val="00DC38CB"/>
    <w:rsid w:val="00DC3915"/>
    <w:rsid w:val="00DC396A"/>
    <w:rsid w:val="00DC3CC4"/>
    <w:rsid w:val="00DC44B1"/>
    <w:rsid w:val="00DC4703"/>
    <w:rsid w:val="00DC4A67"/>
    <w:rsid w:val="00DC502D"/>
    <w:rsid w:val="00DC50D5"/>
    <w:rsid w:val="00DC577A"/>
    <w:rsid w:val="00DC57E5"/>
    <w:rsid w:val="00DC6352"/>
    <w:rsid w:val="00DC684A"/>
    <w:rsid w:val="00DC6990"/>
    <w:rsid w:val="00DC6ACB"/>
    <w:rsid w:val="00DD006D"/>
    <w:rsid w:val="00DD06F9"/>
    <w:rsid w:val="00DD0C97"/>
    <w:rsid w:val="00DD13DB"/>
    <w:rsid w:val="00DD19F9"/>
    <w:rsid w:val="00DD1DE7"/>
    <w:rsid w:val="00DD2789"/>
    <w:rsid w:val="00DD2881"/>
    <w:rsid w:val="00DD2DB4"/>
    <w:rsid w:val="00DD3004"/>
    <w:rsid w:val="00DD30CC"/>
    <w:rsid w:val="00DD32F9"/>
    <w:rsid w:val="00DD39AF"/>
    <w:rsid w:val="00DD4001"/>
    <w:rsid w:val="00DD41B7"/>
    <w:rsid w:val="00DD5998"/>
    <w:rsid w:val="00DD5BAC"/>
    <w:rsid w:val="00DD6479"/>
    <w:rsid w:val="00DD66BD"/>
    <w:rsid w:val="00DD6FBF"/>
    <w:rsid w:val="00DD75BA"/>
    <w:rsid w:val="00DD7CE8"/>
    <w:rsid w:val="00DD7DE6"/>
    <w:rsid w:val="00DE0B0D"/>
    <w:rsid w:val="00DE125E"/>
    <w:rsid w:val="00DE1D15"/>
    <w:rsid w:val="00DE2060"/>
    <w:rsid w:val="00DE2DC9"/>
    <w:rsid w:val="00DE3AB0"/>
    <w:rsid w:val="00DE4B04"/>
    <w:rsid w:val="00DE5047"/>
    <w:rsid w:val="00DE548B"/>
    <w:rsid w:val="00DE56CE"/>
    <w:rsid w:val="00DE5B1E"/>
    <w:rsid w:val="00DE6300"/>
    <w:rsid w:val="00DE6EC4"/>
    <w:rsid w:val="00DE70F4"/>
    <w:rsid w:val="00DE7B91"/>
    <w:rsid w:val="00DF04C0"/>
    <w:rsid w:val="00DF07BB"/>
    <w:rsid w:val="00DF0DA2"/>
    <w:rsid w:val="00DF17DA"/>
    <w:rsid w:val="00DF2192"/>
    <w:rsid w:val="00DF2A50"/>
    <w:rsid w:val="00DF2B19"/>
    <w:rsid w:val="00DF355A"/>
    <w:rsid w:val="00DF45D6"/>
    <w:rsid w:val="00DF46A2"/>
    <w:rsid w:val="00DF4A40"/>
    <w:rsid w:val="00DF5D1E"/>
    <w:rsid w:val="00DF6748"/>
    <w:rsid w:val="00DF67E9"/>
    <w:rsid w:val="00DF6C2D"/>
    <w:rsid w:val="00DF70CA"/>
    <w:rsid w:val="00E00659"/>
    <w:rsid w:val="00E01124"/>
    <w:rsid w:val="00E01752"/>
    <w:rsid w:val="00E01864"/>
    <w:rsid w:val="00E018EF"/>
    <w:rsid w:val="00E040B2"/>
    <w:rsid w:val="00E05404"/>
    <w:rsid w:val="00E05B50"/>
    <w:rsid w:val="00E05CCF"/>
    <w:rsid w:val="00E05DC6"/>
    <w:rsid w:val="00E061B7"/>
    <w:rsid w:val="00E0627F"/>
    <w:rsid w:val="00E06FF2"/>
    <w:rsid w:val="00E07668"/>
    <w:rsid w:val="00E1172D"/>
    <w:rsid w:val="00E11B09"/>
    <w:rsid w:val="00E12362"/>
    <w:rsid w:val="00E12418"/>
    <w:rsid w:val="00E12775"/>
    <w:rsid w:val="00E12799"/>
    <w:rsid w:val="00E1395E"/>
    <w:rsid w:val="00E145A9"/>
    <w:rsid w:val="00E14E7C"/>
    <w:rsid w:val="00E14F49"/>
    <w:rsid w:val="00E16383"/>
    <w:rsid w:val="00E16640"/>
    <w:rsid w:val="00E168D5"/>
    <w:rsid w:val="00E16E1A"/>
    <w:rsid w:val="00E16EDF"/>
    <w:rsid w:val="00E17C03"/>
    <w:rsid w:val="00E206DA"/>
    <w:rsid w:val="00E20A84"/>
    <w:rsid w:val="00E20CB2"/>
    <w:rsid w:val="00E20DE0"/>
    <w:rsid w:val="00E21385"/>
    <w:rsid w:val="00E21644"/>
    <w:rsid w:val="00E21C7A"/>
    <w:rsid w:val="00E21DF5"/>
    <w:rsid w:val="00E22232"/>
    <w:rsid w:val="00E23BF2"/>
    <w:rsid w:val="00E23D50"/>
    <w:rsid w:val="00E23E28"/>
    <w:rsid w:val="00E24856"/>
    <w:rsid w:val="00E24EAE"/>
    <w:rsid w:val="00E2524B"/>
    <w:rsid w:val="00E25FFD"/>
    <w:rsid w:val="00E2634D"/>
    <w:rsid w:val="00E279C4"/>
    <w:rsid w:val="00E30A67"/>
    <w:rsid w:val="00E30ABA"/>
    <w:rsid w:val="00E31478"/>
    <w:rsid w:val="00E3196E"/>
    <w:rsid w:val="00E327A2"/>
    <w:rsid w:val="00E3283C"/>
    <w:rsid w:val="00E34259"/>
    <w:rsid w:val="00E34662"/>
    <w:rsid w:val="00E34823"/>
    <w:rsid w:val="00E34C85"/>
    <w:rsid w:val="00E35C95"/>
    <w:rsid w:val="00E360B2"/>
    <w:rsid w:val="00E36BFA"/>
    <w:rsid w:val="00E36D85"/>
    <w:rsid w:val="00E37316"/>
    <w:rsid w:val="00E3750D"/>
    <w:rsid w:val="00E4065E"/>
    <w:rsid w:val="00E40B95"/>
    <w:rsid w:val="00E416FD"/>
    <w:rsid w:val="00E41A2E"/>
    <w:rsid w:val="00E42A7B"/>
    <w:rsid w:val="00E42F7B"/>
    <w:rsid w:val="00E436F5"/>
    <w:rsid w:val="00E43A16"/>
    <w:rsid w:val="00E43E59"/>
    <w:rsid w:val="00E444EC"/>
    <w:rsid w:val="00E451B7"/>
    <w:rsid w:val="00E458DE"/>
    <w:rsid w:val="00E46549"/>
    <w:rsid w:val="00E4684F"/>
    <w:rsid w:val="00E47508"/>
    <w:rsid w:val="00E47AE9"/>
    <w:rsid w:val="00E501FD"/>
    <w:rsid w:val="00E50D58"/>
    <w:rsid w:val="00E50F6A"/>
    <w:rsid w:val="00E512CF"/>
    <w:rsid w:val="00E51AC4"/>
    <w:rsid w:val="00E523B9"/>
    <w:rsid w:val="00E52F62"/>
    <w:rsid w:val="00E531EF"/>
    <w:rsid w:val="00E53876"/>
    <w:rsid w:val="00E53BFF"/>
    <w:rsid w:val="00E54055"/>
    <w:rsid w:val="00E555BB"/>
    <w:rsid w:val="00E56095"/>
    <w:rsid w:val="00E56621"/>
    <w:rsid w:val="00E57D56"/>
    <w:rsid w:val="00E601FD"/>
    <w:rsid w:val="00E60F3D"/>
    <w:rsid w:val="00E613DA"/>
    <w:rsid w:val="00E61A08"/>
    <w:rsid w:val="00E61B2E"/>
    <w:rsid w:val="00E61D77"/>
    <w:rsid w:val="00E6236F"/>
    <w:rsid w:val="00E63AB7"/>
    <w:rsid w:val="00E63D29"/>
    <w:rsid w:val="00E645AC"/>
    <w:rsid w:val="00E64872"/>
    <w:rsid w:val="00E64946"/>
    <w:rsid w:val="00E6498E"/>
    <w:rsid w:val="00E64F9C"/>
    <w:rsid w:val="00E6518A"/>
    <w:rsid w:val="00E65204"/>
    <w:rsid w:val="00E653D4"/>
    <w:rsid w:val="00E660D5"/>
    <w:rsid w:val="00E66377"/>
    <w:rsid w:val="00E66900"/>
    <w:rsid w:val="00E6706C"/>
    <w:rsid w:val="00E70799"/>
    <w:rsid w:val="00E70A34"/>
    <w:rsid w:val="00E70EDD"/>
    <w:rsid w:val="00E716D5"/>
    <w:rsid w:val="00E71837"/>
    <w:rsid w:val="00E729DD"/>
    <w:rsid w:val="00E73186"/>
    <w:rsid w:val="00E7470F"/>
    <w:rsid w:val="00E755E8"/>
    <w:rsid w:val="00E75D91"/>
    <w:rsid w:val="00E761B0"/>
    <w:rsid w:val="00E76416"/>
    <w:rsid w:val="00E766E5"/>
    <w:rsid w:val="00E76862"/>
    <w:rsid w:val="00E76A7A"/>
    <w:rsid w:val="00E76BF7"/>
    <w:rsid w:val="00E76DC5"/>
    <w:rsid w:val="00E7716D"/>
    <w:rsid w:val="00E777DF"/>
    <w:rsid w:val="00E77F23"/>
    <w:rsid w:val="00E80363"/>
    <w:rsid w:val="00E80698"/>
    <w:rsid w:val="00E809B4"/>
    <w:rsid w:val="00E80A02"/>
    <w:rsid w:val="00E80C5E"/>
    <w:rsid w:val="00E81B68"/>
    <w:rsid w:val="00E81C57"/>
    <w:rsid w:val="00E820E7"/>
    <w:rsid w:val="00E8221F"/>
    <w:rsid w:val="00E83001"/>
    <w:rsid w:val="00E833D8"/>
    <w:rsid w:val="00E8352C"/>
    <w:rsid w:val="00E837B8"/>
    <w:rsid w:val="00E839F7"/>
    <w:rsid w:val="00E859D1"/>
    <w:rsid w:val="00E85C95"/>
    <w:rsid w:val="00E862FA"/>
    <w:rsid w:val="00E867DD"/>
    <w:rsid w:val="00E8695A"/>
    <w:rsid w:val="00E86B8C"/>
    <w:rsid w:val="00E870F6"/>
    <w:rsid w:val="00E877F7"/>
    <w:rsid w:val="00E9011B"/>
    <w:rsid w:val="00E904B4"/>
    <w:rsid w:val="00E926AC"/>
    <w:rsid w:val="00E92794"/>
    <w:rsid w:val="00E92982"/>
    <w:rsid w:val="00E9328B"/>
    <w:rsid w:val="00E936EE"/>
    <w:rsid w:val="00E945DD"/>
    <w:rsid w:val="00E94E16"/>
    <w:rsid w:val="00E95496"/>
    <w:rsid w:val="00E955BD"/>
    <w:rsid w:val="00E95CB4"/>
    <w:rsid w:val="00E9670B"/>
    <w:rsid w:val="00E97142"/>
    <w:rsid w:val="00EA0530"/>
    <w:rsid w:val="00EA0D38"/>
    <w:rsid w:val="00EA0D8B"/>
    <w:rsid w:val="00EA1597"/>
    <w:rsid w:val="00EA1D03"/>
    <w:rsid w:val="00EA2010"/>
    <w:rsid w:val="00EA256F"/>
    <w:rsid w:val="00EA28C0"/>
    <w:rsid w:val="00EA34FA"/>
    <w:rsid w:val="00EA3AB1"/>
    <w:rsid w:val="00EA4249"/>
    <w:rsid w:val="00EA4922"/>
    <w:rsid w:val="00EA4BD9"/>
    <w:rsid w:val="00EA5CE2"/>
    <w:rsid w:val="00EA5E85"/>
    <w:rsid w:val="00EA5FC6"/>
    <w:rsid w:val="00EA642F"/>
    <w:rsid w:val="00EB0332"/>
    <w:rsid w:val="00EB0BD5"/>
    <w:rsid w:val="00EB10EB"/>
    <w:rsid w:val="00EB1746"/>
    <w:rsid w:val="00EB1932"/>
    <w:rsid w:val="00EB1BA5"/>
    <w:rsid w:val="00EB2948"/>
    <w:rsid w:val="00EB2C25"/>
    <w:rsid w:val="00EB31F7"/>
    <w:rsid w:val="00EB447E"/>
    <w:rsid w:val="00EB54EB"/>
    <w:rsid w:val="00EB6390"/>
    <w:rsid w:val="00EB6C2F"/>
    <w:rsid w:val="00EB7AF1"/>
    <w:rsid w:val="00EC0A83"/>
    <w:rsid w:val="00EC12A5"/>
    <w:rsid w:val="00EC14C5"/>
    <w:rsid w:val="00EC2C8B"/>
    <w:rsid w:val="00EC43B0"/>
    <w:rsid w:val="00EC4920"/>
    <w:rsid w:val="00EC492D"/>
    <w:rsid w:val="00EC4E49"/>
    <w:rsid w:val="00EC52D4"/>
    <w:rsid w:val="00EC591A"/>
    <w:rsid w:val="00EC65A2"/>
    <w:rsid w:val="00EC68D5"/>
    <w:rsid w:val="00EC713F"/>
    <w:rsid w:val="00EC72B9"/>
    <w:rsid w:val="00ED08AD"/>
    <w:rsid w:val="00ED110E"/>
    <w:rsid w:val="00ED168B"/>
    <w:rsid w:val="00ED1803"/>
    <w:rsid w:val="00ED1AF3"/>
    <w:rsid w:val="00ED1B9D"/>
    <w:rsid w:val="00ED21BD"/>
    <w:rsid w:val="00ED310A"/>
    <w:rsid w:val="00ED3732"/>
    <w:rsid w:val="00ED3AA1"/>
    <w:rsid w:val="00ED3B54"/>
    <w:rsid w:val="00ED469C"/>
    <w:rsid w:val="00ED476A"/>
    <w:rsid w:val="00ED47BC"/>
    <w:rsid w:val="00ED4823"/>
    <w:rsid w:val="00ED4E81"/>
    <w:rsid w:val="00ED51DB"/>
    <w:rsid w:val="00ED57C5"/>
    <w:rsid w:val="00ED57C7"/>
    <w:rsid w:val="00ED6B1A"/>
    <w:rsid w:val="00ED7C9F"/>
    <w:rsid w:val="00EE0450"/>
    <w:rsid w:val="00EE0601"/>
    <w:rsid w:val="00EE08BA"/>
    <w:rsid w:val="00EE1181"/>
    <w:rsid w:val="00EE172B"/>
    <w:rsid w:val="00EE2981"/>
    <w:rsid w:val="00EE2CD2"/>
    <w:rsid w:val="00EE3B88"/>
    <w:rsid w:val="00EE42BE"/>
    <w:rsid w:val="00EE4329"/>
    <w:rsid w:val="00EE6051"/>
    <w:rsid w:val="00EE72FD"/>
    <w:rsid w:val="00EE786D"/>
    <w:rsid w:val="00EE7BB1"/>
    <w:rsid w:val="00EF02B6"/>
    <w:rsid w:val="00EF11E5"/>
    <w:rsid w:val="00EF1573"/>
    <w:rsid w:val="00EF1809"/>
    <w:rsid w:val="00EF19A1"/>
    <w:rsid w:val="00EF279B"/>
    <w:rsid w:val="00EF2EF2"/>
    <w:rsid w:val="00EF326B"/>
    <w:rsid w:val="00EF4743"/>
    <w:rsid w:val="00EF4E1F"/>
    <w:rsid w:val="00EF577C"/>
    <w:rsid w:val="00EF594A"/>
    <w:rsid w:val="00EF5C2C"/>
    <w:rsid w:val="00EF5CBC"/>
    <w:rsid w:val="00EF693A"/>
    <w:rsid w:val="00EF7355"/>
    <w:rsid w:val="00EF7D43"/>
    <w:rsid w:val="00F00141"/>
    <w:rsid w:val="00F0033B"/>
    <w:rsid w:val="00F004A3"/>
    <w:rsid w:val="00F0090D"/>
    <w:rsid w:val="00F00CAB"/>
    <w:rsid w:val="00F00FE1"/>
    <w:rsid w:val="00F0190B"/>
    <w:rsid w:val="00F02A74"/>
    <w:rsid w:val="00F02CE9"/>
    <w:rsid w:val="00F04978"/>
    <w:rsid w:val="00F04A0C"/>
    <w:rsid w:val="00F04D21"/>
    <w:rsid w:val="00F051EB"/>
    <w:rsid w:val="00F05578"/>
    <w:rsid w:val="00F058D0"/>
    <w:rsid w:val="00F06246"/>
    <w:rsid w:val="00F066C2"/>
    <w:rsid w:val="00F07421"/>
    <w:rsid w:val="00F11B25"/>
    <w:rsid w:val="00F13C59"/>
    <w:rsid w:val="00F14468"/>
    <w:rsid w:val="00F152EC"/>
    <w:rsid w:val="00F15657"/>
    <w:rsid w:val="00F15EE9"/>
    <w:rsid w:val="00F160B2"/>
    <w:rsid w:val="00F16624"/>
    <w:rsid w:val="00F178A5"/>
    <w:rsid w:val="00F2079F"/>
    <w:rsid w:val="00F20A31"/>
    <w:rsid w:val="00F20EED"/>
    <w:rsid w:val="00F20F6E"/>
    <w:rsid w:val="00F219E2"/>
    <w:rsid w:val="00F225B4"/>
    <w:rsid w:val="00F22793"/>
    <w:rsid w:val="00F23ED8"/>
    <w:rsid w:val="00F23EF1"/>
    <w:rsid w:val="00F24109"/>
    <w:rsid w:val="00F24469"/>
    <w:rsid w:val="00F24753"/>
    <w:rsid w:val="00F24AD5"/>
    <w:rsid w:val="00F24B29"/>
    <w:rsid w:val="00F24FAC"/>
    <w:rsid w:val="00F25A36"/>
    <w:rsid w:val="00F25F8A"/>
    <w:rsid w:val="00F26200"/>
    <w:rsid w:val="00F26671"/>
    <w:rsid w:val="00F26B10"/>
    <w:rsid w:val="00F278AC"/>
    <w:rsid w:val="00F30D9E"/>
    <w:rsid w:val="00F315C4"/>
    <w:rsid w:val="00F33AF7"/>
    <w:rsid w:val="00F33B26"/>
    <w:rsid w:val="00F33D52"/>
    <w:rsid w:val="00F34D7C"/>
    <w:rsid w:val="00F355B4"/>
    <w:rsid w:val="00F3561E"/>
    <w:rsid w:val="00F35CC4"/>
    <w:rsid w:val="00F36018"/>
    <w:rsid w:val="00F36521"/>
    <w:rsid w:val="00F36BAB"/>
    <w:rsid w:val="00F36C40"/>
    <w:rsid w:val="00F36E54"/>
    <w:rsid w:val="00F37508"/>
    <w:rsid w:val="00F37A02"/>
    <w:rsid w:val="00F37AE0"/>
    <w:rsid w:val="00F37D14"/>
    <w:rsid w:val="00F411CF"/>
    <w:rsid w:val="00F41BC4"/>
    <w:rsid w:val="00F4277D"/>
    <w:rsid w:val="00F427E6"/>
    <w:rsid w:val="00F42AC8"/>
    <w:rsid w:val="00F43528"/>
    <w:rsid w:val="00F43CC5"/>
    <w:rsid w:val="00F43D6A"/>
    <w:rsid w:val="00F44059"/>
    <w:rsid w:val="00F443CD"/>
    <w:rsid w:val="00F4459A"/>
    <w:rsid w:val="00F44878"/>
    <w:rsid w:val="00F44D94"/>
    <w:rsid w:val="00F44FCC"/>
    <w:rsid w:val="00F4538F"/>
    <w:rsid w:val="00F46BEC"/>
    <w:rsid w:val="00F46D84"/>
    <w:rsid w:val="00F47F98"/>
    <w:rsid w:val="00F516F9"/>
    <w:rsid w:val="00F51AEC"/>
    <w:rsid w:val="00F525AE"/>
    <w:rsid w:val="00F5323E"/>
    <w:rsid w:val="00F533F9"/>
    <w:rsid w:val="00F5347E"/>
    <w:rsid w:val="00F5386D"/>
    <w:rsid w:val="00F5408E"/>
    <w:rsid w:val="00F54CC5"/>
    <w:rsid w:val="00F5539B"/>
    <w:rsid w:val="00F5554D"/>
    <w:rsid w:val="00F562BE"/>
    <w:rsid w:val="00F576FF"/>
    <w:rsid w:val="00F57B4C"/>
    <w:rsid w:val="00F57F33"/>
    <w:rsid w:val="00F6007F"/>
    <w:rsid w:val="00F602B4"/>
    <w:rsid w:val="00F60DE5"/>
    <w:rsid w:val="00F61651"/>
    <w:rsid w:val="00F61C96"/>
    <w:rsid w:val="00F622FF"/>
    <w:rsid w:val="00F62A41"/>
    <w:rsid w:val="00F62ED1"/>
    <w:rsid w:val="00F637FA"/>
    <w:rsid w:val="00F638E4"/>
    <w:rsid w:val="00F63B00"/>
    <w:rsid w:val="00F63CC5"/>
    <w:rsid w:val="00F6483F"/>
    <w:rsid w:val="00F64ED1"/>
    <w:rsid w:val="00F6668E"/>
    <w:rsid w:val="00F6728B"/>
    <w:rsid w:val="00F67528"/>
    <w:rsid w:val="00F679F3"/>
    <w:rsid w:val="00F702B1"/>
    <w:rsid w:val="00F7046E"/>
    <w:rsid w:val="00F705D7"/>
    <w:rsid w:val="00F717E3"/>
    <w:rsid w:val="00F71AC3"/>
    <w:rsid w:val="00F71C03"/>
    <w:rsid w:val="00F71EE7"/>
    <w:rsid w:val="00F724A7"/>
    <w:rsid w:val="00F72535"/>
    <w:rsid w:val="00F72652"/>
    <w:rsid w:val="00F726BB"/>
    <w:rsid w:val="00F72788"/>
    <w:rsid w:val="00F72E6E"/>
    <w:rsid w:val="00F73A87"/>
    <w:rsid w:val="00F73AEF"/>
    <w:rsid w:val="00F73DB3"/>
    <w:rsid w:val="00F74775"/>
    <w:rsid w:val="00F74D2C"/>
    <w:rsid w:val="00F75C4C"/>
    <w:rsid w:val="00F75D60"/>
    <w:rsid w:val="00F7699C"/>
    <w:rsid w:val="00F77088"/>
    <w:rsid w:val="00F772F6"/>
    <w:rsid w:val="00F77389"/>
    <w:rsid w:val="00F802DD"/>
    <w:rsid w:val="00F80539"/>
    <w:rsid w:val="00F80654"/>
    <w:rsid w:val="00F80C63"/>
    <w:rsid w:val="00F80DF9"/>
    <w:rsid w:val="00F81458"/>
    <w:rsid w:val="00F815E7"/>
    <w:rsid w:val="00F816FE"/>
    <w:rsid w:val="00F81781"/>
    <w:rsid w:val="00F81F03"/>
    <w:rsid w:val="00F82072"/>
    <w:rsid w:val="00F82C5E"/>
    <w:rsid w:val="00F840BD"/>
    <w:rsid w:val="00F843D6"/>
    <w:rsid w:val="00F84B94"/>
    <w:rsid w:val="00F84DF6"/>
    <w:rsid w:val="00F85CA8"/>
    <w:rsid w:val="00F862DC"/>
    <w:rsid w:val="00F86F5B"/>
    <w:rsid w:val="00F87360"/>
    <w:rsid w:val="00F9050A"/>
    <w:rsid w:val="00F90957"/>
    <w:rsid w:val="00F91705"/>
    <w:rsid w:val="00F91A3F"/>
    <w:rsid w:val="00F91F2B"/>
    <w:rsid w:val="00F93466"/>
    <w:rsid w:val="00F93CAE"/>
    <w:rsid w:val="00F947F0"/>
    <w:rsid w:val="00F948EB"/>
    <w:rsid w:val="00F949CE"/>
    <w:rsid w:val="00F9501C"/>
    <w:rsid w:val="00F95A4E"/>
    <w:rsid w:val="00F961B0"/>
    <w:rsid w:val="00F968B1"/>
    <w:rsid w:val="00F96D75"/>
    <w:rsid w:val="00F9716E"/>
    <w:rsid w:val="00FA014F"/>
    <w:rsid w:val="00FA0AAB"/>
    <w:rsid w:val="00FA1158"/>
    <w:rsid w:val="00FA152A"/>
    <w:rsid w:val="00FA1947"/>
    <w:rsid w:val="00FA1A65"/>
    <w:rsid w:val="00FA1E01"/>
    <w:rsid w:val="00FA3485"/>
    <w:rsid w:val="00FA35B8"/>
    <w:rsid w:val="00FA4278"/>
    <w:rsid w:val="00FA43E1"/>
    <w:rsid w:val="00FA4CF4"/>
    <w:rsid w:val="00FA517B"/>
    <w:rsid w:val="00FA63CE"/>
    <w:rsid w:val="00FA777D"/>
    <w:rsid w:val="00FB010D"/>
    <w:rsid w:val="00FB050D"/>
    <w:rsid w:val="00FB0916"/>
    <w:rsid w:val="00FB1236"/>
    <w:rsid w:val="00FB19DF"/>
    <w:rsid w:val="00FB2144"/>
    <w:rsid w:val="00FB2A9D"/>
    <w:rsid w:val="00FB3A76"/>
    <w:rsid w:val="00FB4ED3"/>
    <w:rsid w:val="00FB4F75"/>
    <w:rsid w:val="00FB5114"/>
    <w:rsid w:val="00FB5124"/>
    <w:rsid w:val="00FB54B9"/>
    <w:rsid w:val="00FB7A9F"/>
    <w:rsid w:val="00FB7DCF"/>
    <w:rsid w:val="00FC096E"/>
    <w:rsid w:val="00FC0CC7"/>
    <w:rsid w:val="00FC1174"/>
    <w:rsid w:val="00FC12F9"/>
    <w:rsid w:val="00FC13BF"/>
    <w:rsid w:val="00FC25BA"/>
    <w:rsid w:val="00FC2FD3"/>
    <w:rsid w:val="00FC30F3"/>
    <w:rsid w:val="00FC3356"/>
    <w:rsid w:val="00FC3CAC"/>
    <w:rsid w:val="00FC3FA5"/>
    <w:rsid w:val="00FC4D91"/>
    <w:rsid w:val="00FC4F36"/>
    <w:rsid w:val="00FC512C"/>
    <w:rsid w:val="00FC5E20"/>
    <w:rsid w:val="00FC6331"/>
    <w:rsid w:val="00FC63AB"/>
    <w:rsid w:val="00FC75CD"/>
    <w:rsid w:val="00FC75EF"/>
    <w:rsid w:val="00FC7686"/>
    <w:rsid w:val="00FC7B1F"/>
    <w:rsid w:val="00FC7D10"/>
    <w:rsid w:val="00FC7EF5"/>
    <w:rsid w:val="00FD0B99"/>
    <w:rsid w:val="00FD0DC1"/>
    <w:rsid w:val="00FD0F37"/>
    <w:rsid w:val="00FD114A"/>
    <w:rsid w:val="00FD1583"/>
    <w:rsid w:val="00FD20C8"/>
    <w:rsid w:val="00FD2491"/>
    <w:rsid w:val="00FD2585"/>
    <w:rsid w:val="00FD2F9E"/>
    <w:rsid w:val="00FD2FE9"/>
    <w:rsid w:val="00FD3F19"/>
    <w:rsid w:val="00FD4384"/>
    <w:rsid w:val="00FD5041"/>
    <w:rsid w:val="00FD5429"/>
    <w:rsid w:val="00FD54E7"/>
    <w:rsid w:val="00FD60DF"/>
    <w:rsid w:val="00FD63F2"/>
    <w:rsid w:val="00FD69C7"/>
    <w:rsid w:val="00FD6C29"/>
    <w:rsid w:val="00FE16B5"/>
    <w:rsid w:val="00FE16E1"/>
    <w:rsid w:val="00FE1AD6"/>
    <w:rsid w:val="00FE1DD6"/>
    <w:rsid w:val="00FE20BB"/>
    <w:rsid w:val="00FE281C"/>
    <w:rsid w:val="00FE29E5"/>
    <w:rsid w:val="00FE30AF"/>
    <w:rsid w:val="00FE4301"/>
    <w:rsid w:val="00FE4DC3"/>
    <w:rsid w:val="00FE5415"/>
    <w:rsid w:val="00FE5627"/>
    <w:rsid w:val="00FE5806"/>
    <w:rsid w:val="00FE7076"/>
    <w:rsid w:val="00FE736F"/>
    <w:rsid w:val="00FE7415"/>
    <w:rsid w:val="00FE7A94"/>
    <w:rsid w:val="00FF04C8"/>
    <w:rsid w:val="00FF06D0"/>
    <w:rsid w:val="00FF0E8F"/>
    <w:rsid w:val="00FF125D"/>
    <w:rsid w:val="00FF303A"/>
    <w:rsid w:val="00FF3B66"/>
    <w:rsid w:val="00FF4FBD"/>
    <w:rsid w:val="00FF588B"/>
    <w:rsid w:val="00FF5923"/>
    <w:rsid w:val="00FF5AC5"/>
    <w:rsid w:val="00FF5F51"/>
    <w:rsid w:val="00FF6386"/>
    <w:rsid w:val="00FF67A2"/>
    <w:rsid w:val="00FF6C93"/>
    <w:rsid w:val="00FF75E5"/>
    <w:rsid w:val="00FF7A45"/>
    <w:rsid w:val="0161A8AB"/>
    <w:rsid w:val="04409729"/>
    <w:rsid w:val="04FB35AC"/>
    <w:rsid w:val="1477049A"/>
    <w:rsid w:val="305114B3"/>
    <w:rsid w:val="3A3C98FA"/>
    <w:rsid w:val="3B98139E"/>
    <w:rsid w:val="3C000C18"/>
    <w:rsid w:val="3F6BF1B5"/>
    <w:rsid w:val="40F5DEE7"/>
    <w:rsid w:val="41FD725D"/>
    <w:rsid w:val="4326EBD1"/>
    <w:rsid w:val="468C117A"/>
    <w:rsid w:val="46D37955"/>
    <w:rsid w:val="47C75361"/>
    <w:rsid w:val="4AC3D3F0"/>
    <w:rsid w:val="4BE71263"/>
    <w:rsid w:val="4CFEDA6D"/>
    <w:rsid w:val="5227BEB1"/>
    <w:rsid w:val="57B78EE2"/>
    <w:rsid w:val="5E5CE20B"/>
    <w:rsid w:val="5E819E8D"/>
    <w:rsid w:val="6055CE52"/>
    <w:rsid w:val="61242EB9"/>
    <w:rsid w:val="617B60A2"/>
    <w:rsid w:val="65D0141C"/>
    <w:rsid w:val="6AB62C6F"/>
    <w:rsid w:val="74734609"/>
    <w:rsid w:val="7AD9EB83"/>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news.microsoft.com%2Fcovid-19-response%2F&amp;data=02%7C01%7CKyle.Vikstrom%40microsoft.com%7C54d3cd47d7c9488fcdd208d7e3047e4f%7C72f988bf86f141af91ab2d7cd011db47%7C1%7C0%7C637227480744780861&amp;sdata=X2Llg09xrwH0S3kJYeDFcvUS7RiL5UEbKwrVhC8vkCQ%3D&amp;reserved=0" TargetMode="External"/><Relationship Id="rId13" Type="http://schemas.openxmlformats.org/officeDocument/2006/relationships/hyperlink" Target="mailto:rrt@we-worldwid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23" Type="http://schemas.openxmlformats.org/officeDocument/2006/relationships/footer" Target="footer4.xml"/><Relationship Id="rId10" Type="http://schemas.openxmlformats.org/officeDocument/2006/relationships/hyperlink" Target="https://nam06.safelinks.protection.outlook.com/?url=https%3A%2F%2Fwww.microsoft.com%2Fen-us%2FInvestor%2Fcorporate-governance%2Foverview.aspx&amp;data=02%7C01%7CKyle.Vikstrom%40microsoft.com%7Cf2640f287c074db5572d08d7987cedea%7C72f988bf86f141af91ab2d7cd011db47%7C1%7C0%7C637145534643805832&amp;sdata=1uqhOVqqhH1ciibJknIAfwFgU5Dvzey8Rw8lhKVxquU%3D&amp;reserved=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ka.ms/MSFTFY20Q4ProductReleaseList" TargetMode="External"/><Relationship Id="rId14" Type="http://schemas.openxmlformats.org/officeDocument/2006/relationships/hyperlink" Target="http://www.microsoft.com/news"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FC7D-B9DE-4BB6-811F-C72A36A9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5097</Words>
  <Characters>29055</Characters>
  <Application>Microsoft Office Word</Application>
  <DocSecurity>0</DocSecurity>
  <Lines>242</Lines>
  <Paragraphs>68</Paragraphs>
  <ScaleCrop>false</ScaleCrop>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2020-07-21T21:41:00Z</dcterms:created>
  <dcterms:modified xsi:type="dcterms:W3CDTF">2020-07-21T21:41:00Z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2020-07-21T21:41:48Z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367a31c0-0251-4c26-bbb2-025e00139c16</vt:lpwstr>
  </property>
  <property fmtid="{D5CDD505-2E9C-101B-9397-08002B2CF9AE}" pid="8" name="MSIP_Label_f42aa342-8706-4288-bd11-ebb85995028c_ContentBits">
    <vt:lpwstr>0</vt:lpwstr>
  </property>
</Properties>
</file>