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98E5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Fonts w:eastAsiaTheme="minorHAnsi"/>
          <w:b/>
          <w:bCs/>
          <w:noProof/>
          <w:lang w:val="lt-LT"/>
        </w:rPr>
        <w:drawing>
          <wp:inline distT="0" distB="0" distL="0" distR="0" wp14:anchorId="30F2B9B7" wp14:editId="6ACB8189">
            <wp:extent cx="2724150" cy="1511300"/>
            <wp:effectExtent l="0" t="0" r="0" b="0"/>
            <wp:docPr id="1" name="Paveikslėlis 1" descr="Paveikslėlis, kuriame yra diagra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veikslėlis, kuriame yra diagrama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E3">
        <w:rPr>
          <w:rStyle w:val="eop"/>
          <w:rFonts w:eastAsiaTheme="majorEastAsia"/>
          <w:sz w:val="32"/>
          <w:lang w:val="lt-LT"/>
        </w:rPr>
        <w:t> </w:t>
      </w:r>
    </w:p>
    <w:p w14:paraId="4077601C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32"/>
          <w:lang w:val="lt-LT"/>
        </w:rPr>
        <w:t> </w:t>
      </w:r>
    </w:p>
    <w:p w14:paraId="3EAEE09F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32"/>
          <w:lang w:val="lt-LT"/>
        </w:rPr>
        <w:t> </w:t>
      </w:r>
    </w:p>
    <w:p w14:paraId="55EC146B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32"/>
          <w:lang w:val="lt-LT"/>
        </w:rPr>
        <w:t> </w:t>
      </w:r>
    </w:p>
    <w:p w14:paraId="5CD832D9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32"/>
          <w:lang w:val="lt-LT"/>
        </w:rPr>
        <w:t> </w:t>
      </w:r>
    </w:p>
    <w:p w14:paraId="6D2390D6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normaltextrun"/>
          <w:sz w:val="32"/>
          <w:szCs w:val="32"/>
          <w:lang w:val="lt-LT"/>
        </w:rPr>
        <w:t>MATEMATIKOS IR INFORMATIKOS</w:t>
      </w:r>
      <w:r w:rsidRPr="008277E3">
        <w:rPr>
          <w:rStyle w:val="eop"/>
          <w:rFonts w:eastAsiaTheme="majorEastAsia"/>
          <w:sz w:val="32"/>
          <w:lang w:val="lt-LT"/>
        </w:rPr>
        <w:t> </w:t>
      </w:r>
    </w:p>
    <w:p w14:paraId="08785210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normaltextrun"/>
          <w:sz w:val="32"/>
          <w:szCs w:val="32"/>
          <w:lang w:val="lt-LT"/>
        </w:rPr>
        <w:t>FAKULTETAS </w:t>
      </w:r>
      <w:r w:rsidRPr="008277E3">
        <w:rPr>
          <w:rStyle w:val="eop"/>
          <w:rFonts w:eastAsiaTheme="majorEastAsia"/>
          <w:sz w:val="32"/>
          <w:lang w:val="lt-LT"/>
        </w:rPr>
        <w:t> </w:t>
      </w:r>
    </w:p>
    <w:p w14:paraId="0AF0EE15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32"/>
          <w:lang w:val="lt-LT"/>
        </w:rPr>
        <w:t> </w:t>
      </w:r>
    </w:p>
    <w:p w14:paraId="57EA4CEE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32"/>
          <w:lang w:val="lt-LT"/>
        </w:rPr>
        <w:t> </w:t>
      </w:r>
    </w:p>
    <w:p w14:paraId="5296343B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32"/>
          <w:lang w:val="lt-LT"/>
        </w:rPr>
        <w:t> </w:t>
      </w:r>
    </w:p>
    <w:p w14:paraId="675E993E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32"/>
          <w:lang w:val="lt-LT"/>
        </w:rPr>
        <w:t> </w:t>
      </w:r>
    </w:p>
    <w:p w14:paraId="3329C940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32"/>
          <w:lang w:val="lt-LT"/>
        </w:rPr>
        <w:t> </w:t>
      </w:r>
    </w:p>
    <w:p w14:paraId="651A5B0A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32"/>
          <w:lang w:val="lt-LT"/>
        </w:rPr>
        <w:t>  </w:t>
      </w:r>
    </w:p>
    <w:p w14:paraId="3F2370B7" w14:textId="4D0C0F62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sz w:val="32"/>
          <w:szCs w:val="32"/>
          <w:lang w:val="lt-LT"/>
        </w:rPr>
        <w:t>KVANTILIŲ R</w:t>
      </w:r>
      <w:r w:rsidR="00863240" w:rsidRPr="008277E3">
        <w:rPr>
          <w:rStyle w:val="eop"/>
          <w:sz w:val="32"/>
          <w:szCs w:val="32"/>
          <w:lang w:val="lt-LT"/>
        </w:rPr>
        <w:t>EGRESIJA</w:t>
      </w:r>
    </w:p>
    <w:p w14:paraId="4DA7ED67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normaltextrun"/>
          <w:lang w:val="lt-LT"/>
        </w:rPr>
        <w:t>Laboratorinis darbas</w:t>
      </w:r>
      <w:r w:rsidRPr="008277E3">
        <w:rPr>
          <w:rStyle w:val="eop"/>
          <w:rFonts w:eastAsiaTheme="majorEastAsia"/>
          <w:lang w:val="lt-LT"/>
        </w:rPr>
        <w:t> </w:t>
      </w:r>
    </w:p>
    <w:p w14:paraId="3E4B68DA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lang w:val="lt-LT"/>
        </w:rPr>
        <w:t> </w:t>
      </w:r>
    </w:p>
    <w:p w14:paraId="6E024444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lang w:val="lt-LT"/>
        </w:rPr>
        <w:t> </w:t>
      </w:r>
    </w:p>
    <w:p w14:paraId="6801D312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lang w:val="lt-LT"/>
        </w:rPr>
        <w:t> </w:t>
      </w:r>
    </w:p>
    <w:p w14:paraId="290B48CF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</w:p>
    <w:p w14:paraId="30F4FCED" w14:textId="77777777" w:rsidR="004A2A9B" w:rsidRPr="008277E3" w:rsidRDefault="004A2A9B" w:rsidP="004A2A9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lang w:val="lt-LT"/>
        </w:rPr>
        <w:t> </w:t>
      </w:r>
    </w:p>
    <w:p w14:paraId="4197CDC4" w14:textId="77777777" w:rsidR="004A2A9B" w:rsidRPr="008277E3" w:rsidRDefault="004A2A9B" w:rsidP="004A2A9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20"/>
          <w:szCs w:val="20"/>
          <w:lang w:val="lt-LT"/>
        </w:rPr>
        <w:t>  </w:t>
      </w:r>
    </w:p>
    <w:p w14:paraId="77BD9E7C" w14:textId="77777777" w:rsidR="004A2A9B" w:rsidRPr="008277E3" w:rsidRDefault="004A2A9B" w:rsidP="004A2A9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20"/>
          <w:szCs w:val="20"/>
          <w:lang w:val="lt-LT"/>
        </w:rPr>
        <w:t> </w:t>
      </w:r>
    </w:p>
    <w:p w14:paraId="4075E36C" w14:textId="77777777" w:rsidR="004A2A9B" w:rsidRPr="008277E3" w:rsidRDefault="004A2A9B" w:rsidP="004A2A9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20"/>
          <w:szCs w:val="20"/>
          <w:lang w:val="lt-LT"/>
        </w:rPr>
        <w:t> </w:t>
      </w:r>
    </w:p>
    <w:p w14:paraId="05A28120" w14:textId="77777777" w:rsidR="004A2A9B" w:rsidRPr="008277E3" w:rsidRDefault="004A2A9B" w:rsidP="004A2A9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lang w:val="lt-LT"/>
        </w:rPr>
      </w:pPr>
      <w:r w:rsidRPr="008277E3">
        <w:rPr>
          <w:rStyle w:val="normaltextrun"/>
          <w:lang w:val="lt-LT"/>
        </w:rPr>
        <w:t>Atliko: Simona Gelžinytė,</w:t>
      </w:r>
    </w:p>
    <w:p w14:paraId="2FFFED43" w14:textId="77777777" w:rsidR="004A2A9B" w:rsidRPr="008277E3" w:rsidRDefault="004A2A9B" w:rsidP="004A2A9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lang w:val="lt-LT"/>
        </w:rPr>
      </w:pPr>
      <w:proofErr w:type="spellStart"/>
      <w:r w:rsidRPr="008277E3">
        <w:rPr>
          <w:rStyle w:val="normaltextrun"/>
          <w:lang w:val="lt-LT"/>
        </w:rPr>
        <w:t>Laineda</w:t>
      </w:r>
      <w:proofErr w:type="spellEnd"/>
      <w:r w:rsidRPr="008277E3">
        <w:rPr>
          <w:rStyle w:val="normaltextrun"/>
          <w:lang w:val="lt-LT"/>
        </w:rPr>
        <w:t xml:space="preserve"> Morkytė, </w:t>
      </w:r>
    </w:p>
    <w:p w14:paraId="083DF6D0" w14:textId="77777777" w:rsidR="004A2A9B" w:rsidRPr="008277E3" w:rsidRDefault="004A2A9B" w:rsidP="004A2A9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lt-LT"/>
        </w:rPr>
      </w:pPr>
      <w:r w:rsidRPr="008277E3">
        <w:rPr>
          <w:rStyle w:val="normaltextrun"/>
          <w:lang w:val="lt-LT"/>
        </w:rPr>
        <w:t xml:space="preserve">Austėja </w:t>
      </w:r>
      <w:proofErr w:type="spellStart"/>
      <w:r w:rsidRPr="008277E3">
        <w:rPr>
          <w:rStyle w:val="normaltextrun"/>
          <w:lang w:val="lt-LT"/>
        </w:rPr>
        <w:t>Valeikaitė</w:t>
      </w:r>
      <w:proofErr w:type="spellEnd"/>
      <w:r w:rsidRPr="008277E3">
        <w:rPr>
          <w:rStyle w:val="normaltextrun"/>
          <w:lang w:val="lt-LT"/>
        </w:rPr>
        <w:t>,</w:t>
      </w:r>
    </w:p>
    <w:p w14:paraId="4C324A60" w14:textId="77777777" w:rsidR="004A2A9B" w:rsidRPr="008277E3" w:rsidRDefault="004A2A9B" w:rsidP="004A2A9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lt-LT"/>
        </w:rPr>
      </w:pPr>
      <w:r w:rsidRPr="008277E3">
        <w:rPr>
          <w:rStyle w:val="normaltextrun"/>
          <w:lang w:val="lt-LT"/>
        </w:rPr>
        <w:t>duomenų mokslas 3 k. 2gr.</w:t>
      </w:r>
    </w:p>
    <w:p w14:paraId="405C2349" w14:textId="77777777" w:rsidR="004A2A9B" w:rsidRPr="008277E3" w:rsidRDefault="004A2A9B" w:rsidP="004A2A9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20"/>
          <w:szCs w:val="20"/>
          <w:lang w:val="lt-LT"/>
        </w:rPr>
        <w:t> </w:t>
      </w:r>
    </w:p>
    <w:p w14:paraId="7564D6E7" w14:textId="77777777" w:rsidR="00607F4C" w:rsidRPr="008277E3" w:rsidRDefault="00607F4C" w:rsidP="004A2A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0"/>
          <w:szCs w:val="20"/>
          <w:lang w:val="lt-LT"/>
        </w:rPr>
      </w:pPr>
    </w:p>
    <w:p w14:paraId="52330315" w14:textId="77777777" w:rsidR="00607F4C" w:rsidRPr="008277E3" w:rsidRDefault="00607F4C" w:rsidP="004A2A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0"/>
          <w:szCs w:val="20"/>
          <w:lang w:val="lt-LT"/>
        </w:rPr>
      </w:pPr>
    </w:p>
    <w:p w14:paraId="3EF5F7D0" w14:textId="77777777" w:rsidR="00607F4C" w:rsidRPr="008277E3" w:rsidRDefault="00607F4C" w:rsidP="004A2A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0"/>
          <w:szCs w:val="20"/>
          <w:lang w:val="lt-LT"/>
        </w:rPr>
      </w:pPr>
    </w:p>
    <w:p w14:paraId="4EEB0846" w14:textId="77777777" w:rsidR="00607F4C" w:rsidRPr="008277E3" w:rsidRDefault="00607F4C" w:rsidP="004A2A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0"/>
          <w:szCs w:val="20"/>
          <w:lang w:val="lt-LT"/>
        </w:rPr>
      </w:pPr>
    </w:p>
    <w:p w14:paraId="6006680B" w14:textId="77777777" w:rsidR="00607F4C" w:rsidRPr="008277E3" w:rsidRDefault="00607F4C" w:rsidP="004A2A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0"/>
          <w:szCs w:val="20"/>
          <w:lang w:val="lt-LT"/>
        </w:rPr>
      </w:pPr>
    </w:p>
    <w:p w14:paraId="500ED7E9" w14:textId="77777777" w:rsidR="00607F4C" w:rsidRPr="008277E3" w:rsidRDefault="00607F4C" w:rsidP="004A2A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0"/>
          <w:szCs w:val="20"/>
          <w:lang w:val="lt-LT"/>
        </w:rPr>
      </w:pPr>
    </w:p>
    <w:p w14:paraId="4DA85610" w14:textId="77777777" w:rsidR="00607F4C" w:rsidRPr="008277E3" w:rsidRDefault="00607F4C" w:rsidP="004A2A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0"/>
          <w:szCs w:val="20"/>
          <w:lang w:val="lt-LT"/>
        </w:rPr>
      </w:pPr>
    </w:p>
    <w:p w14:paraId="1BBF17D8" w14:textId="77777777" w:rsidR="00607F4C" w:rsidRPr="008277E3" w:rsidRDefault="00607F4C" w:rsidP="004A2A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0"/>
          <w:szCs w:val="20"/>
          <w:lang w:val="lt-LT"/>
        </w:rPr>
      </w:pPr>
    </w:p>
    <w:p w14:paraId="3502A495" w14:textId="77777777" w:rsidR="00607F4C" w:rsidRPr="008277E3" w:rsidRDefault="00607F4C" w:rsidP="004A2A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0"/>
          <w:szCs w:val="20"/>
          <w:lang w:val="lt-LT"/>
        </w:rPr>
      </w:pPr>
    </w:p>
    <w:p w14:paraId="1B8972E4" w14:textId="77777777" w:rsidR="00607F4C" w:rsidRPr="008277E3" w:rsidRDefault="00607F4C" w:rsidP="004A2A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0"/>
          <w:szCs w:val="20"/>
          <w:lang w:val="lt-LT"/>
        </w:rPr>
      </w:pPr>
    </w:p>
    <w:p w14:paraId="29C27C44" w14:textId="77777777" w:rsidR="004A2A9B" w:rsidRPr="008277E3" w:rsidRDefault="004A2A9B" w:rsidP="004A2A9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20"/>
          <w:szCs w:val="20"/>
          <w:lang w:val="lt-LT"/>
        </w:rPr>
        <w:t>   </w:t>
      </w:r>
    </w:p>
    <w:p w14:paraId="252600E4" w14:textId="77777777" w:rsidR="004A2A9B" w:rsidRPr="008277E3" w:rsidRDefault="004A2A9B" w:rsidP="004A2A9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lt-LT"/>
        </w:rPr>
      </w:pPr>
      <w:r w:rsidRPr="008277E3">
        <w:rPr>
          <w:rStyle w:val="eop"/>
          <w:rFonts w:eastAsiaTheme="majorEastAsia"/>
          <w:sz w:val="20"/>
          <w:szCs w:val="20"/>
          <w:lang w:val="lt-LT"/>
        </w:rPr>
        <w:t> </w:t>
      </w:r>
    </w:p>
    <w:p w14:paraId="2A98549C" w14:textId="2102ECAC" w:rsidR="004A2A9B" w:rsidRPr="008277E3" w:rsidRDefault="004A2A9B" w:rsidP="00607F4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lt-LT"/>
        </w:rPr>
      </w:pPr>
      <w:r w:rsidRPr="008277E3">
        <w:rPr>
          <w:rStyle w:val="normaltextrun"/>
          <w:lang w:val="lt-LT"/>
        </w:rPr>
        <w:t>Vilnius, 2023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val="lt-LT"/>
        </w:rPr>
        <w:id w:val="1748308816"/>
        <w:docPartObj>
          <w:docPartGallery w:val="Table of Contents"/>
          <w:docPartUnique/>
        </w:docPartObj>
      </w:sdtPr>
      <w:sdtEndPr/>
      <w:sdtContent>
        <w:p w14:paraId="5DBF9460" w14:textId="2B35C93E" w:rsidR="009B26E1" w:rsidRPr="00650ABD" w:rsidRDefault="00785C0B" w:rsidP="009B26E1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lt-LT"/>
            </w:rPr>
          </w:pPr>
          <w:r w:rsidRPr="00650ABD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lt-LT"/>
            </w:rPr>
            <w:t>TURINYS</w:t>
          </w:r>
        </w:p>
        <w:p w14:paraId="47800623" w14:textId="77777777" w:rsidR="009B26E1" w:rsidRPr="008277E3" w:rsidRDefault="009B26E1" w:rsidP="009B26E1">
          <w:pPr>
            <w:rPr>
              <w:lang w:val="lt-LT"/>
            </w:rPr>
          </w:pPr>
        </w:p>
        <w:p w14:paraId="4EBCAE09" w14:textId="64724B1D" w:rsidR="009B5348" w:rsidRPr="008277E3" w:rsidRDefault="009B26E1" w:rsidP="009B5348">
          <w:pPr>
            <w:pStyle w:val="TOC1"/>
            <w:rPr>
              <w:rFonts w:eastAsiaTheme="minorEastAsia"/>
              <w:b w:val="0"/>
              <w:lang w:eastAsia="en-GB"/>
            </w:rPr>
          </w:pPr>
          <w:r w:rsidRPr="008277E3">
            <w:rPr>
              <w:b w:val="0"/>
              <w:bCs w:val="0"/>
              <w:noProof w:val="0"/>
              <w:color w:val="000000" w:themeColor="text1"/>
            </w:rPr>
            <w:fldChar w:fldCharType="begin"/>
          </w:r>
          <w:r w:rsidRPr="008277E3">
            <w:rPr>
              <w:b w:val="0"/>
              <w:bCs w:val="0"/>
              <w:color w:val="000000" w:themeColor="text1"/>
            </w:rPr>
            <w:instrText xml:space="preserve"> TOC \o "1-3" \h \z \u </w:instrText>
          </w:r>
          <w:r w:rsidRPr="008277E3">
            <w:rPr>
              <w:b w:val="0"/>
              <w:bCs w:val="0"/>
              <w:noProof w:val="0"/>
              <w:color w:val="000000" w:themeColor="text1"/>
            </w:rPr>
            <w:fldChar w:fldCharType="separate"/>
          </w:r>
          <w:hyperlink w:anchor="_Toc132666363" w:history="1">
            <w:r w:rsidR="009B5348" w:rsidRPr="008277E3">
              <w:rPr>
                <w:rStyle w:val="Hyperlink"/>
                <w:b w:val="0"/>
                <w:bCs w:val="0"/>
              </w:rPr>
              <w:t>1.</w:t>
            </w:r>
            <w:r w:rsidR="009B5348" w:rsidRPr="008277E3">
              <w:rPr>
                <w:rFonts w:eastAsiaTheme="minorEastAsia"/>
                <w:b w:val="0"/>
                <w:lang w:eastAsia="en-GB"/>
              </w:rPr>
              <w:tab/>
            </w:r>
            <w:r w:rsidR="009B5348" w:rsidRPr="008277E3">
              <w:rPr>
                <w:rStyle w:val="Hyperlink"/>
                <w:b w:val="0"/>
                <w:bCs w:val="0"/>
              </w:rPr>
              <w:t>ĮVADAS</w:t>
            </w:r>
            <w:r w:rsidR="009B5348" w:rsidRPr="008277E3">
              <w:rPr>
                <w:b w:val="0"/>
                <w:bCs w:val="0"/>
                <w:webHidden/>
              </w:rPr>
              <w:tab/>
            </w:r>
            <w:r w:rsidR="009B5348" w:rsidRPr="008277E3">
              <w:rPr>
                <w:b w:val="0"/>
                <w:bCs w:val="0"/>
                <w:webHidden/>
              </w:rPr>
              <w:fldChar w:fldCharType="begin"/>
            </w:r>
            <w:r w:rsidR="009B5348" w:rsidRPr="008277E3">
              <w:rPr>
                <w:b w:val="0"/>
                <w:bCs w:val="0"/>
                <w:webHidden/>
              </w:rPr>
              <w:instrText xml:space="preserve"> PAGEREF _Toc132666363 \h </w:instrText>
            </w:r>
            <w:r w:rsidR="009B5348" w:rsidRPr="008277E3">
              <w:rPr>
                <w:b w:val="0"/>
                <w:bCs w:val="0"/>
                <w:webHidden/>
              </w:rPr>
            </w:r>
            <w:r w:rsidR="009B5348" w:rsidRPr="008277E3">
              <w:rPr>
                <w:b w:val="0"/>
                <w:bCs w:val="0"/>
                <w:webHidden/>
              </w:rPr>
              <w:fldChar w:fldCharType="separate"/>
            </w:r>
            <w:r w:rsidR="009B5348" w:rsidRPr="008277E3">
              <w:rPr>
                <w:b w:val="0"/>
                <w:bCs w:val="0"/>
                <w:webHidden/>
              </w:rPr>
              <w:t>3</w:t>
            </w:r>
            <w:r w:rsidR="009B5348" w:rsidRPr="008277E3">
              <w:rPr>
                <w:b w:val="0"/>
                <w:bCs w:val="0"/>
                <w:webHidden/>
              </w:rPr>
              <w:fldChar w:fldCharType="end"/>
            </w:r>
          </w:hyperlink>
        </w:p>
        <w:p w14:paraId="376D7AA5" w14:textId="7F143010" w:rsidR="009B5348" w:rsidRPr="008277E3" w:rsidRDefault="0060241B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sz w:val="24"/>
              <w:szCs w:val="24"/>
              <w:lang w:val="lt-LT" w:eastAsia="en-GB"/>
            </w:rPr>
          </w:pPr>
          <w:hyperlink w:anchor="_Toc132666364" w:history="1">
            <w:r w:rsidR="009B5348" w:rsidRPr="008277E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lt-LT"/>
              </w:rPr>
              <w:t>1.1</w:t>
            </w:r>
            <w:r w:rsidR="009B5348" w:rsidRPr="008277E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lt-LT" w:eastAsia="en-GB"/>
              </w:rPr>
              <w:tab/>
            </w:r>
            <w:r w:rsidR="009B5348" w:rsidRPr="008277E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lt-LT"/>
              </w:rPr>
              <w:t>Tyrimo tikslas</w:t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tab/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fldChar w:fldCharType="begin"/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instrText xml:space="preserve"> PAGEREF _Toc132666364 \h </w:instrText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fldChar w:fldCharType="separate"/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t>3</w:t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fldChar w:fldCharType="end"/>
            </w:r>
          </w:hyperlink>
        </w:p>
        <w:p w14:paraId="7E06CA94" w14:textId="0F2D5F06" w:rsidR="009B5348" w:rsidRPr="008277E3" w:rsidRDefault="0060241B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sz w:val="24"/>
              <w:szCs w:val="24"/>
              <w:lang w:val="lt-LT" w:eastAsia="en-GB"/>
            </w:rPr>
          </w:pPr>
          <w:hyperlink w:anchor="_Toc132666365" w:history="1">
            <w:r w:rsidR="009B5348" w:rsidRPr="008277E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lt-LT"/>
              </w:rPr>
              <w:t>1.2</w:t>
            </w:r>
            <w:r w:rsidR="009B5348" w:rsidRPr="008277E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lt-LT" w:eastAsia="en-GB"/>
              </w:rPr>
              <w:tab/>
            </w:r>
            <w:r w:rsidR="009B5348" w:rsidRPr="008277E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lt-LT"/>
              </w:rPr>
              <w:t>Tyrimo uždaviniai</w:t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tab/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fldChar w:fldCharType="begin"/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instrText xml:space="preserve"> PAGEREF _Toc132666365 \h </w:instrText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fldChar w:fldCharType="separate"/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t>3</w:t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fldChar w:fldCharType="end"/>
            </w:r>
          </w:hyperlink>
        </w:p>
        <w:p w14:paraId="65968A45" w14:textId="798E78D0" w:rsidR="009B5348" w:rsidRPr="008277E3" w:rsidRDefault="0060241B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sz w:val="24"/>
              <w:szCs w:val="24"/>
              <w:lang w:val="lt-LT" w:eastAsia="en-GB"/>
            </w:rPr>
          </w:pPr>
          <w:hyperlink w:anchor="_Toc132666366" w:history="1">
            <w:r w:rsidR="009B5348" w:rsidRPr="008277E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lt-LT"/>
              </w:rPr>
              <w:t>1.3</w:t>
            </w:r>
            <w:r w:rsidR="009B5348" w:rsidRPr="008277E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lt-LT" w:eastAsia="en-GB"/>
              </w:rPr>
              <w:tab/>
            </w:r>
            <w:r w:rsidR="009B5348" w:rsidRPr="008277E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lt-LT"/>
              </w:rPr>
              <w:t>Duomenys ir programinė įranga</w:t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tab/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fldChar w:fldCharType="begin"/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instrText xml:space="preserve"> PAGEREF _Toc132666366 \h </w:instrText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fldChar w:fldCharType="separate"/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t>3</w:t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fldChar w:fldCharType="end"/>
            </w:r>
          </w:hyperlink>
        </w:p>
        <w:p w14:paraId="5B4378AB" w14:textId="7BF0C49D" w:rsidR="009B5348" w:rsidRPr="008277E3" w:rsidRDefault="0060241B" w:rsidP="009B5348">
          <w:pPr>
            <w:pStyle w:val="TOC1"/>
            <w:rPr>
              <w:rFonts w:eastAsiaTheme="minorEastAsia"/>
              <w:b w:val="0"/>
              <w:lang w:eastAsia="en-GB"/>
            </w:rPr>
          </w:pPr>
          <w:hyperlink w:anchor="_Toc132666367" w:history="1">
            <w:r w:rsidR="009B5348" w:rsidRPr="008277E3">
              <w:rPr>
                <w:rStyle w:val="Hyperlink"/>
                <w:b w:val="0"/>
                <w:bCs w:val="0"/>
              </w:rPr>
              <w:t>2.</w:t>
            </w:r>
            <w:r w:rsidR="009B5348" w:rsidRPr="008277E3">
              <w:rPr>
                <w:rFonts w:eastAsiaTheme="minorEastAsia"/>
                <w:b w:val="0"/>
                <w:lang w:eastAsia="en-GB"/>
              </w:rPr>
              <w:tab/>
            </w:r>
            <w:r w:rsidR="009B5348" w:rsidRPr="008277E3">
              <w:rPr>
                <w:rStyle w:val="Hyperlink"/>
                <w:b w:val="0"/>
                <w:bCs w:val="0"/>
              </w:rPr>
              <w:t>KVANTILIŲ REGRESIJOS MODELIS</w:t>
            </w:r>
            <w:r w:rsidR="009B5348" w:rsidRPr="008277E3">
              <w:rPr>
                <w:b w:val="0"/>
                <w:bCs w:val="0"/>
                <w:webHidden/>
              </w:rPr>
              <w:tab/>
            </w:r>
            <w:r w:rsidR="009B5348" w:rsidRPr="008277E3">
              <w:rPr>
                <w:b w:val="0"/>
                <w:bCs w:val="0"/>
                <w:webHidden/>
              </w:rPr>
              <w:fldChar w:fldCharType="begin"/>
            </w:r>
            <w:r w:rsidR="009B5348" w:rsidRPr="008277E3">
              <w:rPr>
                <w:b w:val="0"/>
                <w:bCs w:val="0"/>
                <w:webHidden/>
              </w:rPr>
              <w:instrText xml:space="preserve"> PAGEREF _Toc132666367 \h </w:instrText>
            </w:r>
            <w:r w:rsidR="009B5348" w:rsidRPr="008277E3">
              <w:rPr>
                <w:b w:val="0"/>
                <w:bCs w:val="0"/>
                <w:webHidden/>
              </w:rPr>
            </w:r>
            <w:r w:rsidR="009B5348" w:rsidRPr="008277E3">
              <w:rPr>
                <w:b w:val="0"/>
                <w:bCs w:val="0"/>
                <w:webHidden/>
              </w:rPr>
              <w:fldChar w:fldCharType="separate"/>
            </w:r>
            <w:r w:rsidR="009B5348" w:rsidRPr="008277E3">
              <w:rPr>
                <w:b w:val="0"/>
                <w:bCs w:val="0"/>
                <w:webHidden/>
              </w:rPr>
              <w:t>4</w:t>
            </w:r>
            <w:r w:rsidR="009B5348" w:rsidRPr="008277E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6791EC6" w14:textId="4F75272C" w:rsidR="009B5348" w:rsidRPr="008277E3" w:rsidRDefault="0060241B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sz w:val="24"/>
              <w:szCs w:val="24"/>
              <w:lang w:val="lt-LT" w:eastAsia="en-GB"/>
            </w:rPr>
          </w:pPr>
          <w:hyperlink w:anchor="_Toc132666368" w:history="1">
            <w:r w:rsidR="009B5348" w:rsidRPr="008277E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lt-LT"/>
              </w:rPr>
              <w:t>2.1</w:t>
            </w:r>
            <w:r w:rsidR="009B5348" w:rsidRPr="008277E3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lt-LT" w:eastAsia="en-GB"/>
              </w:rPr>
              <w:tab/>
            </w:r>
            <w:r w:rsidR="009B5348" w:rsidRPr="008277E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lt-LT"/>
              </w:rPr>
              <w:t>Kvantilių regresijos modelis naudojant R</w:t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tab/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fldChar w:fldCharType="begin"/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instrText xml:space="preserve"> PAGEREF _Toc132666368 \h </w:instrText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fldChar w:fldCharType="separate"/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t>4</w:t>
            </w:r>
            <w:r w:rsidR="009B5348" w:rsidRPr="008277E3">
              <w:rPr>
                <w:rFonts w:ascii="Times New Roman" w:hAnsi="Times New Roman" w:cs="Times New Roman"/>
                <w:b w:val="0"/>
                <w:webHidden/>
                <w:lang w:val="lt-LT"/>
              </w:rPr>
              <w:fldChar w:fldCharType="end"/>
            </w:r>
          </w:hyperlink>
        </w:p>
        <w:p w14:paraId="2F9E65ED" w14:textId="7251012A" w:rsidR="009B5348" w:rsidRPr="008277E3" w:rsidRDefault="0060241B" w:rsidP="009B5348">
          <w:pPr>
            <w:pStyle w:val="TOC1"/>
            <w:rPr>
              <w:rFonts w:eastAsiaTheme="minorEastAsia"/>
              <w:b w:val="0"/>
              <w:lang w:eastAsia="en-GB"/>
            </w:rPr>
          </w:pPr>
          <w:hyperlink w:anchor="_Toc132666369" w:history="1">
            <w:r w:rsidR="009B5348" w:rsidRPr="008277E3">
              <w:rPr>
                <w:rStyle w:val="Hyperlink"/>
                <w:b w:val="0"/>
                <w:bCs w:val="0"/>
              </w:rPr>
              <w:t>3.</w:t>
            </w:r>
            <w:r w:rsidR="009B5348" w:rsidRPr="008277E3">
              <w:rPr>
                <w:rFonts w:eastAsiaTheme="minorEastAsia"/>
                <w:b w:val="0"/>
                <w:lang w:eastAsia="en-GB"/>
              </w:rPr>
              <w:tab/>
            </w:r>
            <w:r w:rsidR="009B5348" w:rsidRPr="008277E3">
              <w:rPr>
                <w:rStyle w:val="Hyperlink"/>
                <w:b w:val="0"/>
                <w:bCs w:val="0"/>
              </w:rPr>
              <w:t>IŠVADOS</w:t>
            </w:r>
            <w:r w:rsidR="009B5348" w:rsidRPr="008277E3">
              <w:rPr>
                <w:b w:val="0"/>
                <w:bCs w:val="0"/>
                <w:webHidden/>
              </w:rPr>
              <w:tab/>
            </w:r>
            <w:r w:rsidR="009B5348" w:rsidRPr="008277E3">
              <w:rPr>
                <w:b w:val="0"/>
                <w:bCs w:val="0"/>
                <w:webHidden/>
              </w:rPr>
              <w:fldChar w:fldCharType="begin"/>
            </w:r>
            <w:r w:rsidR="009B5348" w:rsidRPr="008277E3">
              <w:rPr>
                <w:b w:val="0"/>
                <w:bCs w:val="0"/>
                <w:webHidden/>
              </w:rPr>
              <w:instrText xml:space="preserve"> PAGEREF _Toc132666369 \h </w:instrText>
            </w:r>
            <w:r w:rsidR="009B5348" w:rsidRPr="008277E3">
              <w:rPr>
                <w:b w:val="0"/>
                <w:bCs w:val="0"/>
                <w:webHidden/>
              </w:rPr>
            </w:r>
            <w:r w:rsidR="009B5348" w:rsidRPr="008277E3">
              <w:rPr>
                <w:b w:val="0"/>
                <w:bCs w:val="0"/>
                <w:webHidden/>
              </w:rPr>
              <w:fldChar w:fldCharType="separate"/>
            </w:r>
            <w:r w:rsidR="009B5348" w:rsidRPr="008277E3">
              <w:rPr>
                <w:b w:val="0"/>
                <w:bCs w:val="0"/>
                <w:webHidden/>
              </w:rPr>
              <w:t>4</w:t>
            </w:r>
            <w:r w:rsidR="009B5348" w:rsidRPr="008277E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AC1519" w14:textId="6AB90053" w:rsidR="009B26E1" w:rsidRPr="008277E3" w:rsidRDefault="009B26E1" w:rsidP="009B26E1">
          <w:pPr>
            <w:jc w:val="center"/>
            <w:rPr>
              <w:rFonts w:ascii="Times New Roman" w:hAnsi="Times New Roman" w:cs="Times New Roman"/>
              <w:color w:val="000000" w:themeColor="text1"/>
              <w:lang w:val="lt-LT"/>
            </w:rPr>
          </w:pPr>
          <w:r w:rsidRPr="008277E3">
            <w:rPr>
              <w:rFonts w:ascii="Times New Roman" w:hAnsi="Times New Roman" w:cs="Times New Roman"/>
              <w:noProof/>
              <w:color w:val="000000" w:themeColor="text1"/>
              <w:lang w:val="lt-LT"/>
            </w:rPr>
            <w:fldChar w:fldCharType="end"/>
          </w:r>
        </w:p>
      </w:sdtContent>
    </w:sdt>
    <w:p w14:paraId="2909856A" w14:textId="01B25C87" w:rsidR="009B26E1" w:rsidRPr="008277E3" w:rsidRDefault="00E67FF3" w:rsidP="00E67FF3">
      <w:pPr>
        <w:spacing w:after="0" w:line="240" w:lineRule="auto"/>
        <w:rPr>
          <w:lang w:val="lt-LT"/>
        </w:rPr>
      </w:pPr>
      <w:r w:rsidRPr="008277E3">
        <w:rPr>
          <w:lang w:val="lt-LT"/>
        </w:rPr>
        <w:br w:type="page"/>
      </w:r>
    </w:p>
    <w:p w14:paraId="40E85EB8" w14:textId="77777777" w:rsidR="006B6863" w:rsidRPr="00650ABD" w:rsidRDefault="006B6863" w:rsidP="00DE0112">
      <w:pPr>
        <w:pStyle w:val="Heading1"/>
        <w:numPr>
          <w:ilvl w:val="0"/>
          <w:numId w:val="1"/>
        </w:numPr>
        <w:spacing w:before="480" w:after="240"/>
        <w:rPr>
          <w:szCs w:val="28"/>
          <w:lang w:val="lt-LT"/>
        </w:rPr>
      </w:pPr>
      <w:bookmarkStart w:id="0" w:name="_Toc130137939"/>
      <w:bookmarkStart w:id="1" w:name="_Toc132666363"/>
      <w:r w:rsidRPr="00650ABD">
        <w:rPr>
          <w:szCs w:val="28"/>
          <w:lang w:val="lt-LT"/>
        </w:rPr>
        <w:lastRenderedPageBreak/>
        <w:t>ĮVADAS</w:t>
      </w:r>
      <w:bookmarkEnd w:id="0"/>
      <w:bookmarkEnd w:id="1"/>
    </w:p>
    <w:p w14:paraId="2D8695AE" w14:textId="77777777" w:rsidR="006B6863" w:rsidRPr="008277E3" w:rsidRDefault="006B6863" w:rsidP="00E402F8">
      <w:pPr>
        <w:pStyle w:val="Heading2"/>
        <w:numPr>
          <w:ilvl w:val="1"/>
          <w:numId w:val="1"/>
        </w:numPr>
        <w:spacing w:before="160" w:after="120" w:line="360" w:lineRule="auto"/>
        <w:rPr>
          <w:lang w:val="lt-LT"/>
        </w:rPr>
      </w:pPr>
      <w:bookmarkStart w:id="2" w:name="_Toc130137940"/>
      <w:bookmarkStart w:id="3" w:name="_Toc132666364"/>
      <w:r w:rsidRPr="008277E3">
        <w:rPr>
          <w:lang w:val="lt-LT"/>
        </w:rPr>
        <w:t>Tyrimo tikslas</w:t>
      </w:r>
      <w:bookmarkEnd w:id="2"/>
      <w:bookmarkEnd w:id="3"/>
    </w:p>
    <w:p w14:paraId="1F291013" w14:textId="48D087B4" w:rsidR="006B6863" w:rsidRPr="008277E3" w:rsidRDefault="006B6863" w:rsidP="00E550F0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P</w:t>
      </w:r>
      <w:r w:rsidR="00FD65B3" w:rsidRPr="008277E3">
        <w:rPr>
          <w:rFonts w:asciiTheme="majorBidi" w:hAnsiTheme="majorBidi" w:cstheme="majorBidi"/>
          <w:sz w:val="24"/>
          <w:szCs w:val="24"/>
          <w:lang w:val="lt-LT"/>
        </w:rPr>
        <w:t xml:space="preserve">ritaikyti kvantilių regresijos modelį </w:t>
      </w:r>
      <w:r w:rsidR="00554123" w:rsidRPr="008277E3">
        <w:rPr>
          <w:rFonts w:asciiTheme="majorBidi" w:hAnsiTheme="majorBidi" w:cstheme="majorBidi"/>
          <w:sz w:val="24"/>
          <w:szCs w:val="24"/>
          <w:lang w:val="lt-LT"/>
        </w:rPr>
        <w:t>pasirinktiems duomenims</w:t>
      </w:r>
      <w:r w:rsidR="00CE475F" w:rsidRPr="008277E3">
        <w:rPr>
          <w:rFonts w:asciiTheme="majorBidi" w:hAnsiTheme="majorBidi" w:cstheme="majorBidi"/>
          <w:sz w:val="24"/>
          <w:szCs w:val="24"/>
          <w:lang w:val="lt-LT"/>
        </w:rPr>
        <w:t>.</w:t>
      </w:r>
    </w:p>
    <w:p w14:paraId="055A76E8" w14:textId="77777777" w:rsidR="006B6863" w:rsidRPr="008277E3" w:rsidRDefault="006B6863" w:rsidP="00E402F8">
      <w:pPr>
        <w:pStyle w:val="Heading2"/>
        <w:numPr>
          <w:ilvl w:val="1"/>
          <w:numId w:val="1"/>
        </w:numPr>
        <w:spacing w:before="160" w:after="120" w:line="360" w:lineRule="auto"/>
        <w:rPr>
          <w:lang w:val="lt-LT"/>
        </w:rPr>
      </w:pPr>
      <w:bookmarkStart w:id="4" w:name="_Toc130137941"/>
      <w:bookmarkStart w:id="5" w:name="_Toc132666365"/>
      <w:r w:rsidRPr="008277E3">
        <w:rPr>
          <w:lang w:val="lt-LT"/>
        </w:rPr>
        <w:t>Tyrimo uždaviniai</w:t>
      </w:r>
      <w:bookmarkEnd w:id="4"/>
      <w:bookmarkEnd w:id="5"/>
    </w:p>
    <w:p w14:paraId="7A905920" w14:textId="77777777" w:rsidR="006B6863" w:rsidRPr="008277E3" w:rsidRDefault="006B6863" w:rsidP="00986FC3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Atlikti pirminę duomenų analizę;</w:t>
      </w:r>
    </w:p>
    <w:p w14:paraId="0EB81F55" w14:textId="77777777" w:rsidR="006B6863" w:rsidRPr="008277E3" w:rsidRDefault="006B6863" w:rsidP="00986FC3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Patikrinti modelio prielaidas;</w:t>
      </w:r>
    </w:p>
    <w:p w14:paraId="4896B959" w14:textId="77777777" w:rsidR="006B6863" w:rsidRPr="008277E3" w:rsidRDefault="006B6863" w:rsidP="00986FC3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Sukonstruoti modelį;</w:t>
      </w:r>
    </w:p>
    <w:p w14:paraId="19EFE438" w14:textId="15D0C968" w:rsidR="003170AD" w:rsidRPr="008277E3" w:rsidRDefault="003170AD" w:rsidP="00986FC3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Įvertinti modelio tinkamumą;</w:t>
      </w:r>
    </w:p>
    <w:p w14:paraId="2477A594" w14:textId="77777777" w:rsidR="006B6863" w:rsidRPr="008277E3" w:rsidRDefault="006B6863" w:rsidP="00986FC3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Pateikti gauto modelio interpretacijas;</w:t>
      </w:r>
    </w:p>
    <w:p w14:paraId="1D17E49A" w14:textId="77777777" w:rsidR="006B6863" w:rsidRPr="008277E3" w:rsidRDefault="006B6863" w:rsidP="00986FC3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Apibendrinti gautus rezultatus, pateikti išvadas.</w:t>
      </w:r>
    </w:p>
    <w:p w14:paraId="38A9A683" w14:textId="77777777" w:rsidR="006B6863" w:rsidRPr="008277E3" w:rsidRDefault="006B6863" w:rsidP="00E402F8">
      <w:pPr>
        <w:pStyle w:val="Heading2"/>
        <w:numPr>
          <w:ilvl w:val="1"/>
          <w:numId w:val="1"/>
        </w:numPr>
        <w:spacing w:before="160" w:after="120" w:line="360" w:lineRule="auto"/>
        <w:rPr>
          <w:lang w:val="lt-LT"/>
        </w:rPr>
      </w:pPr>
      <w:bookmarkStart w:id="6" w:name="_Toc130137942"/>
      <w:bookmarkStart w:id="7" w:name="_Toc132666366"/>
      <w:r w:rsidRPr="008277E3">
        <w:rPr>
          <w:lang w:val="lt-LT"/>
        </w:rPr>
        <w:t>Duomenys ir programinė įranga</w:t>
      </w:r>
      <w:bookmarkEnd w:id="6"/>
      <w:bookmarkEnd w:id="7"/>
    </w:p>
    <w:p w14:paraId="462CF49B" w14:textId="741698DE" w:rsidR="00450CFC" w:rsidRPr="008277E3" w:rsidRDefault="006B6863" w:rsidP="007E6C42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Duomen</w:t>
      </w:r>
      <w:r w:rsidR="00450CFC" w:rsidRPr="008277E3">
        <w:rPr>
          <w:rFonts w:asciiTheme="majorBidi" w:hAnsiTheme="majorBidi" w:cstheme="majorBidi"/>
          <w:sz w:val="24"/>
          <w:szCs w:val="24"/>
          <w:lang w:val="lt-LT"/>
        </w:rPr>
        <w:t xml:space="preserve">ų rinkinys pasirinktas </w:t>
      </w:r>
      <w:r w:rsidR="00F97CED" w:rsidRPr="008277E3">
        <w:rPr>
          <w:rFonts w:asciiTheme="majorBidi" w:hAnsiTheme="majorBidi" w:cstheme="majorBidi"/>
          <w:sz w:val="24"/>
          <w:szCs w:val="24"/>
          <w:lang w:val="lt-LT"/>
        </w:rPr>
        <w:t>apie nėštumus 1960-1967 m. tarp San Francisko Rytų įlankos regiono moterų</w:t>
      </w:r>
      <w:r w:rsidRPr="008277E3">
        <w:rPr>
          <w:rFonts w:asciiTheme="majorBidi" w:hAnsiTheme="majorBidi" w:cstheme="majorBidi"/>
          <w:sz w:val="24"/>
          <w:szCs w:val="24"/>
          <w:lang w:val="lt-LT"/>
        </w:rPr>
        <w:t xml:space="preserve">. </w:t>
      </w:r>
      <w:r w:rsidR="00017347" w:rsidRPr="008277E3">
        <w:rPr>
          <w:rFonts w:asciiTheme="majorBidi" w:hAnsiTheme="majorBidi" w:cstheme="majorBidi"/>
          <w:sz w:val="24"/>
          <w:szCs w:val="24"/>
          <w:lang w:val="lt-LT"/>
        </w:rPr>
        <w:t>Pateikti įvairūs požymiai apie nėščiąją, kurie prognozuoja naujagimio svorį.</w:t>
      </w:r>
      <w:r w:rsidR="00704681" w:rsidRPr="008277E3">
        <w:rPr>
          <w:rFonts w:asciiTheme="majorBidi" w:hAnsiTheme="majorBidi" w:cstheme="majorBidi"/>
          <w:sz w:val="24"/>
          <w:szCs w:val="24"/>
          <w:lang w:val="lt-LT"/>
        </w:rPr>
        <w:t xml:space="preserve"> Priklausomas kintamasis – naujagimio svoris</w:t>
      </w:r>
      <w:r w:rsidR="00144172">
        <w:rPr>
          <w:rFonts w:asciiTheme="majorBidi" w:hAnsiTheme="majorBidi" w:cstheme="majorBidi"/>
          <w:sz w:val="24"/>
          <w:szCs w:val="24"/>
          <w:lang w:val="lt-LT"/>
        </w:rPr>
        <w:t xml:space="preserve"> (uncijomis)</w:t>
      </w:r>
      <w:r w:rsidR="00A00065" w:rsidRPr="008277E3">
        <w:rPr>
          <w:rFonts w:asciiTheme="majorBidi" w:hAnsiTheme="majorBidi" w:cstheme="majorBidi"/>
          <w:sz w:val="24"/>
          <w:szCs w:val="24"/>
          <w:lang w:val="lt-LT"/>
        </w:rPr>
        <w:t xml:space="preserve"> ir </w:t>
      </w:r>
      <w:r w:rsidR="00510ACD" w:rsidRPr="008277E3">
        <w:rPr>
          <w:rFonts w:asciiTheme="majorBidi" w:hAnsiTheme="majorBidi" w:cstheme="majorBidi"/>
          <w:sz w:val="24"/>
          <w:szCs w:val="24"/>
          <w:lang w:val="lt-LT"/>
        </w:rPr>
        <w:t>6 ko</w:t>
      </w:r>
      <w:r w:rsidR="005A4FC1" w:rsidRPr="008277E3">
        <w:rPr>
          <w:rFonts w:asciiTheme="majorBidi" w:hAnsiTheme="majorBidi" w:cstheme="majorBidi"/>
          <w:sz w:val="24"/>
          <w:szCs w:val="24"/>
          <w:lang w:val="lt-LT"/>
        </w:rPr>
        <w:t>variantės:</w:t>
      </w:r>
    </w:p>
    <w:p w14:paraId="645A7E56" w14:textId="229AEA94" w:rsidR="005A4FC1" w:rsidRPr="008277E3" w:rsidRDefault="00C812C6" w:rsidP="0005641E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N</w:t>
      </w:r>
      <w:r w:rsidR="00550F28" w:rsidRPr="008277E3">
        <w:rPr>
          <w:rFonts w:asciiTheme="majorBidi" w:hAnsiTheme="majorBidi" w:cstheme="majorBidi"/>
          <w:sz w:val="24"/>
          <w:szCs w:val="24"/>
          <w:lang w:val="lt-LT"/>
        </w:rPr>
        <w:t xml:space="preserve">ėštumo </w:t>
      </w:r>
      <w:r w:rsidR="00CB770C" w:rsidRPr="008277E3">
        <w:rPr>
          <w:rFonts w:asciiTheme="majorBidi" w:hAnsiTheme="majorBidi" w:cstheme="majorBidi"/>
          <w:sz w:val="24"/>
          <w:szCs w:val="24"/>
          <w:lang w:val="lt-LT"/>
        </w:rPr>
        <w:t>laikotarpis (dienomis);</w:t>
      </w:r>
    </w:p>
    <w:p w14:paraId="7AC84DFD" w14:textId="253B4F3E" w:rsidR="00550F28" w:rsidRPr="008277E3" w:rsidRDefault="00F570ED" w:rsidP="0005641E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 xml:space="preserve">Ar pirmas nėštumas </w:t>
      </w:r>
      <w:r w:rsidR="00BE6B41" w:rsidRPr="008277E3">
        <w:rPr>
          <w:rFonts w:asciiTheme="majorBidi" w:hAnsiTheme="majorBidi" w:cstheme="majorBidi"/>
          <w:sz w:val="24"/>
          <w:szCs w:val="24"/>
          <w:lang w:val="lt-LT"/>
        </w:rPr>
        <w:t>(kategorinis)</w:t>
      </w:r>
      <w:r w:rsidR="00B24929" w:rsidRPr="008277E3">
        <w:rPr>
          <w:rFonts w:asciiTheme="majorBidi" w:hAnsiTheme="majorBidi" w:cstheme="majorBidi"/>
          <w:sz w:val="24"/>
          <w:szCs w:val="24"/>
          <w:lang w:val="lt-LT"/>
        </w:rPr>
        <w:t>: 0 – pirmas, 1 – kitu atveju</w:t>
      </w:r>
      <w:r w:rsidR="00BE6B41" w:rsidRPr="008277E3">
        <w:rPr>
          <w:rFonts w:asciiTheme="majorBidi" w:hAnsiTheme="majorBidi" w:cstheme="majorBidi"/>
          <w:sz w:val="24"/>
          <w:szCs w:val="24"/>
          <w:lang w:val="lt-LT"/>
        </w:rPr>
        <w:t>;</w:t>
      </w:r>
    </w:p>
    <w:p w14:paraId="6DA2C098" w14:textId="12CB4115" w:rsidR="00BE6B41" w:rsidRPr="008277E3" w:rsidRDefault="00FC61D7" w:rsidP="0005641E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Moters amžius;</w:t>
      </w:r>
    </w:p>
    <w:p w14:paraId="18260C4C" w14:textId="5B33803D" w:rsidR="00FC61D7" w:rsidRPr="008277E3" w:rsidRDefault="00FC61D7" w:rsidP="0005641E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 xml:space="preserve">Moters </w:t>
      </w:r>
      <w:r w:rsidR="00365BBE" w:rsidRPr="008277E3">
        <w:rPr>
          <w:rFonts w:asciiTheme="majorBidi" w:hAnsiTheme="majorBidi" w:cstheme="majorBidi"/>
          <w:sz w:val="24"/>
          <w:szCs w:val="24"/>
          <w:lang w:val="lt-LT"/>
        </w:rPr>
        <w:t>svoris</w:t>
      </w:r>
      <w:r w:rsidR="00144172">
        <w:rPr>
          <w:rFonts w:asciiTheme="majorBidi" w:hAnsiTheme="majorBidi" w:cstheme="majorBidi"/>
          <w:sz w:val="24"/>
          <w:szCs w:val="24"/>
          <w:lang w:val="lt-LT"/>
        </w:rPr>
        <w:t xml:space="preserve"> (uncijomis)</w:t>
      </w:r>
      <w:r w:rsidR="00365BBE" w:rsidRPr="008277E3">
        <w:rPr>
          <w:rFonts w:asciiTheme="majorBidi" w:hAnsiTheme="majorBidi" w:cstheme="majorBidi"/>
          <w:sz w:val="24"/>
          <w:szCs w:val="24"/>
          <w:lang w:val="lt-LT"/>
        </w:rPr>
        <w:t>;</w:t>
      </w:r>
    </w:p>
    <w:p w14:paraId="248E97FB" w14:textId="1E23BAF4" w:rsidR="00365BBE" w:rsidRPr="008277E3" w:rsidRDefault="00365BBE" w:rsidP="0005641E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Moters ūgis</w:t>
      </w:r>
      <w:r w:rsidR="00D225C9">
        <w:rPr>
          <w:rFonts w:asciiTheme="majorBidi" w:hAnsiTheme="majorBidi" w:cstheme="majorBidi"/>
          <w:sz w:val="24"/>
          <w:szCs w:val="24"/>
          <w:lang w:val="lt-LT"/>
        </w:rPr>
        <w:t xml:space="preserve"> (coliais)</w:t>
      </w:r>
      <w:r w:rsidRPr="008277E3">
        <w:rPr>
          <w:rFonts w:asciiTheme="majorBidi" w:hAnsiTheme="majorBidi" w:cstheme="majorBidi"/>
          <w:sz w:val="24"/>
          <w:szCs w:val="24"/>
          <w:lang w:val="lt-LT"/>
        </w:rPr>
        <w:t>;</w:t>
      </w:r>
    </w:p>
    <w:p w14:paraId="7A62A75C" w14:textId="0FFFD5E1" w:rsidR="00C812C6" w:rsidRPr="008277E3" w:rsidRDefault="00C812C6" w:rsidP="0005641E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Ar moteris rūko (kategorinis)</w:t>
      </w:r>
      <w:r w:rsidR="00B17B3C" w:rsidRPr="008277E3">
        <w:rPr>
          <w:rFonts w:asciiTheme="majorBidi" w:hAnsiTheme="majorBidi" w:cstheme="majorBidi"/>
          <w:sz w:val="24"/>
          <w:szCs w:val="24"/>
          <w:lang w:val="lt-LT"/>
        </w:rPr>
        <w:t>: 0 – nerūko, 1 – rūko</w:t>
      </w:r>
      <w:r w:rsidRPr="008277E3">
        <w:rPr>
          <w:rFonts w:asciiTheme="majorBidi" w:hAnsiTheme="majorBidi" w:cstheme="majorBidi"/>
          <w:sz w:val="24"/>
          <w:szCs w:val="24"/>
          <w:lang w:val="lt-LT"/>
        </w:rPr>
        <w:t>;</w:t>
      </w:r>
    </w:p>
    <w:p w14:paraId="3DE039E3" w14:textId="44E651C5" w:rsidR="006B6863" w:rsidRPr="008277E3" w:rsidRDefault="00EF4118" w:rsidP="000B7DE9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 xml:space="preserve">Iš viso yra 1236 stebėjimai, </w:t>
      </w:r>
      <w:r w:rsidR="00E7253A" w:rsidRPr="008277E3">
        <w:rPr>
          <w:rFonts w:asciiTheme="majorBidi" w:hAnsiTheme="majorBidi" w:cstheme="majorBidi"/>
          <w:sz w:val="24"/>
          <w:szCs w:val="24"/>
          <w:lang w:val="lt-LT"/>
        </w:rPr>
        <w:t xml:space="preserve">pašalinus </w:t>
      </w:r>
      <w:r w:rsidR="00FE68C8" w:rsidRPr="008277E3">
        <w:rPr>
          <w:rFonts w:asciiTheme="majorBidi" w:hAnsiTheme="majorBidi" w:cstheme="majorBidi"/>
          <w:sz w:val="24"/>
          <w:szCs w:val="24"/>
          <w:lang w:val="lt-LT"/>
        </w:rPr>
        <w:t xml:space="preserve">praleistas reikšmes stebėjimų liko </w:t>
      </w:r>
      <w:r w:rsidR="00C77007" w:rsidRPr="008277E3">
        <w:rPr>
          <w:rFonts w:asciiTheme="majorBidi" w:hAnsiTheme="majorBidi" w:cstheme="majorBidi"/>
          <w:sz w:val="24"/>
          <w:szCs w:val="24"/>
          <w:lang w:val="lt-LT"/>
        </w:rPr>
        <w:t>1174</w:t>
      </w:r>
      <w:r w:rsidR="00264065" w:rsidRPr="008277E3">
        <w:rPr>
          <w:rFonts w:asciiTheme="majorBidi" w:hAnsiTheme="majorBidi" w:cstheme="majorBidi"/>
          <w:sz w:val="24"/>
          <w:szCs w:val="24"/>
          <w:lang w:val="lt-LT"/>
        </w:rPr>
        <w:t>, duomenų nepatikimumo problemos neturime</w:t>
      </w:r>
      <w:r w:rsidR="00D00ABB" w:rsidRPr="008277E3">
        <w:rPr>
          <w:rFonts w:asciiTheme="majorBidi" w:hAnsiTheme="majorBidi" w:cstheme="majorBidi"/>
          <w:sz w:val="24"/>
          <w:szCs w:val="24"/>
          <w:lang w:val="lt-LT"/>
        </w:rPr>
        <w:t xml:space="preserve"> (praleistų reikšmių 5 %)</w:t>
      </w:r>
      <w:r w:rsidR="00247FF7" w:rsidRPr="008277E3">
        <w:rPr>
          <w:rFonts w:asciiTheme="majorBidi" w:hAnsiTheme="majorBidi" w:cstheme="majorBidi"/>
          <w:sz w:val="24"/>
          <w:szCs w:val="24"/>
          <w:lang w:val="lt-LT"/>
        </w:rPr>
        <w:t>.</w:t>
      </w:r>
      <w:r w:rsidR="00D225C9">
        <w:rPr>
          <w:rFonts w:asciiTheme="majorBidi" w:hAnsiTheme="majorBidi" w:cstheme="majorBidi"/>
          <w:sz w:val="24"/>
          <w:szCs w:val="24"/>
          <w:lang w:val="lt-LT"/>
        </w:rPr>
        <w:t xml:space="preserve"> Taip pat turime pakankamai duomenų, kad būtų galima taikyti kvantilių regresiją.</w:t>
      </w:r>
      <w:r w:rsidR="00A4248D" w:rsidRPr="008277E3">
        <w:rPr>
          <w:rFonts w:asciiTheme="majorBidi" w:hAnsiTheme="majorBidi" w:cstheme="majorBidi"/>
          <w:sz w:val="24"/>
          <w:szCs w:val="24"/>
          <w:lang w:val="lt-LT"/>
        </w:rPr>
        <w:t xml:space="preserve"> </w:t>
      </w:r>
      <w:r w:rsidR="006B6863" w:rsidRPr="008277E3">
        <w:rPr>
          <w:rFonts w:asciiTheme="majorBidi" w:hAnsiTheme="majorBidi" w:cstheme="majorBidi"/>
          <w:sz w:val="24"/>
          <w:szCs w:val="24"/>
          <w:lang w:val="lt-LT"/>
        </w:rPr>
        <w:t>Tyrimo metu naudota</w:t>
      </w:r>
      <w:r w:rsidR="00554123" w:rsidRPr="008277E3">
        <w:rPr>
          <w:rFonts w:asciiTheme="majorBidi" w:hAnsiTheme="majorBidi" w:cstheme="majorBidi"/>
          <w:sz w:val="24"/>
          <w:szCs w:val="24"/>
          <w:lang w:val="lt-LT"/>
        </w:rPr>
        <w:t xml:space="preserve"> ,,R“ </w:t>
      </w:r>
      <w:r w:rsidR="006B6863" w:rsidRPr="008277E3">
        <w:rPr>
          <w:rFonts w:asciiTheme="majorBidi" w:hAnsiTheme="majorBidi" w:cstheme="majorBidi"/>
          <w:sz w:val="24"/>
          <w:szCs w:val="24"/>
          <w:lang w:val="lt-LT"/>
        </w:rPr>
        <w:t xml:space="preserve"> programinė įranga</w:t>
      </w:r>
      <w:r w:rsidR="00554123" w:rsidRPr="008277E3">
        <w:rPr>
          <w:rFonts w:asciiTheme="majorBidi" w:hAnsiTheme="majorBidi" w:cstheme="majorBidi"/>
          <w:sz w:val="24"/>
          <w:szCs w:val="24"/>
          <w:lang w:val="lt-LT"/>
        </w:rPr>
        <w:t>.</w:t>
      </w:r>
    </w:p>
    <w:p w14:paraId="59115A7F" w14:textId="77777777" w:rsidR="001926EF" w:rsidRPr="008277E3" w:rsidRDefault="001926EF" w:rsidP="001926EF">
      <w:pPr>
        <w:spacing w:line="360" w:lineRule="auto"/>
        <w:jc w:val="both"/>
        <w:rPr>
          <w:lang w:val="lt-LT"/>
        </w:rPr>
      </w:pPr>
    </w:p>
    <w:p w14:paraId="72E19955" w14:textId="77777777" w:rsidR="00796014" w:rsidRDefault="00796014" w:rsidP="00044334">
      <w:pPr>
        <w:spacing w:line="360" w:lineRule="auto"/>
        <w:jc w:val="both"/>
        <w:rPr>
          <w:lang w:val="lt-LT"/>
        </w:rPr>
      </w:pPr>
    </w:p>
    <w:p w14:paraId="7103F047" w14:textId="77777777" w:rsidR="00CC2961" w:rsidRPr="008277E3" w:rsidRDefault="00CC2961" w:rsidP="00044334">
      <w:pPr>
        <w:spacing w:line="360" w:lineRule="auto"/>
        <w:jc w:val="both"/>
        <w:rPr>
          <w:lang w:val="lt-LT"/>
        </w:rPr>
      </w:pPr>
    </w:p>
    <w:p w14:paraId="777F0725" w14:textId="733BAF90" w:rsidR="00416EB4" w:rsidRPr="00650ABD" w:rsidRDefault="00416EB4" w:rsidP="005D22BF">
      <w:pPr>
        <w:pStyle w:val="Heading1"/>
        <w:numPr>
          <w:ilvl w:val="0"/>
          <w:numId w:val="1"/>
        </w:numPr>
        <w:spacing w:before="480" w:after="240" w:line="360" w:lineRule="auto"/>
        <w:rPr>
          <w:szCs w:val="28"/>
          <w:lang w:val="lt-LT"/>
        </w:rPr>
      </w:pPr>
      <w:bookmarkStart w:id="8" w:name="_Toc128935419"/>
      <w:bookmarkStart w:id="9" w:name="_Toc132666367"/>
      <w:r w:rsidRPr="00650ABD">
        <w:rPr>
          <w:szCs w:val="28"/>
          <w:lang w:val="lt-LT"/>
        </w:rPr>
        <w:lastRenderedPageBreak/>
        <w:t>KVANTILIŲ REGRESIJOS MODELIS</w:t>
      </w:r>
      <w:bookmarkEnd w:id="8"/>
      <w:bookmarkEnd w:id="9"/>
    </w:p>
    <w:p w14:paraId="09FD8217" w14:textId="0A981F44" w:rsidR="00B95702" w:rsidRPr="008277E3" w:rsidRDefault="00B95702" w:rsidP="005D22BF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 xml:space="preserve">Parinkus kvantilių </w:t>
      </w:r>
      <w:r w:rsidR="000710F3" w:rsidRPr="008277E3">
        <w:rPr>
          <w:rFonts w:asciiTheme="majorBidi" w:hAnsiTheme="majorBidi" w:cstheme="majorBidi"/>
          <w:sz w:val="24"/>
          <w:szCs w:val="24"/>
          <w:lang w:val="lt-LT"/>
        </w:rPr>
        <w:t>regresijos</w:t>
      </w:r>
      <w:r w:rsidRPr="008277E3">
        <w:rPr>
          <w:rFonts w:asciiTheme="majorBidi" w:hAnsiTheme="majorBidi" w:cstheme="majorBidi"/>
          <w:sz w:val="24"/>
          <w:szCs w:val="24"/>
          <w:lang w:val="lt-LT"/>
        </w:rPr>
        <w:t xml:space="preserve"> modelį pereiname visus modelio parinkimo etapus:</w:t>
      </w:r>
    </w:p>
    <w:p w14:paraId="5D74691F" w14:textId="6841ABBA" w:rsidR="00B95702" w:rsidRPr="008277E3" w:rsidRDefault="00B95702" w:rsidP="005D22B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Pradinė analizė – vizualiai patikriname, ar nėra išskirčių</w:t>
      </w:r>
      <w:r w:rsidR="00D01273" w:rsidRPr="008277E3">
        <w:rPr>
          <w:rFonts w:asciiTheme="majorBidi" w:hAnsiTheme="majorBidi" w:cstheme="majorBidi"/>
          <w:sz w:val="24"/>
          <w:szCs w:val="24"/>
          <w:lang w:val="lt-LT"/>
        </w:rPr>
        <w:t>;</w:t>
      </w:r>
    </w:p>
    <w:p w14:paraId="55F1B003" w14:textId="75724C54" w:rsidR="00B95702" w:rsidRPr="008277E3" w:rsidRDefault="00B95702" w:rsidP="005D22B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Prielaidų tikrinimas –</w:t>
      </w:r>
      <w:r w:rsidR="00D86E70" w:rsidRPr="008277E3">
        <w:rPr>
          <w:rFonts w:asciiTheme="majorBidi" w:hAnsiTheme="majorBidi" w:cstheme="majorBidi"/>
          <w:sz w:val="24"/>
          <w:szCs w:val="24"/>
          <w:lang w:val="lt-LT"/>
        </w:rPr>
        <w:t xml:space="preserve"> ar yra tiesinis są</w:t>
      </w:r>
      <w:r w:rsidR="008833F4" w:rsidRPr="008277E3">
        <w:rPr>
          <w:rFonts w:asciiTheme="majorBidi" w:hAnsiTheme="majorBidi" w:cstheme="majorBidi"/>
          <w:sz w:val="24"/>
          <w:szCs w:val="24"/>
          <w:lang w:val="lt-LT"/>
        </w:rPr>
        <w:t>ryšis tarp prik</w:t>
      </w:r>
      <w:r w:rsidR="008C1AC2" w:rsidRPr="008277E3">
        <w:rPr>
          <w:rFonts w:asciiTheme="majorBidi" w:hAnsiTheme="majorBidi" w:cstheme="majorBidi"/>
          <w:sz w:val="24"/>
          <w:szCs w:val="24"/>
          <w:lang w:val="lt-LT"/>
        </w:rPr>
        <w:t>l</w:t>
      </w:r>
      <w:r w:rsidR="008833F4" w:rsidRPr="008277E3">
        <w:rPr>
          <w:rFonts w:asciiTheme="majorBidi" w:hAnsiTheme="majorBidi" w:cstheme="majorBidi"/>
          <w:sz w:val="24"/>
          <w:szCs w:val="24"/>
          <w:lang w:val="lt-LT"/>
        </w:rPr>
        <w:t>ausomo</w:t>
      </w:r>
      <w:r w:rsidR="008C1AC2" w:rsidRPr="008277E3">
        <w:rPr>
          <w:rFonts w:asciiTheme="majorBidi" w:hAnsiTheme="majorBidi" w:cstheme="majorBidi"/>
          <w:sz w:val="24"/>
          <w:szCs w:val="24"/>
          <w:lang w:val="lt-LT"/>
        </w:rPr>
        <w:t xml:space="preserve"> kintamojo ir </w:t>
      </w:r>
      <w:proofErr w:type="spellStart"/>
      <w:r w:rsidR="008C1AC2" w:rsidRPr="008277E3">
        <w:rPr>
          <w:rFonts w:asciiTheme="majorBidi" w:hAnsiTheme="majorBidi" w:cstheme="majorBidi"/>
          <w:sz w:val="24"/>
          <w:szCs w:val="24"/>
          <w:lang w:val="lt-LT"/>
        </w:rPr>
        <w:t>kovariančių</w:t>
      </w:r>
      <w:proofErr w:type="spellEnd"/>
      <w:r w:rsidR="00BF1345" w:rsidRPr="008277E3">
        <w:rPr>
          <w:rFonts w:asciiTheme="majorBidi" w:hAnsiTheme="majorBidi" w:cstheme="majorBidi"/>
          <w:sz w:val="24"/>
          <w:szCs w:val="24"/>
          <w:lang w:val="lt-LT"/>
        </w:rPr>
        <w:t xml:space="preserve">, </w:t>
      </w:r>
      <w:proofErr w:type="spellStart"/>
      <w:r w:rsidR="007774D9" w:rsidRPr="008277E3">
        <w:rPr>
          <w:rFonts w:asciiTheme="majorBidi" w:hAnsiTheme="majorBidi" w:cstheme="majorBidi"/>
          <w:sz w:val="24"/>
          <w:szCs w:val="24"/>
          <w:lang w:val="lt-LT"/>
        </w:rPr>
        <w:t>multikolinearumo</w:t>
      </w:r>
      <w:proofErr w:type="spellEnd"/>
      <w:r w:rsidR="007774D9" w:rsidRPr="008277E3">
        <w:rPr>
          <w:rFonts w:asciiTheme="majorBidi" w:hAnsiTheme="majorBidi" w:cstheme="majorBidi"/>
          <w:sz w:val="24"/>
          <w:szCs w:val="24"/>
          <w:lang w:val="lt-LT"/>
        </w:rPr>
        <w:t xml:space="preserve"> problema</w:t>
      </w:r>
      <w:r w:rsidRPr="008277E3">
        <w:rPr>
          <w:rFonts w:asciiTheme="majorBidi" w:hAnsiTheme="majorBidi" w:cstheme="majorBidi"/>
          <w:sz w:val="24"/>
          <w:szCs w:val="24"/>
          <w:lang w:val="lt-LT"/>
        </w:rPr>
        <w:t>;</w:t>
      </w:r>
    </w:p>
    <w:p w14:paraId="33FA568E" w14:textId="77777777" w:rsidR="00B95702" w:rsidRPr="008277E3" w:rsidRDefault="00B95702" w:rsidP="005D22B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Reikšmingų kovariančių atranka;</w:t>
      </w:r>
    </w:p>
    <w:p w14:paraId="4E5BD4C9" w14:textId="403BF9D6" w:rsidR="005D22BF" w:rsidRPr="008277E3" w:rsidRDefault="005D22BF" w:rsidP="005D22B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Parametrų įvertinimas, interpretacija.</w:t>
      </w:r>
    </w:p>
    <w:p w14:paraId="0316DD49" w14:textId="7F88635F" w:rsidR="005D22BF" w:rsidRPr="008277E3" w:rsidRDefault="00A84F0B" w:rsidP="00302BC3">
      <w:pPr>
        <w:spacing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Duomenys buvo padalinti į mokymo ir testavimo aibes 70:30 santykiu.</w:t>
      </w:r>
      <w:r w:rsidR="00302BC3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Pirminis kvantilių regresijos modelis atrodo taip:</w:t>
      </w:r>
    </w:p>
    <w:p w14:paraId="3069767C" w14:textId="2E5F0622" w:rsidR="00302BC3" w:rsidRPr="008277E3" w:rsidRDefault="008C2614" w:rsidP="00302BC3">
      <w:pPr>
        <w:spacing w:line="360" w:lineRule="auto"/>
        <w:ind w:firstLine="709"/>
        <w:jc w:val="both"/>
        <w:rPr>
          <w:rFonts w:asciiTheme="majorBidi" w:hAnsiTheme="majorBidi" w:cstheme="majorBidi"/>
          <w:i/>
          <w:color w:val="000000" w:themeColor="text1"/>
          <w:sz w:val="24"/>
          <w:szCs w:val="24"/>
          <w:lang w:val="lt-LT"/>
        </w:rPr>
      </w:pPr>
      <m:oMathPara>
        <m:oMath>
          <m:r>
            <w:rPr>
              <w:rFonts w:ascii="Cambria Math" w:hAnsi="Cambria Math" w:cstheme="majorBidi"/>
              <w:color w:val="000000" w:themeColor="text1"/>
              <w:sz w:val="24"/>
              <w:szCs w:val="24"/>
              <w:lang w:val="lt-LT"/>
            </w:rPr>
            <m:t xml:space="preserve">Naujagimio svoris=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lt-LT"/>
                </w:rPr>
                <m:t>β</m:t>
              </m:r>
            </m:e>
            <m:sub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lt-LT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lt-LT"/>
                </w:rPr>
                <m:t>τ</m:t>
              </m:r>
            </m:e>
          </m:d>
          <m:r>
            <w:rPr>
              <w:rFonts w:ascii="Cambria Math" w:hAnsi="Cambria Math" w:cstheme="majorBidi"/>
              <w:color w:val="000000" w:themeColor="text1"/>
              <w:sz w:val="24"/>
              <w:szCs w:val="24"/>
              <w:lang w:val="lt-LT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β</m:t>
              </m:r>
              <m:ctrlPr>
                <w:rPr>
                  <w:rFonts w:ascii="Cambria Math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τ</m:t>
              </m:r>
            </m:e>
          </m:d>
          <m:r>
            <w:rPr>
              <w:rFonts w:ascii="Cambria Math" w:eastAsiaTheme="minorEastAsia" w:hAnsi="Cambria Math" w:cstheme="majorBidi"/>
              <w:color w:val="000000" w:themeColor="text1"/>
              <w:sz w:val="24"/>
              <w:szCs w:val="24"/>
              <w:lang w:val="lt-LT"/>
            </w:rPr>
            <m:t>∙nėštumo laikotarpis</m:t>
          </m:r>
          <m:r>
            <w:rPr>
              <w:rFonts w:ascii="Cambria Math" w:hAnsi="Cambria Math" w:cstheme="majorBidi"/>
              <w:color w:val="000000" w:themeColor="text1"/>
              <w:sz w:val="24"/>
              <w:szCs w:val="24"/>
              <w:lang w:val="lt-LT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β</m:t>
              </m:r>
              <m:ctrlPr>
                <w:rPr>
                  <w:rFonts w:ascii="Cambria Math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τ</m:t>
              </m:r>
            </m:e>
          </m:d>
          <m:r>
            <w:rPr>
              <w:rFonts w:ascii="Cambria Math" w:eastAsiaTheme="minorEastAsia" w:hAnsi="Cambria Math" w:cstheme="majorBidi"/>
              <w:color w:val="000000" w:themeColor="text1"/>
              <w:sz w:val="24"/>
              <w:szCs w:val="24"/>
              <w:lang w:val="lt-LT"/>
            </w:rPr>
            <m:t xml:space="preserve">∙pirmas nėštumas </m:t>
          </m:r>
          <m:r>
            <w:rPr>
              <w:rFonts w:ascii="Cambria Math" w:hAnsi="Cambria Math" w:cstheme="majorBidi"/>
              <w:color w:val="000000" w:themeColor="text1"/>
              <w:sz w:val="24"/>
              <w:szCs w:val="24"/>
              <w:lang w:val="lt-LT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β</m:t>
              </m:r>
              <m:ctrlPr>
                <w:rPr>
                  <w:rFonts w:ascii="Cambria Math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τ</m:t>
              </m:r>
            </m:e>
          </m:d>
          <m:r>
            <w:rPr>
              <w:rFonts w:ascii="Cambria Math" w:eastAsiaTheme="minorEastAsia" w:hAnsi="Cambria Math" w:cstheme="majorBidi"/>
              <w:color w:val="000000" w:themeColor="text1"/>
              <w:sz w:val="24"/>
              <w:szCs w:val="24"/>
              <w:lang w:val="lt-LT"/>
            </w:rPr>
            <m:t xml:space="preserve">∙amžius </m:t>
          </m:r>
          <m:r>
            <w:rPr>
              <w:rFonts w:ascii="Cambria Math" w:hAnsi="Cambria Math" w:cstheme="majorBidi"/>
              <w:color w:val="000000" w:themeColor="text1"/>
              <w:sz w:val="24"/>
              <w:szCs w:val="24"/>
              <w:lang w:val="lt-LT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β</m:t>
              </m:r>
              <m:ctrlPr>
                <w:rPr>
                  <w:rFonts w:ascii="Cambria Math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τ</m:t>
              </m:r>
            </m:e>
          </m:d>
          <m:r>
            <w:rPr>
              <w:rFonts w:ascii="Cambria Math" w:eastAsiaTheme="minorEastAsia" w:hAnsi="Cambria Math" w:cstheme="majorBidi"/>
              <w:color w:val="000000" w:themeColor="text1"/>
              <w:sz w:val="24"/>
              <w:szCs w:val="24"/>
              <w:lang w:val="lt-LT"/>
            </w:rPr>
            <m:t xml:space="preserve">∙svoris </m:t>
          </m:r>
          <m:r>
            <w:rPr>
              <w:rFonts w:ascii="Cambria Math" w:hAnsi="Cambria Math" w:cstheme="majorBidi"/>
              <w:color w:val="000000" w:themeColor="text1"/>
              <w:sz w:val="24"/>
              <w:szCs w:val="24"/>
              <w:lang w:val="lt-LT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β</m:t>
              </m:r>
              <m:ctrlPr>
                <w:rPr>
                  <w:rFonts w:ascii="Cambria Math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τ</m:t>
              </m:r>
            </m:e>
          </m:d>
          <m:r>
            <w:rPr>
              <w:rFonts w:ascii="Cambria Math" w:eastAsiaTheme="minorEastAsia" w:hAnsi="Cambria Math" w:cstheme="majorBidi"/>
              <w:color w:val="000000" w:themeColor="text1"/>
              <w:sz w:val="24"/>
              <w:szCs w:val="24"/>
              <w:lang w:val="lt-LT"/>
            </w:rPr>
            <m:t>∙ūgis</m:t>
          </m:r>
          <m:r>
            <w:rPr>
              <w:rFonts w:ascii="Cambria Math" w:hAnsi="Cambria Math" w:cstheme="majorBidi"/>
              <w:color w:val="000000" w:themeColor="text1"/>
              <w:sz w:val="24"/>
              <w:szCs w:val="24"/>
              <w:lang w:val="lt-LT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β</m:t>
              </m:r>
              <m:ctrlPr>
                <w:rPr>
                  <w:rFonts w:ascii="Cambria Math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sz w:val="24"/>
                  <w:szCs w:val="24"/>
                  <w:lang w:val="lt-LT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sz w:val="24"/>
                  <w:szCs w:val="24"/>
                  <w:lang w:val="lt-LT"/>
                </w:rPr>
                <m:t>τ</m:t>
              </m:r>
            </m:e>
          </m:d>
          <m:r>
            <w:rPr>
              <w:rFonts w:ascii="Cambria Math" w:eastAsiaTheme="minorEastAsia" w:hAnsi="Cambria Math" w:cstheme="majorBidi"/>
              <w:color w:val="000000" w:themeColor="text1"/>
              <w:sz w:val="24"/>
              <w:szCs w:val="24"/>
              <w:lang w:val="lt-LT"/>
            </w:rPr>
            <m:t xml:space="preserve">∙rūko. </m:t>
          </m:r>
        </m:oMath>
      </m:oMathPara>
    </w:p>
    <w:p w14:paraId="51EBDAC3" w14:textId="1C7F8203" w:rsidR="00074724" w:rsidRPr="008277E3" w:rsidRDefault="0030026A" w:rsidP="00E402F8">
      <w:pPr>
        <w:pStyle w:val="Heading2"/>
        <w:numPr>
          <w:ilvl w:val="1"/>
          <w:numId w:val="1"/>
        </w:numPr>
        <w:spacing w:before="160" w:after="120" w:line="360" w:lineRule="auto"/>
        <w:rPr>
          <w:lang w:val="lt-LT"/>
        </w:rPr>
      </w:pPr>
      <w:bookmarkStart w:id="10" w:name="_Toc132666368"/>
      <w:r w:rsidRPr="008277E3">
        <w:rPr>
          <w:lang w:val="lt-LT"/>
        </w:rPr>
        <w:t>Kvantilių regresijos modelis naudojant R</w:t>
      </w:r>
      <w:bookmarkEnd w:id="10"/>
      <w:r w:rsidRPr="008277E3">
        <w:rPr>
          <w:lang w:val="lt-LT"/>
        </w:rPr>
        <w:t xml:space="preserve"> </w:t>
      </w:r>
    </w:p>
    <w:p w14:paraId="3CA7AAFE" w14:textId="1C5A3D7C" w:rsidR="00E764F7" w:rsidRPr="008277E3" w:rsidRDefault="00E256FB" w:rsidP="00E764F7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Prieš sudarant kvantilių regresijos modelį, vizualiai pasižiūrime į duomenis.</w:t>
      </w:r>
      <w:r w:rsidR="009E139A">
        <w:rPr>
          <w:rFonts w:asciiTheme="majorBidi" w:hAnsiTheme="majorBidi" w:cstheme="majorBidi"/>
          <w:sz w:val="24"/>
          <w:szCs w:val="24"/>
          <w:lang w:val="lt-LT"/>
        </w:rPr>
        <w:t xml:space="preserve"> </w:t>
      </w:r>
      <w:r w:rsidR="00E764F7" w:rsidRPr="008277E3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Iš stačiakampių diagramų matome, jog daugiausiai išskirčių turi nėštumo laikotarpis, kūdikio svoris ir nėščiosios svoris</w:t>
      </w:r>
      <w:r w:rsidR="00E764F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lt-LT"/>
        </w:rPr>
        <w:t xml:space="preserve">, </w:t>
      </w:r>
      <w:r w:rsidR="00E764F7" w:rsidRPr="00C72288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tačiau labai išsiskiriančių reikšmių nėra</w:t>
      </w:r>
      <w:r w:rsidR="00E764F7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(</w:t>
      </w:r>
      <w:r w:rsidR="00E764F7" w:rsidRPr="009A025B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1 </w:t>
      </w:r>
      <w:r w:rsidR="00E764F7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pav.)</w:t>
      </w:r>
      <w:r w:rsidR="00E764F7" w:rsidRPr="008277E3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.</w:t>
      </w:r>
      <w:r w:rsidR="00E764F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lt-LT"/>
        </w:rPr>
        <w:t xml:space="preserve"> </w:t>
      </w:r>
      <w:r w:rsidR="00E764F7" w:rsidRPr="008277E3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Iš duomenų aprašomosios statistikos</w:t>
      </w:r>
      <w:r w:rsidR="00E764F7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(</w:t>
      </w:r>
      <w:r w:rsidR="00E764F7" w:rsidRPr="009A025B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1 </w:t>
      </w:r>
      <w:r w:rsidR="00E764F7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lentelė)</w:t>
      </w:r>
      <w:r w:rsidR="00E764F7" w:rsidRPr="008277E3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matome, jog naujagimių svorio </w:t>
      </w:r>
      <w:proofErr w:type="spellStart"/>
      <w:r w:rsidR="00E764F7" w:rsidRPr="008277E3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medianinė</w:t>
      </w:r>
      <w:proofErr w:type="spellEnd"/>
      <w:r w:rsidR="00E764F7" w:rsidRPr="008277E3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reikšmė – 120</w:t>
      </w:r>
      <w:r w:rsidR="00E764F7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, mažiausias naujagimio svoris – </w:t>
      </w:r>
      <w:r w:rsidR="00E764F7" w:rsidRPr="00660DF8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55</w:t>
      </w:r>
      <w:r w:rsidR="00E764F7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uncijos, o didžiausias – </w:t>
      </w:r>
      <w:r w:rsidR="00E764F7" w:rsidRPr="00660DF8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17</w:t>
      </w:r>
      <w:r w:rsidR="00E764F7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6</w:t>
      </w:r>
      <w:r w:rsidR="00E764F7" w:rsidRPr="008277E3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, nėštumo trukmės </w:t>
      </w:r>
      <w:proofErr w:type="spellStart"/>
      <w:r w:rsidR="00E764F7" w:rsidRPr="008277E3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medianinė</w:t>
      </w:r>
      <w:proofErr w:type="spellEnd"/>
      <w:r w:rsidR="00E764F7" w:rsidRPr="008277E3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reikšmė – 280, nėščiosios amžius – 26, ūgis </w:t>
      </w:r>
      <w:r w:rsidR="00E764F7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–</w:t>
      </w:r>
      <w:r w:rsidR="00E764F7" w:rsidRPr="008277E3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64, svoris – 125. Matome, jog net 598 (beveik 73%) moterims iš 823, tai buvo pirmasis nėštumas</w:t>
      </w:r>
      <w:r w:rsidR="00E764F7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, o </w:t>
      </w:r>
      <w:r w:rsidR="00E764F7" w:rsidRPr="008277E3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327 (beveik 40%) moter</w:t>
      </w:r>
      <w:r w:rsidR="00E764F7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ys</w:t>
      </w:r>
      <w:r w:rsidR="00E764F7" w:rsidRPr="008277E3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atsakė, jog yra rūkančios</w:t>
      </w:r>
      <w:r w:rsidR="00E764F7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(</w:t>
      </w:r>
      <w:r w:rsidR="00E764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2, 3 </w:t>
      </w:r>
      <w:proofErr w:type="spellStart"/>
      <w:r w:rsidR="00E764F7">
        <w:rPr>
          <w:rFonts w:ascii="Times New Roman" w:hAnsi="Times New Roman" w:cs="Times New Roman"/>
          <w:color w:val="000000" w:themeColor="text1"/>
          <w:sz w:val="24"/>
          <w:szCs w:val="24"/>
        </w:rPr>
        <w:t>lentelės</w:t>
      </w:r>
      <w:proofErr w:type="spellEnd"/>
      <w:r w:rsidR="00E764F7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)</w:t>
      </w:r>
      <w:r w:rsidR="00E764F7" w:rsidRPr="008277E3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.</w:t>
      </w:r>
    </w:p>
    <w:p w14:paraId="4F0992D0" w14:textId="07579BEF" w:rsidR="00EF2CD6" w:rsidRPr="008277E3" w:rsidRDefault="00EF2CD6" w:rsidP="00056FA9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lt-LT"/>
        </w:rPr>
      </w:pPr>
    </w:p>
    <w:p w14:paraId="73D5692C" w14:textId="77777777" w:rsidR="00AB167C" w:rsidRPr="008277E3" w:rsidRDefault="006A04E7" w:rsidP="00AB167C">
      <w:pPr>
        <w:keepNext/>
        <w:spacing w:line="360" w:lineRule="auto"/>
        <w:ind w:firstLine="709"/>
        <w:jc w:val="center"/>
        <w:rPr>
          <w:lang w:val="lt-LT"/>
        </w:rPr>
      </w:pPr>
      <w:r w:rsidRPr="008277E3">
        <w:rPr>
          <w:rFonts w:asciiTheme="majorBidi" w:hAnsiTheme="majorBidi" w:cstheme="majorBidi"/>
          <w:noProof/>
          <w:sz w:val="24"/>
          <w:szCs w:val="24"/>
          <w:lang w:val="lt-LT"/>
        </w:rPr>
        <w:lastRenderedPageBreak/>
        <w:drawing>
          <wp:inline distT="0" distB="0" distL="0" distR="0" wp14:anchorId="4E9AF54E" wp14:editId="48BB61E2">
            <wp:extent cx="3708400" cy="3310181"/>
            <wp:effectExtent l="0" t="0" r="6350" b="5080"/>
            <wp:docPr id="7" name="Paveikslėlis 7" descr="Graphical user interface,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3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D206" w14:textId="6D4C09A5" w:rsidR="00026628" w:rsidRDefault="00AB167C" w:rsidP="00AB167C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</w:pP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begin"/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instrText xml:space="preserve"> SEQ pav. \* ARABIC </w:instrText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separate"/>
      </w:r>
      <w:r w:rsidR="009678AA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lt-LT"/>
        </w:rPr>
        <w:t>1</w:t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end"/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t xml:space="preserve"> pav. Stačiakampių diagramų panelė</w:t>
      </w:r>
    </w:p>
    <w:p w14:paraId="5350FC88" w14:textId="77777777" w:rsidR="00E764F7" w:rsidRPr="00E764F7" w:rsidRDefault="00E764F7" w:rsidP="00E764F7">
      <w:pPr>
        <w:rPr>
          <w:lang w:val="lt-LT"/>
        </w:rPr>
      </w:pPr>
    </w:p>
    <w:p w14:paraId="2CA69638" w14:textId="0EC1CF81" w:rsidR="007F02D2" w:rsidRPr="008277E3" w:rsidRDefault="007F02D2" w:rsidP="00DA72EA">
      <w:pPr>
        <w:pStyle w:val="Caption"/>
        <w:ind w:firstLine="426"/>
        <w:rPr>
          <w:rFonts w:ascii="Times New Roman" w:hAnsi="Times New Roman" w:cs="Times New Roman"/>
          <w:color w:val="000000" w:themeColor="text1"/>
          <w:sz w:val="21"/>
          <w:szCs w:val="21"/>
          <w:lang w:val="lt-LT"/>
        </w:rPr>
      </w:pP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begin"/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instrText xml:space="preserve"> SEQ Lentelė \* ARABIC </w:instrText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separate"/>
      </w:r>
      <w:r w:rsidR="00387BFD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lt-LT"/>
        </w:rPr>
        <w:t>1</w:t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end"/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t xml:space="preserve"> lentelė. Pradinė duomenų aprašomoji statistika</w:t>
      </w:r>
    </w:p>
    <w:tbl>
      <w:tblPr>
        <w:tblStyle w:val="TableGrid"/>
        <w:tblW w:w="8303" w:type="dxa"/>
        <w:jc w:val="center"/>
        <w:tblLook w:val="04A0" w:firstRow="1" w:lastRow="0" w:firstColumn="1" w:lastColumn="0" w:noHBand="0" w:noVBand="1"/>
      </w:tblPr>
      <w:tblGrid>
        <w:gridCol w:w="2231"/>
        <w:gridCol w:w="1154"/>
        <w:gridCol w:w="1023"/>
        <w:gridCol w:w="974"/>
        <w:gridCol w:w="992"/>
        <w:gridCol w:w="992"/>
        <w:gridCol w:w="937"/>
      </w:tblGrid>
      <w:tr w:rsidR="000221BF" w:rsidRPr="008277E3" w14:paraId="2FBEB2B2" w14:textId="77777777" w:rsidTr="007D1CDE">
        <w:trPr>
          <w:trHeight w:val="401"/>
          <w:jc w:val="center"/>
        </w:trPr>
        <w:tc>
          <w:tcPr>
            <w:tcW w:w="223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0BD86208" w14:textId="77777777" w:rsidR="00D70FE1" w:rsidRPr="008277E3" w:rsidRDefault="00D70FE1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1154" w:type="dxa"/>
            <w:vAlign w:val="center"/>
          </w:tcPr>
          <w:p w14:paraId="29D8C94B" w14:textId="77777777" w:rsidR="00D70FE1" w:rsidRPr="008277E3" w:rsidRDefault="00D70FE1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8277E3">
              <w:rPr>
                <w:rFonts w:ascii="Times New Roman" w:hAnsi="Times New Roman" w:cs="Times New Roman"/>
                <w:b/>
                <w:lang w:val="lt-LT"/>
              </w:rPr>
              <w:t>vidurkis</w:t>
            </w:r>
          </w:p>
        </w:tc>
        <w:tc>
          <w:tcPr>
            <w:tcW w:w="1023" w:type="dxa"/>
            <w:vAlign w:val="center"/>
          </w:tcPr>
          <w:p w14:paraId="7CAF0E98" w14:textId="77777777" w:rsidR="00D70FE1" w:rsidRPr="008277E3" w:rsidRDefault="00D70FE1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8277E3">
              <w:rPr>
                <w:rFonts w:ascii="Times New Roman" w:hAnsi="Times New Roman" w:cs="Times New Roman"/>
                <w:b/>
                <w:lang w:val="lt-LT"/>
              </w:rPr>
              <w:t>mediana</w:t>
            </w:r>
          </w:p>
        </w:tc>
        <w:tc>
          <w:tcPr>
            <w:tcW w:w="974" w:type="dxa"/>
            <w:vAlign w:val="center"/>
          </w:tcPr>
          <w:p w14:paraId="62CFE0F1" w14:textId="77777777" w:rsidR="00D70FE1" w:rsidRPr="008277E3" w:rsidRDefault="00D70FE1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8277E3">
              <w:rPr>
                <w:rFonts w:ascii="Times New Roman" w:hAnsi="Times New Roman" w:cs="Times New Roman"/>
                <w:b/>
                <w:lang w:val="lt-LT"/>
              </w:rPr>
              <w:t>min</w:t>
            </w:r>
          </w:p>
        </w:tc>
        <w:tc>
          <w:tcPr>
            <w:tcW w:w="992" w:type="dxa"/>
            <w:vAlign w:val="center"/>
          </w:tcPr>
          <w:p w14:paraId="5BF563FA" w14:textId="77777777" w:rsidR="00D70FE1" w:rsidRPr="008277E3" w:rsidRDefault="00D70FE1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proofErr w:type="spellStart"/>
            <w:r w:rsidRPr="008277E3">
              <w:rPr>
                <w:rFonts w:ascii="Times New Roman" w:hAnsi="Times New Roman" w:cs="Times New Roman"/>
                <w:b/>
                <w:lang w:val="lt-LT"/>
              </w:rPr>
              <w:t>max</w:t>
            </w:r>
            <w:proofErr w:type="spellEnd"/>
          </w:p>
        </w:tc>
        <w:tc>
          <w:tcPr>
            <w:tcW w:w="992" w:type="dxa"/>
            <w:vAlign w:val="center"/>
          </w:tcPr>
          <w:p w14:paraId="70095345" w14:textId="04A9921A" w:rsidR="00D70FE1" w:rsidRPr="008277E3" w:rsidRDefault="0060241B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lt-L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lt-LT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lt-L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7" w:type="dxa"/>
            <w:vAlign w:val="center"/>
          </w:tcPr>
          <w:p w14:paraId="30CC7C06" w14:textId="40A0E280" w:rsidR="00D70FE1" w:rsidRPr="008277E3" w:rsidRDefault="0060241B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lt-L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lt-LT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lt-LT"/>
                      </w:rPr>
                      <m:t>3</m:t>
                    </m:r>
                  </m:sub>
                </m:sSub>
              </m:oMath>
            </m:oMathPara>
          </w:p>
        </w:tc>
      </w:tr>
      <w:tr w:rsidR="000221BF" w:rsidRPr="008277E3" w14:paraId="542DF26D" w14:textId="77777777" w:rsidTr="000221BF">
        <w:trPr>
          <w:trHeight w:val="449"/>
          <w:jc w:val="center"/>
        </w:trPr>
        <w:tc>
          <w:tcPr>
            <w:tcW w:w="2231" w:type="dxa"/>
            <w:vAlign w:val="center"/>
          </w:tcPr>
          <w:p w14:paraId="41DA1933" w14:textId="77601073" w:rsidR="00D70FE1" w:rsidRPr="008277E3" w:rsidRDefault="000221BF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8277E3">
              <w:rPr>
                <w:rFonts w:ascii="Times New Roman" w:hAnsi="Times New Roman" w:cs="Times New Roman"/>
                <w:b/>
                <w:bCs/>
                <w:lang w:val="lt-LT"/>
              </w:rPr>
              <w:t>Naujagimio svoris</w:t>
            </w:r>
          </w:p>
        </w:tc>
        <w:tc>
          <w:tcPr>
            <w:tcW w:w="1154" w:type="dxa"/>
            <w:vAlign w:val="center"/>
          </w:tcPr>
          <w:p w14:paraId="5DA83B29" w14:textId="0277EDCD" w:rsidR="00D70FE1" w:rsidRPr="008277E3" w:rsidRDefault="00AB4D2F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119</w:t>
            </w:r>
            <w:r w:rsidR="008859D0" w:rsidRPr="008277E3">
              <w:rPr>
                <w:rFonts w:ascii="Times New Roman" w:hAnsi="Times New Roman" w:cs="Times New Roman"/>
                <w:lang w:val="lt-LT"/>
              </w:rPr>
              <w:t>,6</w:t>
            </w:r>
          </w:p>
        </w:tc>
        <w:tc>
          <w:tcPr>
            <w:tcW w:w="1023" w:type="dxa"/>
            <w:vAlign w:val="center"/>
          </w:tcPr>
          <w:p w14:paraId="19F28710" w14:textId="5C2CA7D4" w:rsidR="00D70FE1" w:rsidRPr="008277E3" w:rsidRDefault="008859D0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120</w:t>
            </w:r>
          </w:p>
        </w:tc>
        <w:tc>
          <w:tcPr>
            <w:tcW w:w="974" w:type="dxa"/>
            <w:vAlign w:val="center"/>
          </w:tcPr>
          <w:p w14:paraId="08342B43" w14:textId="0B2551BB" w:rsidR="00D70FE1" w:rsidRPr="008277E3" w:rsidRDefault="008859D0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55</w:t>
            </w:r>
          </w:p>
        </w:tc>
        <w:tc>
          <w:tcPr>
            <w:tcW w:w="992" w:type="dxa"/>
            <w:vAlign w:val="center"/>
          </w:tcPr>
          <w:p w14:paraId="546C5087" w14:textId="27C17F95" w:rsidR="00D70FE1" w:rsidRPr="008277E3" w:rsidRDefault="00AC2C4D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176</w:t>
            </w:r>
          </w:p>
        </w:tc>
        <w:tc>
          <w:tcPr>
            <w:tcW w:w="992" w:type="dxa"/>
            <w:vAlign w:val="center"/>
          </w:tcPr>
          <w:p w14:paraId="5A5A24CE" w14:textId="708D6100" w:rsidR="00D70FE1" w:rsidRPr="008277E3" w:rsidRDefault="00035502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109</w:t>
            </w:r>
          </w:p>
        </w:tc>
        <w:tc>
          <w:tcPr>
            <w:tcW w:w="937" w:type="dxa"/>
            <w:vAlign w:val="center"/>
          </w:tcPr>
          <w:p w14:paraId="4F42E3E7" w14:textId="5A083A3B" w:rsidR="00D70FE1" w:rsidRPr="008277E3" w:rsidRDefault="00DB4264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131</w:t>
            </w:r>
          </w:p>
        </w:tc>
      </w:tr>
      <w:tr w:rsidR="000221BF" w:rsidRPr="008277E3" w14:paraId="024A756A" w14:textId="77777777" w:rsidTr="000221BF">
        <w:trPr>
          <w:trHeight w:val="439"/>
          <w:jc w:val="center"/>
        </w:trPr>
        <w:tc>
          <w:tcPr>
            <w:tcW w:w="2231" w:type="dxa"/>
            <w:vAlign w:val="center"/>
          </w:tcPr>
          <w:p w14:paraId="01BA33D1" w14:textId="01A7E28E" w:rsidR="00D70FE1" w:rsidRPr="008277E3" w:rsidRDefault="000221BF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8277E3">
              <w:rPr>
                <w:rFonts w:ascii="Times New Roman" w:hAnsi="Times New Roman" w:cs="Times New Roman"/>
                <w:b/>
                <w:bCs/>
                <w:lang w:val="lt-LT"/>
              </w:rPr>
              <w:t>Nėštumo laikotarpis</w:t>
            </w:r>
          </w:p>
        </w:tc>
        <w:tc>
          <w:tcPr>
            <w:tcW w:w="1154" w:type="dxa"/>
            <w:vAlign w:val="center"/>
          </w:tcPr>
          <w:p w14:paraId="611BCF53" w14:textId="0AFF503D" w:rsidR="00D70FE1" w:rsidRPr="008277E3" w:rsidRDefault="00CF0F94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279</w:t>
            </w:r>
          </w:p>
        </w:tc>
        <w:tc>
          <w:tcPr>
            <w:tcW w:w="1023" w:type="dxa"/>
            <w:vAlign w:val="center"/>
          </w:tcPr>
          <w:p w14:paraId="02ED992B" w14:textId="4C315C68" w:rsidR="00D70FE1" w:rsidRPr="008277E3" w:rsidRDefault="00690FE1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280</w:t>
            </w:r>
          </w:p>
        </w:tc>
        <w:tc>
          <w:tcPr>
            <w:tcW w:w="974" w:type="dxa"/>
            <w:vAlign w:val="center"/>
          </w:tcPr>
          <w:p w14:paraId="7019BD51" w14:textId="25892A6C" w:rsidR="00D70FE1" w:rsidRPr="008277E3" w:rsidRDefault="00EF5673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148</w:t>
            </w:r>
          </w:p>
        </w:tc>
        <w:tc>
          <w:tcPr>
            <w:tcW w:w="992" w:type="dxa"/>
            <w:vAlign w:val="center"/>
          </w:tcPr>
          <w:p w14:paraId="2680BD32" w14:textId="600E8A33" w:rsidR="00D70FE1" w:rsidRPr="008277E3" w:rsidRDefault="000612C2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351</w:t>
            </w:r>
          </w:p>
        </w:tc>
        <w:tc>
          <w:tcPr>
            <w:tcW w:w="992" w:type="dxa"/>
            <w:vAlign w:val="center"/>
          </w:tcPr>
          <w:p w14:paraId="33E6FFCE" w14:textId="6D95F634" w:rsidR="00D70FE1" w:rsidRPr="008277E3" w:rsidRDefault="00900A52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27</w:t>
            </w:r>
            <w:r w:rsidR="00E154DA" w:rsidRPr="008277E3">
              <w:rPr>
                <w:rFonts w:ascii="Times New Roman" w:hAnsi="Times New Roman" w:cs="Times New Roman"/>
                <w:lang w:val="lt-LT"/>
              </w:rPr>
              <w:t>3</w:t>
            </w:r>
          </w:p>
        </w:tc>
        <w:tc>
          <w:tcPr>
            <w:tcW w:w="937" w:type="dxa"/>
            <w:vAlign w:val="center"/>
          </w:tcPr>
          <w:p w14:paraId="3FF0571B" w14:textId="38AC04FC" w:rsidR="00D70FE1" w:rsidRPr="008277E3" w:rsidRDefault="003D6AFD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288</w:t>
            </w:r>
          </w:p>
        </w:tc>
      </w:tr>
      <w:tr w:rsidR="000221BF" w:rsidRPr="008277E3" w14:paraId="199C55D7" w14:textId="77777777" w:rsidTr="000221BF">
        <w:trPr>
          <w:trHeight w:val="228"/>
          <w:jc w:val="center"/>
        </w:trPr>
        <w:tc>
          <w:tcPr>
            <w:tcW w:w="2231" w:type="dxa"/>
            <w:vAlign w:val="center"/>
          </w:tcPr>
          <w:p w14:paraId="7D87055F" w14:textId="0A9275F1" w:rsidR="00D70FE1" w:rsidRPr="008277E3" w:rsidRDefault="00E4360C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8277E3">
              <w:rPr>
                <w:rFonts w:ascii="Times New Roman" w:hAnsi="Times New Roman" w:cs="Times New Roman"/>
                <w:b/>
                <w:bCs/>
                <w:lang w:val="lt-LT"/>
              </w:rPr>
              <w:t>A</w:t>
            </w:r>
            <w:r w:rsidR="000221BF" w:rsidRPr="008277E3">
              <w:rPr>
                <w:rFonts w:ascii="Times New Roman" w:hAnsi="Times New Roman" w:cs="Times New Roman"/>
                <w:b/>
                <w:bCs/>
                <w:lang w:val="lt-LT"/>
              </w:rPr>
              <w:t>mžius</w:t>
            </w:r>
          </w:p>
        </w:tc>
        <w:tc>
          <w:tcPr>
            <w:tcW w:w="1154" w:type="dxa"/>
            <w:vAlign w:val="center"/>
          </w:tcPr>
          <w:p w14:paraId="783E876D" w14:textId="3BE3D709" w:rsidR="00D70FE1" w:rsidRPr="008277E3" w:rsidRDefault="00077473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27</w:t>
            </w:r>
          </w:p>
        </w:tc>
        <w:tc>
          <w:tcPr>
            <w:tcW w:w="1023" w:type="dxa"/>
            <w:vAlign w:val="center"/>
          </w:tcPr>
          <w:p w14:paraId="11DE672C" w14:textId="71F82A13" w:rsidR="00D70FE1" w:rsidRPr="008277E3" w:rsidRDefault="0098605D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26</w:t>
            </w:r>
          </w:p>
        </w:tc>
        <w:tc>
          <w:tcPr>
            <w:tcW w:w="974" w:type="dxa"/>
            <w:vAlign w:val="center"/>
          </w:tcPr>
          <w:p w14:paraId="1C28BF28" w14:textId="2BCCFB77" w:rsidR="00D70FE1" w:rsidRPr="008277E3" w:rsidRDefault="00CE21B4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15</w:t>
            </w:r>
          </w:p>
        </w:tc>
        <w:tc>
          <w:tcPr>
            <w:tcW w:w="992" w:type="dxa"/>
            <w:vAlign w:val="center"/>
          </w:tcPr>
          <w:p w14:paraId="623A0F89" w14:textId="0CB0036A" w:rsidR="00D70FE1" w:rsidRPr="008277E3" w:rsidRDefault="00855177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45</w:t>
            </w:r>
          </w:p>
        </w:tc>
        <w:tc>
          <w:tcPr>
            <w:tcW w:w="992" w:type="dxa"/>
            <w:vAlign w:val="center"/>
          </w:tcPr>
          <w:p w14:paraId="6872E8D6" w14:textId="4F2A56F0" w:rsidR="00D70FE1" w:rsidRPr="008277E3" w:rsidRDefault="009D67C6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23</w:t>
            </w:r>
          </w:p>
        </w:tc>
        <w:tc>
          <w:tcPr>
            <w:tcW w:w="937" w:type="dxa"/>
            <w:vAlign w:val="center"/>
          </w:tcPr>
          <w:p w14:paraId="1B5B536E" w14:textId="6694E8D4" w:rsidR="00D70FE1" w:rsidRPr="008277E3" w:rsidRDefault="00545821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31</w:t>
            </w:r>
          </w:p>
        </w:tc>
      </w:tr>
      <w:tr w:rsidR="000221BF" w:rsidRPr="008277E3" w14:paraId="5EB8BC8F" w14:textId="77777777" w:rsidTr="000221BF">
        <w:trPr>
          <w:trHeight w:val="218"/>
          <w:jc w:val="center"/>
        </w:trPr>
        <w:tc>
          <w:tcPr>
            <w:tcW w:w="2231" w:type="dxa"/>
            <w:vAlign w:val="center"/>
          </w:tcPr>
          <w:p w14:paraId="1D95D965" w14:textId="24C4DB10" w:rsidR="00D70FE1" w:rsidRPr="008277E3" w:rsidRDefault="000221BF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8277E3">
              <w:rPr>
                <w:rFonts w:ascii="Times New Roman" w:hAnsi="Times New Roman" w:cs="Times New Roman"/>
                <w:b/>
                <w:bCs/>
                <w:lang w:val="lt-LT"/>
              </w:rPr>
              <w:t>Nėščiosios svoris</w:t>
            </w:r>
          </w:p>
        </w:tc>
        <w:tc>
          <w:tcPr>
            <w:tcW w:w="1154" w:type="dxa"/>
            <w:vAlign w:val="center"/>
          </w:tcPr>
          <w:p w14:paraId="5DAFEA2A" w14:textId="3B764141" w:rsidR="00D70FE1" w:rsidRPr="008277E3" w:rsidRDefault="00E00547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63,98</w:t>
            </w:r>
          </w:p>
        </w:tc>
        <w:tc>
          <w:tcPr>
            <w:tcW w:w="1023" w:type="dxa"/>
            <w:vAlign w:val="center"/>
          </w:tcPr>
          <w:p w14:paraId="40B7352F" w14:textId="469A69BA" w:rsidR="00D70FE1" w:rsidRPr="008277E3" w:rsidRDefault="00BF6B4F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64</w:t>
            </w:r>
          </w:p>
        </w:tc>
        <w:tc>
          <w:tcPr>
            <w:tcW w:w="974" w:type="dxa"/>
            <w:vAlign w:val="center"/>
          </w:tcPr>
          <w:p w14:paraId="4F802371" w14:textId="48854ED8" w:rsidR="00D70FE1" w:rsidRPr="008277E3" w:rsidRDefault="004362EE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54</w:t>
            </w:r>
          </w:p>
        </w:tc>
        <w:tc>
          <w:tcPr>
            <w:tcW w:w="992" w:type="dxa"/>
            <w:vAlign w:val="center"/>
          </w:tcPr>
          <w:p w14:paraId="01DC77F4" w14:textId="1A86F61F" w:rsidR="00D70FE1" w:rsidRPr="008277E3" w:rsidRDefault="004F6369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72</w:t>
            </w:r>
          </w:p>
        </w:tc>
        <w:tc>
          <w:tcPr>
            <w:tcW w:w="992" w:type="dxa"/>
            <w:vAlign w:val="center"/>
          </w:tcPr>
          <w:p w14:paraId="01F26D36" w14:textId="74C8B478" w:rsidR="00D70FE1" w:rsidRPr="008277E3" w:rsidRDefault="005337E2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62</w:t>
            </w:r>
          </w:p>
        </w:tc>
        <w:tc>
          <w:tcPr>
            <w:tcW w:w="937" w:type="dxa"/>
            <w:vAlign w:val="center"/>
          </w:tcPr>
          <w:p w14:paraId="4C54727B" w14:textId="2D53B23C" w:rsidR="00D70FE1" w:rsidRPr="008277E3" w:rsidRDefault="005C5544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66</w:t>
            </w:r>
          </w:p>
        </w:tc>
      </w:tr>
      <w:tr w:rsidR="000221BF" w:rsidRPr="008277E3" w14:paraId="41746A57" w14:textId="77777777" w:rsidTr="000221BF">
        <w:trPr>
          <w:trHeight w:val="228"/>
          <w:jc w:val="center"/>
        </w:trPr>
        <w:tc>
          <w:tcPr>
            <w:tcW w:w="2231" w:type="dxa"/>
            <w:vAlign w:val="center"/>
          </w:tcPr>
          <w:p w14:paraId="70269103" w14:textId="327EB342" w:rsidR="00D70FE1" w:rsidRPr="008277E3" w:rsidRDefault="000221BF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8277E3">
              <w:rPr>
                <w:rFonts w:ascii="Times New Roman" w:hAnsi="Times New Roman" w:cs="Times New Roman"/>
                <w:b/>
                <w:bCs/>
                <w:lang w:val="lt-LT"/>
              </w:rPr>
              <w:t>Nėščiosios ūgis</w:t>
            </w:r>
          </w:p>
        </w:tc>
        <w:tc>
          <w:tcPr>
            <w:tcW w:w="1154" w:type="dxa"/>
            <w:vAlign w:val="center"/>
          </w:tcPr>
          <w:p w14:paraId="24C36A99" w14:textId="7AF976C5" w:rsidR="00D70FE1" w:rsidRPr="008277E3" w:rsidRDefault="00650CBF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128,6</w:t>
            </w:r>
          </w:p>
        </w:tc>
        <w:tc>
          <w:tcPr>
            <w:tcW w:w="1023" w:type="dxa"/>
            <w:vAlign w:val="center"/>
          </w:tcPr>
          <w:p w14:paraId="77DD36E9" w14:textId="4383A7D9" w:rsidR="00D70FE1" w:rsidRPr="008277E3" w:rsidRDefault="00650CBF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125</w:t>
            </w:r>
          </w:p>
        </w:tc>
        <w:tc>
          <w:tcPr>
            <w:tcW w:w="974" w:type="dxa"/>
            <w:vAlign w:val="center"/>
          </w:tcPr>
          <w:p w14:paraId="7C9085D9" w14:textId="24B69387" w:rsidR="00D70FE1" w:rsidRPr="008277E3" w:rsidRDefault="00F14E7B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87</w:t>
            </w:r>
          </w:p>
        </w:tc>
        <w:tc>
          <w:tcPr>
            <w:tcW w:w="992" w:type="dxa"/>
            <w:vAlign w:val="center"/>
          </w:tcPr>
          <w:p w14:paraId="4F6BC3C0" w14:textId="2B3B759C" w:rsidR="00D70FE1" w:rsidRPr="008277E3" w:rsidRDefault="00B8788E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217</w:t>
            </w:r>
          </w:p>
        </w:tc>
        <w:tc>
          <w:tcPr>
            <w:tcW w:w="992" w:type="dxa"/>
            <w:vAlign w:val="center"/>
          </w:tcPr>
          <w:p w14:paraId="74418892" w14:textId="4380B194" w:rsidR="00D70FE1" w:rsidRPr="008277E3" w:rsidRDefault="00B8788E" w:rsidP="000221BF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115</w:t>
            </w:r>
          </w:p>
        </w:tc>
        <w:tc>
          <w:tcPr>
            <w:tcW w:w="937" w:type="dxa"/>
            <w:vAlign w:val="center"/>
          </w:tcPr>
          <w:p w14:paraId="1121317E" w14:textId="276B2BDF" w:rsidR="00D70FE1" w:rsidRPr="008277E3" w:rsidRDefault="00B8788E" w:rsidP="000221BF">
            <w:pPr>
              <w:keepNext/>
              <w:spacing w:after="0" w:line="276" w:lineRule="auto"/>
              <w:jc w:val="center"/>
              <w:rPr>
                <w:rFonts w:ascii="Times New Roman" w:hAnsi="Times New Roman" w:cs="Times New Roman"/>
                <w:lang w:val="lt-LT"/>
              </w:rPr>
            </w:pPr>
            <w:r w:rsidRPr="008277E3">
              <w:rPr>
                <w:rFonts w:ascii="Times New Roman" w:hAnsi="Times New Roman" w:cs="Times New Roman"/>
                <w:lang w:val="lt-LT"/>
              </w:rPr>
              <w:t>139</w:t>
            </w:r>
          </w:p>
        </w:tc>
      </w:tr>
    </w:tbl>
    <w:p w14:paraId="473E150A" w14:textId="77777777" w:rsidR="00D4024C" w:rsidRPr="008277E3" w:rsidRDefault="00D4024C" w:rsidP="00C3288C">
      <w:pPr>
        <w:pStyle w:val="Caption"/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</w:pPr>
    </w:p>
    <w:p w14:paraId="0C991A46" w14:textId="64DCAEEA" w:rsidR="00324004" w:rsidRPr="008277E3" w:rsidRDefault="00C3288C" w:rsidP="00C3288C">
      <w:pPr>
        <w:pStyle w:val="Caption"/>
        <w:rPr>
          <w:rFonts w:ascii="Times New Roman" w:hAnsi="Times New Roman" w:cs="Times New Roman"/>
          <w:color w:val="000000" w:themeColor="text1"/>
          <w:sz w:val="28"/>
          <w:szCs w:val="28"/>
          <w:lang w:val="lt-LT"/>
        </w:rPr>
      </w:pP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begin"/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instrText xml:space="preserve"> SEQ Lentelė \* ARABIC </w:instrText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separate"/>
      </w:r>
      <w:r w:rsidR="00387BFD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lt-LT"/>
        </w:rPr>
        <w:t>2</w:t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end"/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t xml:space="preserve"> </w:t>
      </w:r>
      <w:r w:rsidR="00BF25C2"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t>l</w:t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t>entelė</w:t>
      </w:r>
      <w:r w:rsidR="00BF25C2"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t>. Dažnių lentelė apie nėštumą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001E" w:rsidRPr="008277E3" w14:paraId="297C2F3B" w14:textId="77777777" w:rsidTr="00F4001E">
        <w:tc>
          <w:tcPr>
            <w:tcW w:w="4508" w:type="dxa"/>
            <w:vAlign w:val="center"/>
          </w:tcPr>
          <w:p w14:paraId="775F0EF3" w14:textId="4C8B3FBA" w:rsidR="00F4001E" w:rsidRPr="008277E3" w:rsidRDefault="00F4001E" w:rsidP="00F4001E">
            <w:pPr>
              <w:spacing w:after="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Pirmas nėštumas</w:t>
            </w:r>
          </w:p>
        </w:tc>
        <w:tc>
          <w:tcPr>
            <w:tcW w:w="4508" w:type="dxa"/>
            <w:vAlign w:val="center"/>
          </w:tcPr>
          <w:p w14:paraId="14CD77DE" w14:textId="60D4538F" w:rsidR="00F4001E" w:rsidRPr="008277E3" w:rsidRDefault="00F4001E" w:rsidP="00F4001E">
            <w:pPr>
              <w:spacing w:after="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Ne pirmas nėštumas</w:t>
            </w:r>
          </w:p>
        </w:tc>
      </w:tr>
      <w:tr w:rsidR="00F4001E" w:rsidRPr="008277E3" w14:paraId="256AF0AF" w14:textId="77777777" w:rsidTr="00F4001E">
        <w:tc>
          <w:tcPr>
            <w:tcW w:w="4508" w:type="dxa"/>
            <w:vAlign w:val="center"/>
          </w:tcPr>
          <w:p w14:paraId="1C2CAB06" w14:textId="395D4511" w:rsidR="00F4001E" w:rsidRPr="008277E3" w:rsidRDefault="006A2A90" w:rsidP="00F4001E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598</w:t>
            </w:r>
          </w:p>
        </w:tc>
        <w:tc>
          <w:tcPr>
            <w:tcW w:w="4508" w:type="dxa"/>
            <w:vAlign w:val="center"/>
          </w:tcPr>
          <w:p w14:paraId="78A9CEAE" w14:textId="1B2080D3" w:rsidR="00F4001E" w:rsidRPr="008277E3" w:rsidRDefault="00197A92" w:rsidP="00F4001E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225</w:t>
            </w:r>
          </w:p>
        </w:tc>
      </w:tr>
    </w:tbl>
    <w:p w14:paraId="53F72CEB" w14:textId="77777777" w:rsidR="00F4001E" w:rsidRDefault="00F4001E" w:rsidP="00EF2CD6">
      <w:pPr>
        <w:spacing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</w:pPr>
    </w:p>
    <w:p w14:paraId="1BF1800E" w14:textId="77777777" w:rsidR="00E764F7" w:rsidRPr="00E63857" w:rsidRDefault="00E764F7" w:rsidP="00EF2CD6">
      <w:pPr>
        <w:spacing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039CF31" w14:textId="77777777" w:rsidR="007847AC" w:rsidRPr="008277E3" w:rsidRDefault="00D0765D" w:rsidP="007847AC">
      <w:pPr>
        <w:keepNext/>
        <w:spacing w:line="360" w:lineRule="auto"/>
        <w:ind w:firstLine="709"/>
        <w:jc w:val="center"/>
        <w:rPr>
          <w:lang w:val="lt-LT"/>
        </w:rPr>
      </w:pPr>
      <w:r w:rsidRPr="008277E3">
        <w:rPr>
          <w:rFonts w:asciiTheme="majorBidi" w:hAnsiTheme="majorBidi" w:cstheme="majorBidi"/>
          <w:noProof/>
          <w:color w:val="000000" w:themeColor="text1"/>
          <w:sz w:val="24"/>
          <w:szCs w:val="24"/>
          <w:lang w:val="lt-LT"/>
        </w:rPr>
        <w:lastRenderedPageBreak/>
        <w:drawing>
          <wp:inline distT="0" distB="0" distL="0" distR="0" wp14:anchorId="0BA9F15D" wp14:editId="340164ED">
            <wp:extent cx="3263662" cy="2787650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49" cy="283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B2E2" w14:textId="01F4E3E9" w:rsidR="005902BD" w:rsidRPr="00D96D64" w:rsidRDefault="007847AC" w:rsidP="00D96D64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</w:pP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begin"/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instrText xml:space="preserve"> SEQ pav. \* ARABIC </w:instrText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separate"/>
      </w:r>
      <w:r w:rsidR="009678AA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lt-LT"/>
        </w:rPr>
        <w:t>2</w:t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end"/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t xml:space="preserve"> pav. Histograma apie </w:t>
      </w:r>
      <w:r w:rsidR="005902BD"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t>nėštumą</w:t>
      </w:r>
    </w:p>
    <w:p w14:paraId="66284A33" w14:textId="7C245B1E" w:rsidR="00BD397A" w:rsidRPr="008277E3" w:rsidRDefault="00BF25C2" w:rsidP="00BF25C2">
      <w:pPr>
        <w:pStyle w:val="Caption"/>
        <w:rPr>
          <w:rFonts w:ascii="Times New Roman" w:hAnsi="Times New Roman" w:cs="Times New Roman"/>
          <w:color w:val="000000" w:themeColor="text1"/>
          <w:sz w:val="28"/>
          <w:szCs w:val="28"/>
          <w:lang w:val="lt-LT"/>
        </w:rPr>
      </w:pP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begin"/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instrText xml:space="preserve"> SEQ Lentelė \* ARABIC </w:instrText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separate"/>
      </w:r>
      <w:r w:rsidR="00387BFD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lt-LT"/>
        </w:rPr>
        <w:t>3</w:t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end"/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t xml:space="preserve"> lentelė. Dažnių lentelė apie rūkymą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001E" w:rsidRPr="008277E3" w14:paraId="6B9F474B" w14:textId="77777777" w:rsidTr="00F4001E">
        <w:tc>
          <w:tcPr>
            <w:tcW w:w="4508" w:type="dxa"/>
            <w:vAlign w:val="center"/>
          </w:tcPr>
          <w:p w14:paraId="4A5069F6" w14:textId="28FD5E7A" w:rsidR="00F4001E" w:rsidRPr="008277E3" w:rsidRDefault="00F4001E" w:rsidP="00F4001E">
            <w:pPr>
              <w:spacing w:after="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Rūko</w:t>
            </w:r>
          </w:p>
        </w:tc>
        <w:tc>
          <w:tcPr>
            <w:tcW w:w="4508" w:type="dxa"/>
            <w:vAlign w:val="center"/>
          </w:tcPr>
          <w:p w14:paraId="09FDE0A1" w14:textId="5EBEB3C6" w:rsidR="00F4001E" w:rsidRPr="008277E3" w:rsidRDefault="00F4001E" w:rsidP="00F4001E">
            <w:pPr>
              <w:spacing w:after="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Nerūko</w:t>
            </w:r>
          </w:p>
        </w:tc>
      </w:tr>
      <w:tr w:rsidR="00F4001E" w:rsidRPr="008277E3" w14:paraId="0C600BBE" w14:textId="77777777" w:rsidTr="00F4001E">
        <w:tc>
          <w:tcPr>
            <w:tcW w:w="4508" w:type="dxa"/>
            <w:vAlign w:val="center"/>
          </w:tcPr>
          <w:p w14:paraId="587EFB09" w14:textId="45CD9678" w:rsidR="00F4001E" w:rsidRPr="008277E3" w:rsidRDefault="00647438" w:rsidP="00F4001E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327</w:t>
            </w:r>
          </w:p>
        </w:tc>
        <w:tc>
          <w:tcPr>
            <w:tcW w:w="4508" w:type="dxa"/>
            <w:vAlign w:val="center"/>
          </w:tcPr>
          <w:p w14:paraId="1A716C9A" w14:textId="20B8CD8B" w:rsidR="00F4001E" w:rsidRPr="008277E3" w:rsidRDefault="00311255" w:rsidP="00BF25C2">
            <w:pPr>
              <w:keepNext/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496</w:t>
            </w:r>
          </w:p>
        </w:tc>
      </w:tr>
    </w:tbl>
    <w:p w14:paraId="563A5B15" w14:textId="3717C761" w:rsidR="009726A2" w:rsidRPr="008277E3" w:rsidRDefault="004A098E" w:rsidP="009726A2">
      <w:pPr>
        <w:keepNext/>
        <w:spacing w:line="360" w:lineRule="auto"/>
        <w:ind w:firstLine="709"/>
        <w:jc w:val="center"/>
        <w:rPr>
          <w:lang w:val="lt-LT"/>
        </w:rPr>
      </w:pPr>
      <w:r w:rsidRPr="008277E3">
        <w:rPr>
          <w:rFonts w:asciiTheme="majorBidi" w:hAnsiTheme="majorBidi" w:cstheme="majorBidi"/>
          <w:noProof/>
          <w:color w:val="000000" w:themeColor="text1"/>
          <w:sz w:val="24"/>
          <w:szCs w:val="24"/>
          <w:lang w:val="lt-LT"/>
        </w:rPr>
        <w:drawing>
          <wp:inline distT="0" distB="0" distL="0" distR="0" wp14:anchorId="692067F9" wp14:editId="4D1E45A8">
            <wp:extent cx="3364880" cy="3003550"/>
            <wp:effectExtent l="0" t="0" r="6985" b="635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515" cy="30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90A6" w14:textId="48A6750B" w:rsidR="004A098E" w:rsidRPr="008277E3" w:rsidRDefault="009726A2" w:rsidP="009726A2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</w:pP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begin"/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instrText xml:space="preserve"> SEQ pav. \* ARABIC </w:instrText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separate"/>
      </w:r>
      <w:r w:rsidR="009678AA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lt-LT"/>
        </w:rPr>
        <w:t>3</w:t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fldChar w:fldCharType="end"/>
      </w:r>
      <w:r w:rsidRPr="008277E3">
        <w:rPr>
          <w:rFonts w:ascii="Times New Roman" w:hAnsi="Times New Roman" w:cs="Times New Roman"/>
          <w:color w:val="000000" w:themeColor="text1"/>
          <w:sz w:val="20"/>
          <w:szCs w:val="20"/>
          <w:lang w:val="lt-LT"/>
        </w:rPr>
        <w:t xml:space="preserve"> pav. Histograma apie rūkymą</w:t>
      </w:r>
    </w:p>
    <w:p w14:paraId="714E60B7" w14:textId="77777777" w:rsidR="00C54B2D" w:rsidRPr="008277E3" w:rsidRDefault="001A6B34" w:rsidP="002B0ABD">
      <w:pPr>
        <w:spacing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Atlikę pirminę duomenų analizę </w:t>
      </w:r>
      <w:r w:rsidR="002B0ABD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pri</w:t>
      </w:r>
      <w:r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taikome kvantilių regresijos modelį</w:t>
      </w:r>
      <w:r w:rsidR="002B0ABD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ir tikriname prielaidas.</w:t>
      </w:r>
      <w:r w:rsidR="005D687A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F01D3D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Pirmiausia, tariame, jog atsitiktinių paklaidų kvantiliai lygus nuliui. Toliau turime patikrinti</w:t>
      </w:r>
      <w:r w:rsidR="00B01CF3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proofErr w:type="spellStart"/>
      <w:r w:rsidR="00B01CF3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tiesiškumą</w:t>
      </w:r>
      <w:proofErr w:type="spellEnd"/>
      <w:r w:rsidR="00B01CF3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– ar yra tiesinis sąryšis tarp </w:t>
      </w:r>
      <w:r w:rsidR="008B5887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priklausomo kintamojo ir kiekvienos kovariantės. Tam brėžiame grafikus. </w:t>
      </w:r>
    </w:p>
    <w:p w14:paraId="71C3BB01" w14:textId="025CFEA0" w:rsidR="004F5650" w:rsidRDefault="00440491" w:rsidP="006F71CF">
      <w:pPr>
        <w:keepNext/>
        <w:spacing w:line="360" w:lineRule="auto"/>
        <w:jc w:val="center"/>
      </w:pPr>
      <w:r w:rsidRPr="00440491">
        <w:rPr>
          <w:noProof/>
        </w:rPr>
        <w:lastRenderedPageBreak/>
        <w:drawing>
          <wp:inline distT="0" distB="0" distL="0" distR="0" wp14:anchorId="44A0E331" wp14:editId="2CD9C3FF">
            <wp:extent cx="5731510" cy="2889885"/>
            <wp:effectExtent l="0" t="0" r="2540" b="5715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5038" w14:textId="51AE459B" w:rsidR="00B07C8F" w:rsidRPr="006F71CF" w:rsidRDefault="004F5650" w:rsidP="006F71CF">
      <w:pPr>
        <w:pStyle w:val="Caption"/>
        <w:spacing w:line="360" w:lineRule="auto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</w:pP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SEQ Pav. \* ARABIC </w:instrText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9678AA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4</w:t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pav. </w:t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  <w:t>Tiesinis sąryšis tarp kūdikių svorių ir motinų svorių</w:t>
      </w:r>
    </w:p>
    <w:p w14:paraId="1A57CF63" w14:textId="6638E26C" w:rsidR="004F5650" w:rsidRDefault="00F76299" w:rsidP="004F5650">
      <w:pPr>
        <w:keepNext/>
        <w:spacing w:line="360" w:lineRule="auto"/>
        <w:jc w:val="center"/>
      </w:pPr>
      <w:r w:rsidRPr="00F76299">
        <w:rPr>
          <w:noProof/>
        </w:rPr>
        <w:drawing>
          <wp:inline distT="0" distB="0" distL="0" distR="0" wp14:anchorId="2F533402" wp14:editId="442EB79A">
            <wp:extent cx="5731510" cy="2865755"/>
            <wp:effectExtent l="0" t="0" r="2540" b="0"/>
            <wp:docPr id="12" name="Paveikslėlis 12" descr="Paveikslėlis, kuriame yra diagra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 descr="Paveikslėlis, kuriame yra diagrama&#10;&#10;Automatiškai sugeneruotas aprašyma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5102" w14:textId="103EC8F5" w:rsidR="004F5650" w:rsidRPr="004F5650" w:rsidRDefault="004F5650" w:rsidP="004F5650">
      <w:pPr>
        <w:pStyle w:val="Caption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</w:pP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SEQ Pav. \* ARABIC </w:instrText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9678AA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5</w:t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  <w:t>pav. Tiesinis sąryšis tarp kūdikių svorių ir nėštumo laikotarpio</w:t>
      </w:r>
    </w:p>
    <w:p w14:paraId="567A80AD" w14:textId="5FF993F0" w:rsidR="008144E1" w:rsidRPr="008277E3" w:rsidRDefault="008144E1" w:rsidP="004F5650">
      <w:pPr>
        <w:pStyle w:val="Caption"/>
        <w:jc w:val="center"/>
        <w:rPr>
          <w:lang w:val="lt-LT"/>
        </w:rPr>
      </w:pPr>
    </w:p>
    <w:p w14:paraId="318DA520" w14:textId="2DFE1684" w:rsidR="004F5650" w:rsidRDefault="00F76299" w:rsidP="004F5650">
      <w:pPr>
        <w:pStyle w:val="Caption"/>
        <w:keepNext/>
        <w:jc w:val="center"/>
      </w:pPr>
      <w:r w:rsidRPr="00F76299">
        <w:rPr>
          <w:noProof/>
        </w:rPr>
        <w:lastRenderedPageBreak/>
        <w:drawing>
          <wp:inline distT="0" distB="0" distL="0" distR="0" wp14:anchorId="07B29348" wp14:editId="5B66F1CE">
            <wp:extent cx="5731510" cy="2871470"/>
            <wp:effectExtent l="0" t="0" r="2540" b="5080"/>
            <wp:docPr id="13" name="Paveikslėlis 13" descr="Paveikslėlis, kuriame yra diagra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 descr="Paveikslėlis, kuriame yra diagrama&#10;&#10;Automatiškai sugeneruotas aprašyma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D3CA" w14:textId="385C624A" w:rsidR="00695AE0" w:rsidRPr="00B62AB1" w:rsidRDefault="004F5650" w:rsidP="00B62AB1">
      <w:pPr>
        <w:pStyle w:val="Caption"/>
        <w:spacing w:line="360" w:lineRule="auto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</w:pP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SEQ Pav. \* ARABIC </w:instrText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9678AA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6</w:t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pav. </w:t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  <w:t>Tiesinis sąryšis tarp kūdikių svorių ir motinų amžiaus</w:t>
      </w:r>
    </w:p>
    <w:p w14:paraId="093F7836" w14:textId="374B2176" w:rsidR="004F5650" w:rsidRDefault="001D5EC3" w:rsidP="004F5650">
      <w:pPr>
        <w:pStyle w:val="Caption"/>
        <w:keepNext/>
        <w:jc w:val="center"/>
      </w:pPr>
      <w:r w:rsidRPr="001D5EC3">
        <w:rPr>
          <w:noProof/>
        </w:rPr>
        <w:drawing>
          <wp:inline distT="0" distB="0" distL="0" distR="0" wp14:anchorId="584F88B4" wp14:editId="4A50D119">
            <wp:extent cx="5731510" cy="2871470"/>
            <wp:effectExtent l="0" t="0" r="2540" b="5080"/>
            <wp:docPr id="14" name="Paveikslėlis 14" descr="Paveikslėlis, kuriame yra diagra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 descr="Paveikslėlis, kuriame yra diagrama&#10;&#10;Automatiškai sugeneruotas aprašyma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E19C" w14:textId="34C52B6D" w:rsidR="003400A1" w:rsidRPr="00B62AB1" w:rsidRDefault="004F5650" w:rsidP="00B62AB1">
      <w:pPr>
        <w:pStyle w:val="Caption"/>
        <w:spacing w:line="360" w:lineRule="auto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</w:pP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SEQ Pav. \* ARABIC </w:instrText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9678AA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7</w:t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pav. </w:t>
      </w:r>
      <w:r w:rsidRPr="004F5650"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  <w:t>Tiesinis sąryšis tarp kūdikių svorių ir motinų ūgio</w:t>
      </w:r>
    </w:p>
    <w:p w14:paraId="7C491477" w14:textId="3774027A" w:rsidR="002E26CA" w:rsidRDefault="001503E5" w:rsidP="00B62A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Galime </w:t>
      </w:r>
      <w:r w:rsidR="00137415">
        <w:rPr>
          <w:rFonts w:ascii="Times New Roman" w:hAnsi="Times New Roman" w:cs="Times New Roman"/>
          <w:sz w:val="24"/>
          <w:szCs w:val="24"/>
          <w:lang w:val="lt-LT"/>
        </w:rPr>
        <w:t>pastebėti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, jog </w:t>
      </w:r>
      <w:proofErr w:type="spellStart"/>
      <w:r w:rsidR="009769DD">
        <w:rPr>
          <w:rFonts w:ascii="Times New Roman" w:hAnsi="Times New Roman" w:cs="Times New Roman"/>
          <w:sz w:val="24"/>
          <w:szCs w:val="24"/>
          <w:lang w:val="lt-LT"/>
        </w:rPr>
        <w:t>tiesiškumo</w:t>
      </w:r>
      <w:proofErr w:type="spellEnd"/>
      <w:r w:rsidR="009769DD">
        <w:rPr>
          <w:rFonts w:ascii="Times New Roman" w:hAnsi="Times New Roman" w:cs="Times New Roman"/>
          <w:sz w:val="24"/>
          <w:szCs w:val="24"/>
          <w:lang w:val="lt-LT"/>
        </w:rPr>
        <w:t xml:space="preserve"> sąlyga </w:t>
      </w:r>
      <w:r w:rsidR="00E23C80">
        <w:rPr>
          <w:rFonts w:ascii="Times New Roman" w:hAnsi="Times New Roman" w:cs="Times New Roman"/>
          <w:sz w:val="24"/>
          <w:szCs w:val="24"/>
          <w:lang w:val="lt-LT"/>
        </w:rPr>
        <w:t xml:space="preserve">išpildyta beveik visoms </w:t>
      </w:r>
      <w:proofErr w:type="spellStart"/>
      <w:r w:rsidR="00E23C80">
        <w:rPr>
          <w:rFonts w:ascii="Times New Roman" w:hAnsi="Times New Roman" w:cs="Times New Roman"/>
          <w:sz w:val="24"/>
          <w:szCs w:val="24"/>
          <w:lang w:val="lt-LT"/>
        </w:rPr>
        <w:t>kovariantėms</w:t>
      </w:r>
      <w:proofErr w:type="spellEnd"/>
      <w:r w:rsidR="00B62AB1">
        <w:rPr>
          <w:rFonts w:ascii="Times New Roman" w:hAnsi="Times New Roman" w:cs="Times New Roman"/>
          <w:sz w:val="24"/>
          <w:szCs w:val="24"/>
          <w:lang w:val="lt-LT"/>
        </w:rPr>
        <w:t>, bet tiesinį sąryšį tarp naujagimių svorių ir nėščiųjų amžiaus</w:t>
      </w:r>
      <w:r w:rsidR="00143DB7">
        <w:rPr>
          <w:rFonts w:ascii="Times New Roman" w:hAnsi="Times New Roman" w:cs="Times New Roman"/>
          <w:sz w:val="24"/>
          <w:szCs w:val="24"/>
          <w:lang w:val="lt-LT"/>
        </w:rPr>
        <w:t xml:space="preserve"> sunku įžvelgti. </w:t>
      </w:r>
      <w:r w:rsidR="00771E78">
        <w:rPr>
          <w:rFonts w:ascii="Times New Roman" w:hAnsi="Times New Roman" w:cs="Times New Roman"/>
          <w:sz w:val="24"/>
          <w:szCs w:val="24"/>
          <w:lang w:val="lt-LT"/>
        </w:rPr>
        <w:t xml:space="preserve">Nėščiųjų amžiaus </w:t>
      </w:r>
      <w:proofErr w:type="spellStart"/>
      <w:r w:rsidR="00771E78">
        <w:rPr>
          <w:rFonts w:ascii="Times New Roman" w:hAnsi="Times New Roman" w:cs="Times New Roman"/>
          <w:sz w:val="24"/>
          <w:szCs w:val="24"/>
          <w:lang w:val="lt-LT"/>
        </w:rPr>
        <w:t>kovariantei</w:t>
      </w:r>
      <w:proofErr w:type="spellEnd"/>
      <w:r w:rsidR="00771E78">
        <w:rPr>
          <w:rFonts w:ascii="Times New Roman" w:hAnsi="Times New Roman" w:cs="Times New Roman"/>
          <w:sz w:val="24"/>
          <w:szCs w:val="24"/>
          <w:lang w:val="lt-LT"/>
        </w:rPr>
        <w:t xml:space="preserve"> atlikome logaritminį transformavimą, tačiau jis nepad</w:t>
      </w:r>
      <w:r w:rsidR="006F71CF">
        <w:rPr>
          <w:rFonts w:ascii="Times New Roman" w:hAnsi="Times New Roman" w:cs="Times New Roman"/>
          <w:sz w:val="24"/>
          <w:szCs w:val="24"/>
          <w:lang w:val="lt-LT"/>
        </w:rPr>
        <w:t>ė</w:t>
      </w:r>
      <w:r w:rsidR="00771E78">
        <w:rPr>
          <w:rFonts w:ascii="Times New Roman" w:hAnsi="Times New Roman" w:cs="Times New Roman"/>
          <w:sz w:val="24"/>
          <w:szCs w:val="24"/>
          <w:lang w:val="lt-LT"/>
        </w:rPr>
        <w:t xml:space="preserve">jo. Taip pat matome, jog </w:t>
      </w:r>
      <w:r w:rsidR="006F71CF">
        <w:rPr>
          <w:rFonts w:ascii="Times New Roman" w:hAnsi="Times New Roman" w:cs="Times New Roman"/>
          <w:sz w:val="24"/>
          <w:szCs w:val="24"/>
          <w:lang w:val="lt-LT"/>
        </w:rPr>
        <w:t>tiesinis modelis nebūtų tinkamas, nes jis blogai aprašo duomenis, todėl reiktų rinktis kvantilių regresiją.</w:t>
      </w:r>
    </w:p>
    <w:p w14:paraId="48C7D54B" w14:textId="209DB77A" w:rsidR="008B5887" w:rsidRPr="008277E3" w:rsidRDefault="008B5887" w:rsidP="00EF2CD6">
      <w:pPr>
        <w:spacing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Taip pat turime patikrinti </w:t>
      </w:r>
      <w:r w:rsidR="00733663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ar neturime </w:t>
      </w:r>
      <w:proofErr w:type="spellStart"/>
      <w:r w:rsidR="00733663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multikolinearumo</w:t>
      </w:r>
      <w:proofErr w:type="spellEnd"/>
      <w:r w:rsidR="00733663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problemos</w:t>
      </w:r>
      <w:r w:rsidR="00A23750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. </w:t>
      </w:r>
      <w:r w:rsidR="00AA0780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Tikrinsime </w:t>
      </w:r>
      <w:r w:rsidR="00877163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modeli</w:t>
      </w:r>
      <w:r w:rsidR="00125035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us</w:t>
      </w:r>
      <w:r w:rsidR="006E33F2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,</w:t>
      </w:r>
      <w:r w:rsidR="00877163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su visomis </w:t>
      </w:r>
      <w:proofErr w:type="spellStart"/>
      <w:r w:rsidR="00877163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kovariantėmis</w:t>
      </w:r>
      <w:proofErr w:type="spellEnd"/>
      <w:r w:rsidR="00405880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9A7763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bei atskirai su kiekvien</w:t>
      </w:r>
      <w:r w:rsidR="00183EC0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a </w:t>
      </w:r>
      <w:proofErr w:type="spellStart"/>
      <w:r w:rsidR="00285EC8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kovariante</w:t>
      </w:r>
      <w:proofErr w:type="spellEnd"/>
      <w:r w:rsidR="00EC022A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ir lyginsime</w:t>
      </w:r>
      <w:r w:rsidR="00125035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jų</w:t>
      </w:r>
      <w:r w:rsidR="00405284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405284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lastRenderedPageBreak/>
        <w:t>koeficientų</w:t>
      </w:r>
      <w:r w:rsidR="00EC022A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ženklus.</w:t>
      </w:r>
      <w:r w:rsidR="006F71CF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405284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Koeficientų ženklų n</w:t>
      </w:r>
      <w:r w:rsidR="00867CA1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etikrinsime </w:t>
      </w:r>
      <w:r w:rsidR="003D52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pirmojo nėštumo ir rūkymo </w:t>
      </w:r>
      <w:proofErr w:type="spellStart"/>
      <w:r w:rsidR="003D52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kovariantėms</w:t>
      </w:r>
      <w:proofErr w:type="spellEnd"/>
      <w:r w:rsidR="003D52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, nes </w:t>
      </w:r>
      <w:r w:rsidR="008A5C11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tai</w:t>
      </w:r>
      <w:r w:rsidR="000B6C70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kategoriniai kintamieji.</w:t>
      </w:r>
    </w:p>
    <w:p w14:paraId="6C572171" w14:textId="2EE8F007" w:rsidR="00D875F6" w:rsidRPr="00D875F6" w:rsidRDefault="00D875F6" w:rsidP="00D875F6">
      <w:pPr>
        <w:pStyle w:val="Caption"/>
        <w:keepNext/>
        <w:ind w:firstLine="426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875F6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Pr="00D875F6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SEQ Lentelė \* ARABIC </w:instrText>
      </w:r>
      <w:r w:rsidRPr="00D875F6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387BFD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4</w:t>
      </w:r>
      <w:r w:rsidRPr="00D875F6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 w:rsidRPr="00D875F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r w:rsidRPr="00D875F6"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  <w:t xml:space="preserve">lentelė. Modelio, su visomis </w:t>
      </w:r>
      <w:proofErr w:type="spellStart"/>
      <w:r w:rsidRPr="00D875F6"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  <w:t>kovariantėmis</w:t>
      </w:r>
      <w:proofErr w:type="spellEnd"/>
      <w:r w:rsidRPr="00D875F6"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  <w:t>, koeficientai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2211"/>
        <w:gridCol w:w="1701"/>
        <w:gridCol w:w="1559"/>
        <w:gridCol w:w="1418"/>
      </w:tblGrid>
      <w:tr w:rsidR="00566321" w:rsidRPr="008277E3" w14:paraId="614A111D" w14:textId="53C8824A" w:rsidTr="00FC4E51">
        <w:trPr>
          <w:jc w:val="center"/>
        </w:trPr>
        <w:tc>
          <w:tcPr>
            <w:tcW w:w="1470" w:type="dxa"/>
            <w:vAlign w:val="center"/>
          </w:tcPr>
          <w:p w14:paraId="32D601AD" w14:textId="14CF85C9" w:rsidR="00566321" w:rsidRPr="008277E3" w:rsidRDefault="00566321" w:rsidP="0051165D">
            <w:pPr>
              <w:spacing w:after="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Kovariantės</w:t>
            </w:r>
          </w:p>
        </w:tc>
        <w:tc>
          <w:tcPr>
            <w:tcW w:w="2211" w:type="dxa"/>
            <w:vAlign w:val="center"/>
          </w:tcPr>
          <w:p w14:paraId="570B06FD" w14:textId="15136AD4" w:rsidR="00566321" w:rsidRPr="008277E3" w:rsidRDefault="00566321" w:rsidP="0051165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Nėštumo laikotarpis</w:t>
            </w:r>
          </w:p>
        </w:tc>
        <w:tc>
          <w:tcPr>
            <w:tcW w:w="1701" w:type="dxa"/>
            <w:vAlign w:val="center"/>
          </w:tcPr>
          <w:p w14:paraId="5D17FA24" w14:textId="1A88E231" w:rsidR="00566321" w:rsidRPr="008277E3" w:rsidRDefault="00566321" w:rsidP="0051165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Moters amžius</w:t>
            </w:r>
          </w:p>
        </w:tc>
        <w:tc>
          <w:tcPr>
            <w:tcW w:w="1559" w:type="dxa"/>
            <w:vAlign w:val="center"/>
          </w:tcPr>
          <w:p w14:paraId="7BE415EF" w14:textId="36D81E29" w:rsidR="00566321" w:rsidRPr="008277E3" w:rsidRDefault="00566321" w:rsidP="0051165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Moters svoris</w:t>
            </w:r>
          </w:p>
        </w:tc>
        <w:tc>
          <w:tcPr>
            <w:tcW w:w="1418" w:type="dxa"/>
            <w:vAlign w:val="center"/>
          </w:tcPr>
          <w:p w14:paraId="782A7060" w14:textId="7CF692F4" w:rsidR="00566321" w:rsidRPr="008277E3" w:rsidRDefault="00566321" w:rsidP="0051165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Moters ūgis</w:t>
            </w:r>
          </w:p>
        </w:tc>
      </w:tr>
      <w:tr w:rsidR="00566321" w:rsidRPr="008277E3" w14:paraId="7F87C59E" w14:textId="18D7DEE8" w:rsidTr="00FC4E51">
        <w:trPr>
          <w:jc w:val="center"/>
        </w:trPr>
        <w:tc>
          <w:tcPr>
            <w:tcW w:w="1470" w:type="dxa"/>
            <w:vAlign w:val="center"/>
          </w:tcPr>
          <w:p w14:paraId="717F71CE" w14:textId="5D20C9E6" w:rsidR="00566321" w:rsidRPr="00F4001E" w:rsidRDefault="00566321" w:rsidP="0051165D">
            <w:pPr>
              <w:spacing w:after="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Koeficientai</w:t>
            </w:r>
          </w:p>
        </w:tc>
        <w:tc>
          <w:tcPr>
            <w:tcW w:w="2211" w:type="dxa"/>
            <w:vAlign w:val="center"/>
          </w:tcPr>
          <w:p w14:paraId="413DD7BC" w14:textId="7078A230" w:rsidR="00566321" w:rsidRPr="008277E3" w:rsidRDefault="00566321" w:rsidP="0051165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0.4868</w:t>
            </w:r>
          </w:p>
        </w:tc>
        <w:tc>
          <w:tcPr>
            <w:tcW w:w="1701" w:type="dxa"/>
            <w:vAlign w:val="center"/>
          </w:tcPr>
          <w:p w14:paraId="7C8A1059" w14:textId="35CC0066" w:rsidR="00566321" w:rsidRPr="008277E3" w:rsidRDefault="00566321" w:rsidP="0051165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-</w:t>
            </w:r>
            <w:r w:rsidR="00650AB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0.001</w:t>
            </w:r>
            <w:r w:rsidR="00FC4E51"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5</w:t>
            </w:r>
          </w:p>
        </w:tc>
        <w:tc>
          <w:tcPr>
            <w:tcW w:w="1559" w:type="dxa"/>
            <w:vAlign w:val="center"/>
          </w:tcPr>
          <w:p w14:paraId="57A22A5B" w14:textId="175A84FE" w:rsidR="00566321" w:rsidRPr="008277E3" w:rsidRDefault="00566321" w:rsidP="0051165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0.0684</w:t>
            </w:r>
          </w:p>
        </w:tc>
        <w:tc>
          <w:tcPr>
            <w:tcW w:w="1418" w:type="dxa"/>
            <w:vAlign w:val="center"/>
          </w:tcPr>
          <w:p w14:paraId="033FC100" w14:textId="1E6CEF53" w:rsidR="00566321" w:rsidRPr="008277E3" w:rsidRDefault="00566321" w:rsidP="0051165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1.1192</w:t>
            </w:r>
          </w:p>
        </w:tc>
      </w:tr>
    </w:tbl>
    <w:p w14:paraId="20DBC516" w14:textId="7F08E73C" w:rsidR="00F47D1F" w:rsidRPr="008277E3" w:rsidRDefault="00F47D1F" w:rsidP="00F47D1F">
      <w:pPr>
        <w:spacing w:line="360" w:lineRule="auto"/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lt-LT"/>
        </w:rPr>
      </w:pPr>
    </w:p>
    <w:p w14:paraId="47729B08" w14:textId="261E0389" w:rsidR="00D875F6" w:rsidRPr="00D875F6" w:rsidRDefault="00D875F6" w:rsidP="00D875F6">
      <w:pPr>
        <w:spacing w:line="360" w:lineRule="auto"/>
        <w:ind w:firstLine="284"/>
        <w:rPr>
          <w:rFonts w:asciiTheme="majorBidi" w:hAnsiTheme="majorBidi" w:cstheme="majorBidi"/>
          <w:i/>
          <w:iCs/>
          <w:color w:val="000000" w:themeColor="text1"/>
          <w:sz w:val="20"/>
          <w:szCs w:val="20"/>
          <w:lang w:val="lt-LT"/>
        </w:rPr>
      </w:pPr>
      <w:r w:rsidRPr="00D875F6">
        <w:rPr>
          <w:rFonts w:asciiTheme="majorBidi" w:hAnsiTheme="majorBidi" w:cstheme="majorBidi"/>
          <w:sz w:val="20"/>
          <w:szCs w:val="20"/>
        </w:rPr>
        <w:fldChar w:fldCharType="begin"/>
      </w:r>
      <w:r w:rsidRPr="00D875F6">
        <w:rPr>
          <w:rFonts w:asciiTheme="majorBidi" w:hAnsiTheme="majorBidi" w:cstheme="majorBidi"/>
          <w:sz w:val="20"/>
          <w:szCs w:val="20"/>
        </w:rPr>
        <w:instrText xml:space="preserve"> SEQ Lentelė \* ARABIC </w:instrText>
      </w:r>
      <w:r w:rsidRPr="00D875F6">
        <w:rPr>
          <w:rFonts w:asciiTheme="majorBidi" w:hAnsiTheme="majorBidi" w:cstheme="majorBidi"/>
          <w:sz w:val="20"/>
          <w:szCs w:val="20"/>
        </w:rPr>
        <w:fldChar w:fldCharType="separate"/>
      </w:r>
      <w:r w:rsidR="00387BFD">
        <w:rPr>
          <w:rFonts w:asciiTheme="majorBidi" w:hAnsiTheme="majorBidi" w:cstheme="majorBidi"/>
          <w:noProof/>
          <w:sz w:val="20"/>
          <w:szCs w:val="20"/>
        </w:rPr>
        <w:t>5</w:t>
      </w:r>
      <w:r w:rsidRPr="00D875F6">
        <w:rPr>
          <w:rFonts w:asciiTheme="majorBidi" w:hAnsiTheme="majorBidi" w:cstheme="majorBidi"/>
          <w:sz w:val="20"/>
          <w:szCs w:val="20"/>
        </w:rPr>
        <w:fldChar w:fldCharType="end"/>
      </w:r>
      <w:r w:rsidRPr="00D875F6">
        <w:rPr>
          <w:rFonts w:asciiTheme="majorBidi" w:hAnsiTheme="majorBidi" w:cstheme="majorBidi"/>
          <w:sz w:val="20"/>
          <w:szCs w:val="20"/>
        </w:rPr>
        <w:t xml:space="preserve"> </w:t>
      </w:r>
      <w:r w:rsidRPr="00D875F6">
        <w:rPr>
          <w:rFonts w:asciiTheme="majorBidi" w:hAnsiTheme="majorBidi" w:cstheme="majorBidi"/>
          <w:i/>
          <w:iCs/>
          <w:color w:val="000000" w:themeColor="text1"/>
          <w:sz w:val="20"/>
          <w:szCs w:val="20"/>
          <w:lang w:val="lt-LT"/>
        </w:rPr>
        <w:t xml:space="preserve">lentelė. Modelio, su atskiromis </w:t>
      </w:r>
      <w:proofErr w:type="spellStart"/>
      <w:r w:rsidRPr="00D875F6">
        <w:rPr>
          <w:rFonts w:asciiTheme="majorBidi" w:hAnsiTheme="majorBidi" w:cstheme="majorBidi"/>
          <w:i/>
          <w:iCs/>
          <w:color w:val="000000" w:themeColor="text1"/>
          <w:sz w:val="20"/>
          <w:szCs w:val="20"/>
          <w:lang w:val="lt-LT"/>
        </w:rPr>
        <w:t>kovariantėmis</w:t>
      </w:r>
      <w:proofErr w:type="spellEnd"/>
      <w:r w:rsidRPr="00D875F6">
        <w:rPr>
          <w:rFonts w:asciiTheme="majorBidi" w:hAnsiTheme="majorBidi" w:cstheme="majorBidi"/>
          <w:i/>
          <w:iCs/>
          <w:color w:val="000000" w:themeColor="text1"/>
          <w:sz w:val="20"/>
          <w:szCs w:val="20"/>
          <w:lang w:val="lt-LT"/>
        </w:rPr>
        <w:t>, koeficientai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249"/>
        <w:gridCol w:w="1720"/>
        <w:gridCol w:w="1559"/>
        <w:gridCol w:w="1417"/>
      </w:tblGrid>
      <w:tr w:rsidR="00566321" w:rsidRPr="008277E3" w14:paraId="0C97E09C" w14:textId="77777777" w:rsidTr="00FC4E51">
        <w:trPr>
          <w:trHeight w:val="68"/>
          <w:jc w:val="center"/>
        </w:trPr>
        <w:tc>
          <w:tcPr>
            <w:tcW w:w="1555" w:type="dxa"/>
            <w:vAlign w:val="center"/>
          </w:tcPr>
          <w:p w14:paraId="52D9FD32" w14:textId="2276F32B" w:rsidR="00566321" w:rsidRPr="008277E3" w:rsidRDefault="00566321" w:rsidP="00FC4E51">
            <w:pPr>
              <w:spacing w:after="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Kovariantė</w:t>
            </w:r>
            <w:r w:rsidR="00FC4E51" w:rsidRPr="00827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s</w:t>
            </w:r>
          </w:p>
        </w:tc>
        <w:tc>
          <w:tcPr>
            <w:tcW w:w="2249" w:type="dxa"/>
            <w:vAlign w:val="center"/>
          </w:tcPr>
          <w:p w14:paraId="0FD357EF" w14:textId="20B2EAAA" w:rsidR="00566321" w:rsidRPr="008277E3" w:rsidRDefault="00566321" w:rsidP="00FC4E51">
            <w:pPr>
              <w:spacing w:after="0" w:line="276" w:lineRule="auto"/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Nėštumo laikotarpis</w:t>
            </w:r>
          </w:p>
        </w:tc>
        <w:tc>
          <w:tcPr>
            <w:tcW w:w="1720" w:type="dxa"/>
            <w:vAlign w:val="center"/>
          </w:tcPr>
          <w:p w14:paraId="39E12D76" w14:textId="6637313A" w:rsidR="00566321" w:rsidRPr="008277E3" w:rsidRDefault="00566321" w:rsidP="00FC4E51">
            <w:pPr>
              <w:spacing w:after="0" w:line="276" w:lineRule="auto"/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Moters amžius</w:t>
            </w:r>
          </w:p>
        </w:tc>
        <w:tc>
          <w:tcPr>
            <w:tcW w:w="1559" w:type="dxa"/>
            <w:vAlign w:val="center"/>
          </w:tcPr>
          <w:p w14:paraId="0E99E635" w14:textId="5A1ECA26" w:rsidR="00566321" w:rsidRPr="008277E3" w:rsidRDefault="00566321" w:rsidP="00FC4E51">
            <w:pPr>
              <w:spacing w:after="0" w:line="276" w:lineRule="auto"/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Moters svoris</w:t>
            </w:r>
          </w:p>
        </w:tc>
        <w:tc>
          <w:tcPr>
            <w:tcW w:w="1417" w:type="dxa"/>
            <w:vAlign w:val="center"/>
          </w:tcPr>
          <w:p w14:paraId="412126AB" w14:textId="71D06027" w:rsidR="00566321" w:rsidRPr="008277E3" w:rsidRDefault="00566321" w:rsidP="00FC4E51">
            <w:pPr>
              <w:spacing w:after="0" w:line="276" w:lineRule="auto"/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Moters ūgis</w:t>
            </w:r>
          </w:p>
        </w:tc>
      </w:tr>
      <w:tr w:rsidR="00566321" w:rsidRPr="008277E3" w14:paraId="30D94581" w14:textId="77777777" w:rsidTr="00FC4E51">
        <w:trPr>
          <w:jc w:val="center"/>
        </w:trPr>
        <w:tc>
          <w:tcPr>
            <w:tcW w:w="1555" w:type="dxa"/>
            <w:vAlign w:val="center"/>
          </w:tcPr>
          <w:p w14:paraId="399083F5" w14:textId="384AF962" w:rsidR="00566321" w:rsidRPr="008277E3" w:rsidRDefault="00566321" w:rsidP="00FC4E51">
            <w:pPr>
              <w:spacing w:after="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Koeficientai</w:t>
            </w:r>
          </w:p>
        </w:tc>
        <w:tc>
          <w:tcPr>
            <w:tcW w:w="2249" w:type="dxa"/>
            <w:vAlign w:val="center"/>
          </w:tcPr>
          <w:p w14:paraId="78232C30" w14:textId="7F3C30D5" w:rsidR="00566321" w:rsidRPr="008277E3" w:rsidRDefault="00566321" w:rsidP="00FC4E51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0.5348</w:t>
            </w:r>
          </w:p>
        </w:tc>
        <w:tc>
          <w:tcPr>
            <w:tcW w:w="1720" w:type="dxa"/>
            <w:vAlign w:val="center"/>
          </w:tcPr>
          <w:p w14:paraId="786313A3" w14:textId="4B2213A3" w:rsidR="00566321" w:rsidRPr="008277E3" w:rsidRDefault="00566321" w:rsidP="00FC4E51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1.5067e-15</w:t>
            </w:r>
          </w:p>
        </w:tc>
        <w:tc>
          <w:tcPr>
            <w:tcW w:w="1559" w:type="dxa"/>
            <w:vAlign w:val="center"/>
          </w:tcPr>
          <w:p w14:paraId="0BF54B21" w14:textId="4ADB62C4" w:rsidR="00566321" w:rsidRPr="008277E3" w:rsidRDefault="00566321" w:rsidP="00FC4E51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0.123</w:t>
            </w:r>
            <w:r w:rsidR="0089307C"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6</w:t>
            </w:r>
          </w:p>
        </w:tc>
        <w:tc>
          <w:tcPr>
            <w:tcW w:w="1417" w:type="dxa"/>
            <w:vAlign w:val="center"/>
          </w:tcPr>
          <w:p w14:paraId="5C4FEEA7" w14:textId="6A1559B4" w:rsidR="00566321" w:rsidRPr="008277E3" w:rsidRDefault="00566321" w:rsidP="00FC4E51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 w:rsidRPr="00827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1.5</w:t>
            </w:r>
          </w:p>
        </w:tc>
      </w:tr>
    </w:tbl>
    <w:p w14:paraId="18DF3130" w14:textId="77777777" w:rsidR="00D875F6" w:rsidRDefault="00D875F6" w:rsidP="00CC2961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</w:pPr>
    </w:p>
    <w:p w14:paraId="12BD3CFD" w14:textId="7EDE54E7" w:rsidR="002F182C" w:rsidRDefault="002C64B1" w:rsidP="009E139A">
      <w:pPr>
        <w:spacing w:line="360" w:lineRule="auto"/>
        <w:ind w:firstLine="720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Kaip matome visi ženklai sutampa</w:t>
      </w:r>
      <w:r w:rsidR="00801E0D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,</w:t>
      </w:r>
      <w:r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išsk</w:t>
      </w:r>
      <w:r w:rsidR="00801E0D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yru</w:t>
      </w:r>
      <w:r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s </w:t>
      </w:r>
      <w:r w:rsidR="00801E0D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amžiaus</w:t>
      </w:r>
      <w:r w:rsidR="005E696C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. Tai reiškia</w:t>
      </w:r>
      <w:r w:rsidR="001D0BFF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, jog </w:t>
      </w:r>
      <w:proofErr w:type="spellStart"/>
      <w:r w:rsidR="001B4D08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multikoline</w:t>
      </w:r>
      <w:r w:rsidR="008142CA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a</w:t>
      </w:r>
      <w:r w:rsidR="001B4D08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rumo</w:t>
      </w:r>
      <w:proofErr w:type="spellEnd"/>
      <w:r w:rsidR="001B4D08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problem</w:t>
      </w:r>
      <w:r w:rsidR="008142CA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ą gali sukelti būtent ši kovariantė</w:t>
      </w:r>
      <w:r w:rsidR="001B4D08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.</w:t>
      </w:r>
      <w:r w:rsidR="008142CA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0E38F1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Ją fiksuojame ir</w:t>
      </w:r>
      <w:r w:rsidR="00DD72C3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tikrinsime, ar atlikus pažings</w:t>
      </w:r>
      <w:r w:rsid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n</w:t>
      </w:r>
      <w:r w:rsidR="00DD72C3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inę regresij</w:t>
      </w:r>
      <w:r w:rsidR="006A4EF9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ą amžiaus kovariantė išliks reikšminga, jei ne – </w:t>
      </w:r>
      <w:proofErr w:type="spellStart"/>
      <w:r w:rsidR="006A4EF9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multikolinearumo</w:t>
      </w:r>
      <w:proofErr w:type="spellEnd"/>
      <w:r w:rsidR="006A4EF9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problema bus išspręsta.</w:t>
      </w:r>
      <w:r w:rsidR="000E38F1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</w:p>
    <w:p w14:paraId="0D21360B" w14:textId="4D2785D8" w:rsidR="00016DDF" w:rsidRDefault="00016DDF" w:rsidP="009E139A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sz w:val="24"/>
          <w:szCs w:val="24"/>
          <w:lang w:val="lt-LT"/>
        </w:rPr>
        <w:t>Nors kvantilių regresija nėra jautri išskirtims, labai išsiskiriančios reikšmės vis tiek gali turėti įtakos gautiems rezultatams</w:t>
      </w:r>
      <w:r>
        <w:rPr>
          <w:rFonts w:asciiTheme="majorBidi" w:hAnsiTheme="majorBidi" w:cstheme="majorBidi"/>
          <w:sz w:val="24"/>
          <w:szCs w:val="24"/>
          <w:lang w:val="lt-LT"/>
        </w:rPr>
        <w:t xml:space="preserve">, todėl </w:t>
      </w:r>
      <w:r w:rsidR="00302670">
        <w:rPr>
          <w:rFonts w:asciiTheme="majorBidi" w:hAnsiTheme="majorBidi" w:cstheme="majorBidi"/>
          <w:sz w:val="24"/>
          <w:szCs w:val="24"/>
          <w:lang w:val="lt-LT"/>
        </w:rPr>
        <w:t>naudojant Kuko matą</w:t>
      </w:r>
      <w:r w:rsidR="000244FF">
        <w:rPr>
          <w:rFonts w:asciiTheme="majorBidi" w:hAnsiTheme="majorBidi" w:cstheme="majorBidi"/>
          <w:sz w:val="24"/>
          <w:szCs w:val="24"/>
          <w:lang w:val="lt-LT"/>
        </w:rPr>
        <w:t xml:space="preserve"> tai </w:t>
      </w:r>
      <w:r w:rsidR="00302670">
        <w:rPr>
          <w:rFonts w:asciiTheme="majorBidi" w:hAnsiTheme="majorBidi" w:cstheme="majorBidi"/>
          <w:sz w:val="24"/>
          <w:szCs w:val="24"/>
          <w:lang w:val="lt-LT"/>
        </w:rPr>
        <w:t>patikrinsime</w:t>
      </w:r>
      <w:r w:rsidR="000244FF">
        <w:rPr>
          <w:rFonts w:asciiTheme="majorBidi" w:hAnsiTheme="majorBidi" w:cstheme="majorBidi"/>
          <w:sz w:val="24"/>
          <w:szCs w:val="24"/>
          <w:lang w:val="lt-LT"/>
        </w:rPr>
        <w:t>.</w:t>
      </w:r>
    </w:p>
    <w:p w14:paraId="342E9EFC" w14:textId="77777777" w:rsidR="00AC4377" w:rsidRDefault="00F73D34" w:rsidP="00AC4377">
      <w:pPr>
        <w:keepNext/>
        <w:spacing w:line="360" w:lineRule="auto"/>
        <w:jc w:val="both"/>
      </w:pPr>
      <w:r w:rsidRPr="00F73D34">
        <w:rPr>
          <w:rFonts w:asciiTheme="majorBidi" w:hAnsiTheme="majorBidi" w:cstheme="majorBidi"/>
          <w:noProof/>
          <w:color w:val="000000" w:themeColor="text1"/>
          <w:sz w:val="24"/>
          <w:szCs w:val="24"/>
          <w:lang w:val="lt-LT"/>
        </w:rPr>
        <w:drawing>
          <wp:inline distT="0" distB="0" distL="0" distR="0" wp14:anchorId="37734CB6" wp14:editId="7741E681">
            <wp:extent cx="5731510" cy="2886075"/>
            <wp:effectExtent l="0" t="0" r="2540" b="952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38"/>
                    <a:stretch/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1213F" w14:textId="7A4FB6CF" w:rsidR="00F73D34" w:rsidRPr="009678AA" w:rsidRDefault="00AC4377" w:rsidP="009678AA">
      <w:pPr>
        <w:pStyle w:val="Caption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lt-LT"/>
        </w:rPr>
      </w:pPr>
      <w:r w:rsidRPr="009678AA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Pr="009678AA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SEQ Pav. \* ARABIC </w:instrText>
      </w:r>
      <w:r w:rsidRPr="009678AA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9678AA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8</w:t>
      </w:r>
      <w:r w:rsidRPr="009678AA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 w:rsidRPr="009678AA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pav. Kuko</w:t>
      </w:r>
      <w:r w:rsidR="009678AA" w:rsidRPr="009678AA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="009678AA" w:rsidRPr="009678AA">
        <w:rPr>
          <w:rFonts w:asciiTheme="majorBidi" w:hAnsiTheme="majorBidi" w:cstheme="majorBidi"/>
          <w:color w:val="000000" w:themeColor="text1"/>
          <w:sz w:val="20"/>
          <w:szCs w:val="20"/>
        </w:rPr>
        <w:t>išskirčių</w:t>
      </w:r>
      <w:proofErr w:type="spellEnd"/>
      <w:r w:rsidR="009678AA" w:rsidRPr="009678AA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="009678AA" w:rsidRPr="009678AA">
        <w:rPr>
          <w:rFonts w:asciiTheme="majorBidi" w:hAnsiTheme="majorBidi" w:cstheme="majorBidi"/>
          <w:color w:val="000000" w:themeColor="text1"/>
          <w:sz w:val="20"/>
          <w:szCs w:val="20"/>
        </w:rPr>
        <w:t>grafikas</w:t>
      </w:r>
      <w:proofErr w:type="spellEnd"/>
    </w:p>
    <w:p w14:paraId="4FB536B6" w14:textId="143FBD58" w:rsidR="00F73D34" w:rsidRPr="001A2B27" w:rsidRDefault="00F73D34" w:rsidP="00EF2CD6">
      <w:pPr>
        <w:spacing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Iš pateikto grafiko</w:t>
      </w:r>
      <w:r w:rsidR="009678AA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9678AA" w:rsidRPr="009678AA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(</w:t>
      </w:r>
      <w:r w:rsidR="009678AA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8 pav.</w:t>
      </w:r>
      <w:r w:rsidR="009678AA" w:rsidRPr="009678AA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)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matome, jog </w:t>
      </w:r>
      <w:r w:rsidR="001A2B27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nei vienas stebėjimas neviršija </w:t>
      </w:r>
      <w:r w:rsidR="001A2B27" w:rsidRPr="00AC4377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1</w:t>
      </w:r>
      <w:r w:rsidR="001A2B27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, todėl</w:t>
      </w:r>
      <w:r w:rsidR="003337EE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AC4377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duomenyse išskirčių nėra.</w:t>
      </w:r>
    </w:p>
    <w:p w14:paraId="6F740928" w14:textId="2C8AECAE" w:rsidR="00C10F82" w:rsidRPr="008277E3" w:rsidRDefault="00A23750" w:rsidP="00EF2CD6">
      <w:pPr>
        <w:spacing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lastRenderedPageBreak/>
        <w:t xml:space="preserve">Kadangi modelio prielaidos patenkintos, </w:t>
      </w:r>
      <w:r w:rsidR="00590690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tikriname, kurios kovariantės modelyje yra </w:t>
      </w:r>
      <w:r w:rsidR="005769D3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statistiškai </w:t>
      </w:r>
      <w:r w:rsidR="00590690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reikšmingos</w:t>
      </w:r>
      <w:r w:rsidR="00B509F8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(</w:t>
      </w:r>
      <w:r w:rsidR="00B509F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0.5 </w:t>
      </w:r>
      <w:proofErr w:type="spellStart"/>
      <w:r w:rsidR="00B509F8">
        <w:rPr>
          <w:rFonts w:asciiTheme="majorBidi" w:hAnsiTheme="majorBidi" w:cstheme="majorBidi"/>
          <w:color w:val="000000" w:themeColor="text1"/>
          <w:sz w:val="24"/>
          <w:szCs w:val="24"/>
        </w:rPr>
        <w:t>kvantilis</w:t>
      </w:r>
      <w:proofErr w:type="spellEnd"/>
      <w:r w:rsidR="00B509F8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)</w:t>
      </w:r>
      <w:r w:rsidR="00590690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. </w:t>
      </w:r>
      <w:r w:rsidR="00C10F82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Tikriname hipotezę:</w:t>
      </w:r>
    </w:p>
    <w:p w14:paraId="1D1B6188" w14:textId="7AC90AB3" w:rsidR="00A23750" w:rsidRPr="008277E3" w:rsidRDefault="0060241B" w:rsidP="00DB5D50">
      <w:pPr>
        <w:spacing w:line="360" w:lineRule="auto"/>
        <w:ind w:firstLine="709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color w:val="000000" w:themeColor="text1"/>
                    <w:sz w:val="24"/>
                    <w:szCs w:val="24"/>
                    <w:lang w:val="lt-LT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  <w:lang w:val="lt-LT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  <w:lang w:val="lt-LT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  <w:lang w:val="lt-LT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  <w:lang w:val="lt-LT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  <w:lang w:val="lt-LT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  <w:lang w:val="lt-L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  <w:lang w:val="lt-LT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  <w:lang w:val="lt-LT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  <w:lang w:val="lt-LT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  <w:lang w:val="lt-LT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  <w:sz w:val="24"/>
                        <w:szCs w:val="24"/>
                        <w:lang w:val="lt-LT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  <w:sz w:val="24"/>
                    <w:szCs w:val="24"/>
                    <w:lang w:val="lt-LT"/>
                  </w:rPr>
                  <m:t>≠0</m:t>
                </m:r>
              </m:e>
            </m:eqArr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  <w:lang w:val="lt-LT"/>
              </w:rPr>
              <m:t xml:space="preserve">  , </m:t>
            </m:r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  <w:lang w:val="lt-LT"/>
              </w:rPr>
              <m:t>kur</m:t>
            </m:r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  <w:lang w:val="lt-LT"/>
              </w:rPr>
              <m:t xml:space="preserve"> </m:t>
            </m:r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  <w:lang w:val="lt-LT"/>
              </w:rPr>
              <m:t>j</m:t>
            </m:r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  <w:lang w:val="lt-LT"/>
              </w:rPr>
              <m:t>=1, 2,…,6</m:t>
            </m:r>
          </m:e>
        </m:d>
      </m:oMath>
      <w:r w:rsidR="00DB5D50" w:rsidRPr="008277E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.</w:t>
      </w:r>
    </w:p>
    <w:p w14:paraId="0AC42F29" w14:textId="6153B4B9" w:rsidR="0023028B" w:rsidRPr="0023028B" w:rsidRDefault="0023028B" w:rsidP="0023028B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Call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 xml:space="preserve">: </w:t>
      </w: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rq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>(</w:t>
      </w: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formula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 xml:space="preserve"> = </w:t>
      </w: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bwt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 xml:space="preserve"> ~ ., tau = 0.5, data = </w:t>
      </w: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df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>)</w:t>
      </w:r>
    </w:p>
    <w:p w14:paraId="1BDE893C" w14:textId="5F5FFF7E" w:rsidR="0023028B" w:rsidRPr="0023028B" w:rsidRDefault="0023028B" w:rsidP="0023028B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23028B">
        <w:rPr>
          <w:rFonts w:ascii="Courier New" w:hAnsi="Courier New" w:cs="Courier New"/>
          <w:color w:val="000000" w:themeColor="text1"/>
          <w:lang w:val="lt-LT"/>
        </w:rPr>
        <w:t>tau: [1] 0.5</w:t>
      </w:r>
    </w:p>
    <w:p w14:paraId="43437B11" w14:textId="77777777" w:rsidR="0023028B" w:rsidRPr="0023028B" w:rsidRDefault="0023028B" w:rsidP="0023028B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Coefficients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>:</w:t>
      </w:r>
    </w:p>
    <w:p w14:paraId="0ED524D4" w14:textId="77777777" w:rsidR="0023028B" w:rsidRPr="0023028B" w:rsidRDefault="0023028B" w:rsidP="0023028B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23028B">
        <w:rPr>
          <w:rFonts w:ascii="Courier New" w:hAnsi="Courier New" w:cs="Courier New"/>
          <w:color w:val="000000" w:themeColor="text1"/>
          <w:lang w:val="lt-LT"/>
        </w:rPr>
        <w:t xml:space="preserve">            </w:t>
      </w: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coefficients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 xml:space="preserve"> </w:t>
      </w: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lower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 xml:space="preserve"> </w:t>
      </w: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bd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 xml:space="preserve">   </w:t>
      </w: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upper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 xml:space="preserve"> </w:t>
      </w: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bd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 xml:space="preserve">  </w:t>
      </w:r>
    </w:p>
    <w:p w14:paraId="21F290D7" w14:textId="77777777" w:rsidR="0023028B" w:rsidRPr="0023028B" w:rsidRDefault="0023028B" w:rsidP="0023028B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23028B">
        <w:rPr>
          <w:rFonts w:ascii="Courier New" w:hAnsi="Courier New" w:cs="Courier New"/>
          <w:color w:val="000000" w:themeColor="text1"/>
          <w:lang w:val="lt-LT"/>
        </w:rPr>
        <w:t>(</w:t>
      </w: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Intercept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>)  -91.81141   -121.90946  -47.97889</w:t>
      </w:r>
    </w:p>
    <w:p w14:paraId="71AB47F1" w14:textId="77777777" w:rsidR="0023028B" w:rsidRPr="0023028B" w:rsidRDefault="0023028B" w:rsidP="0023028B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gestation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 xml:space="preserve">      0.47582      0.38651    0.57437</w:t>
      </w:r>
    </w:p>
    <w:p w14:paraId="52F3DF76" w14:textId="77777777" w:rsidR="0023028B" w:rsidRPr="0023028B" w:rsidRDefault="0023028B" w:rsidP="0023028B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23028B">
        <w:rPr>
          <w:rFonts w:ascii="Courier New" w:hAnsi="Courier New" w:cs="Courier New"/>
          <w:color w:val="000000" w:themeColor="text1"/>
          <w:lang w:val="lt-LT"/>
        </w:rPr>
        <w:t>parity1       -3.72289     -6.49735   -1.27540</w:t>
      </w:r>
    </w:p>
    <w:p w14:paraId="70D095E5" w14:textId="77777777" w:rsidR="0023028B" w:rsidRPr="0023028B" w:rsidRDefault="0023028B" w:rsidP="0023028B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age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 xml:space="preserve">           -0.05608     -0.28102    0.13266</w:t>
      </w:r>
    </w:p>
    <w:p w14:paraId="0D135ED7" w14:textId="77777777" w:rsidR="0023028B" w:rsidRPr="0023028B" w:rsidRDefault="0023028B" w:rsidP="0023028B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height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 xml:space="preserve">         1.22653      0.58903    1.68455</w:t>
      </w:r>
    </w:p>
    <w:p w14:paraId="3B2A2045" w14:textId="77777777" w:rsidR="0023028B" w:rsidRPr="0023028B" w:rsidRDefault="0023028B" w:rsidP="0023028B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proofErr w:type="spellStart"/>
      <w:r w:rsidRPr="0023028B">
        <w:rPr>
          <w:rFonts w:ascii="Courier New" w:hAnsi="Courier New" w:cs="Courier New"/>
          <w:color w:val="000000" w:themeColor="text1"/>
          <w:lang w:val="lt-LT"/>
        </w:rPr>
        <w:t>weight</w:t>
      </w:r>
      <w:proofErr w:type="spellEnd"/>
      <w:r w:rsidRPr="0023028B">
        <w:rPr>
          <w:rFonts w:ascii="Courier New" w:hAnsi="Courier New" w:cs="Courier New"/>
          <w:color w:val="000000" w:themeColor="text1"/>
          <w:lang w:val="lt-LT"/>
        </w:rPr>
        <w:t xml:space="preserve">         0.04618     -0.00583    0.11250</w:t>
      </w:r>
    </w:p>
    <w:p w14:paraId="3FC099EE" w14:textId="5A24B974" w:rsidR="002B0ABD" w:rsidRPr="008277E3" w:rsidRDefault="0023028B" w:rsidP="0023028B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23028B">
        <w:rPr>
          <w:rFonts w:ascii="Courier New" w:hAnsi="Courier New" w:cs="Courier New"/>
          <w:color w:val="000000" w:themeColor="text1"/>
          <w:lang w:val="lt-LT"/>
        </w:rPr>
        <w:t>smoke1        -8.02127    -10.54651   -5.57363</w:t>
      </w:r>
    </w:p>
    <w:p w14:paraId="5642EBB4" w14:textId="76EF4551" w:rsidR="00C22C9D" w:rsidRPr="008277E3" w:rsidRDefault="0034523F" w:rsidP="00BB3515">
      <w:pPr>
        <w:spacing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G</w:t>
      </w:r>
      <w:r w:rsidR="002B0ABD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aut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a</w:t>
      </w:r>
      <w:r w:rsidR="002B0ABD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modelio santrauk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a pateikia parametrų įverčius ir </w:t>
      </w:r>
      <w:r w:rsidR="00BC68E8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pasikliovimo intervalus</w:t>
      </w:r>
      <w:r w:rsidR="00EF049E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, tačiau </w:t>
      </w:r>
      <w:r w:rsidR="001423FE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nežinome kurios kovariantės yra reikšmingos.</w:t>
      </w:r>
      <w:r w:rsidR="00BB3515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C22C9D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T</w:t>
      </w:r>
      <w:r w:rsidR="001423FE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aigi, t</w:t>
      </w:r>
      <w:r w:rsidR="00C22C9D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oliau pritaikome </w:t>
      </w:r>
      <w:proofErr w:type="spellStart"/>
      <w:r w:rsidR="00C22C9D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pažingsninę</w:t>
      </w:r>
      <w:proofErr w:type="spellEnd"/>
      <w:r w:rsidR="00C22C9D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regresiją</w:t>
      </w:r>
      <w:r w:rsidR="00995776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(</w:t>
      </w:r>
      <w:proofErr w:type="spellStart"/>
      <w:r w:rsidR="00995776" w:rsidRPr="008277E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lt-LT"/>
        </w:rPr>
        <w:t>both</w:t>
      </w:r>
      <w:proofErr w:type="spellEnd"/>
      <w:r w:rsidR="00995776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, </w:t>
      </w:r>
      <w:proofErr w:type="spellStart"/>
      <w:r w:rsidR="00995776" w:rsidRPr="008277E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lt-LT"/>
        </w:rPr>
        <w:t>backward</w:t>
      </w:r>
      <w:proofErr w:type="spellEnd"/>
      <w:r w:rsidR="00995776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ir </w:t>
      </w:r>
      <w:proofErr w:type="spellStart"/>
      <w:r w:rsidR="00995776" w:rsidRPr="008277E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lt-LT"/>
        </w:rPr>
        <w:t>forward</w:t>
      </w:r>
      <w:proofErr w:type="spellEnd"/>
      <w:r w:rsidR="00995776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)</w:t>
      </w:r>
      <w:r w:rsidR="00C22C9D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.</w:t>
      </w:r>
    </w:p>
    <w:p w14:paraId="5B0B7F55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Start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>:  AIC=6955.95</w:t>
      </w:r>
    </w:p>
    <w:p w14:paraId="7C7B573E" w14:textId="6F626651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bwt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~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gestation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+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parity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+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age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+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height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+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weight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+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smoke</w:t>
      </w:r>
      <w:proofErr w:type="spellEnd"/>
    </w:p>
    <w:p w14:paraId="22CED35F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       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Df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AIC</w:t>
      </w:r>
    </w:p>
    <w:p w14:paraId="738FA213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-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age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    1 6954.3</w:t>
      </w:r>
    </w:p>
    <w:p w14:paraId="6849A671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>&lt;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none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>&gt;         6956.0</w:t>
      </w:r>
    </w:p>
    <w:p w14:paraId="6C831A7C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-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weight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 1 6956.5</w:t>
      </w:r>
    </w:p>
    <w:p w14:paraId="7C9BF44A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-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parity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 1 6963.7</w:t>
      </w:r>
    </w:p>
    <w:p w14:paraId="05F7B4CC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-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height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 1 6977.2</w:t>
      </w:r>
    </w:p>
    <w:p w14:paraId="0ADF979B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-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smoke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  1 7003.7</w:t>
      </w:r>
    </w:p>
    <w:p w14:paraId="128B2BE4" w14:textId="675B358E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lastRenderedPageBreak/>
        <w:t xml:space="preserve">-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gestation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1 7064.1</w:t>
      </w:r>
    </w:p>
    <w:p w14:paraId="001F8ADF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Step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>:  AIC=6954.33</w:t>
      </w:r>
    </w:p>
    <w:p w14:paraId="290B6354" w14:textId="6E6BC675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bwt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~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gestation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+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parity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+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height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+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weight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+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smoke</w:t>
      </w:r>
      <w:proofErr w:type="spellEnd"/>
    </w:p>
    <w:p w14:paraId="34EE6136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       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Df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AIC</w:t>
      </w:r>
    </w:p>
    <w:p w14:paraId="38142A56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>&lt;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none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>&gt;         6954.3</w:t>
      </w:r>
    </w:p>
    <w:p w14:paraId="78A8F749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-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weight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 1 6954.6</w:t>
      </w:r>
    </w:p>
    <w:p w14:paraId="0523A7C1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+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age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    1 6956.0</w:t>
      </w:r>
    </w:p>
    <w:p w14:paraId="43E750E2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-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parity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 1 6961.7</w:t>
      </w:r>
    </w:p>
    <w:p w14:paraId="1C16C9AB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-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height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 1 6976.8</w:t>
      </w:r>
    </w:p>
    <w:p w14:paraId="31435740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-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smoke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  1 7003.2</w:t>
      </w:r>
    </w:p>
    <w:p w14:paraId="7F76F994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-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gestation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1 7062.6</w:t>
      </w:r>
    </w:p>
    <w:p w14:paraId="12519FF9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Call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>:</w:t>
      </w:r>
    </w:p>
    <w:p w14:paraId="6072DB03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rq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>(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formula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=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bwt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~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gestation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+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parity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+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height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+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weight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+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smoke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, </w:t>
      </w:r>
    </w:p>
    <w:p w14:paraId="55D90C39" w14:textId="471FD9ED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tau = 0.5, data =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df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>)</w:t>
      </w:r>
    </w:p>
    <w:p w14:paraId="02B6CC9D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Coefficients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>:</w:t>
      </w:r>
    </w:p>
    <w:p w14:paraId="39D457B6" w14:textId="77777777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 (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Intercept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)   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gestation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  parity1      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height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  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weight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      smoke1 </w:t>
      </w:r>
    </w:p>
    <w:p w14:paraId="008EE5FD" w14:textId="3661E9D1" w:rsidR="00B24095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r w:rsidRPr="008277E3">
        <w:rPr>
          <w:rFonts w:ascii="Courier New" w:hAnsi="Courier New" w:cs="Courier New"/>
          <w:color w:val="000000" w:themeColor="text1"/>
          <w:lang w:val="lt-LT"/>
        </w:rPr>
        <w:t xml:space="preserve">-97.05911950   0.48238994  -3.42515723   1.25849057   0.04528302  -8.01761006 </w:t>
      </w:r>
    </w:p>
    <w:p w14:paraId="397F2CEE" w14:textId="0519BFB4" w:rsidR="006010EE" w:rsidRPr="008277E3" w:rsidRDefault="00B24095" w:rsidP="00B24095">
      <w:pPr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lt-LT"/>
        </w:rPr>
      </w:pP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Degrees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of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freedom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: 823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total</w:t>
      </w:r>
      <w:proofErr w:type="spellEnd"/>
      <w:r w:rsidRPr="008277E3">
        <w:rPr>
          <w:rFonts w:ascii="Courier New" w:hAnsi="Courier New" w:cs="Courier New"/>
          <w:color w:val="000000" w:themeColor="text1"/>
          <w:lang w:val="lt-LT"/>
        </w:rPr>
        <w:t xml:space="preserve">; 817 </w:t>
      </w:r>
      <w:proofErr w:type="spellStart"/>
      <w:r w:rsidRPr="008277E3">
        <w:rPr>
          <w:rFonts w:ascii="Courier New" w:hAnsi="Courier New" w:cs="Courier New"/>
          <w:color w:val="000000" w:themeColor="text1"/>
          <w:lang w:val="lt-LT"/>
        </w:rPr>
        <w:t>residual</w:t>
      </w:r>
      <w:proofErr w:type="spellEnd"/>
    </w:p>
    <w:p w14:paraId="3266FB34" w14:textId="12ED9C9D" w:rsidR="00D44B0F" w:rsidRPr="008277E3" w:rsidRDefault="00D44B0F" w:rsidP="00F25592">
      <w:pPr>
        <w:spacing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</w:pPr>
      <w:r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Pritaikius </w:t>
      </w:r>
      <w:proofErr w:type="spellStart"/>
      <w:r w:rsidRPr="008277E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lt-LT"/>
        </w:rPr>
        <w:t>both</w:t>
      </w:r>
      <w:proofErr w:type="spellEnd"/>
      <w:r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ir </w:t>
      </w:r>
      <w:proofErr w:type="spellStart"/>
      <w:r w:rsidR="00AC4C96" w:rsidRPr="008277E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lt-LT"/>
        </w:rPr>
        <w:t>back</w:t>
      </w:r>
      <w:r w:rsidRPr="008277E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lt-LT"/>
        </w:rPr>
        <w:t>ward</w:t>
      </w:r>
      <w:proofErr w:type="spellEnd"/>
      <w:r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proofErr w:type="spellStart"/>
      <w:r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pažingsninę</w:t>
      </w:r>
      <w:proofErr w:type="spellEnd"/>
      <w:r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regresiją</w:t>
      </w:r>
      <w:r w:rsidR="00661B21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, gavome, jog visos kovariantės yra reikšmingos išskyrus amžių. Abiem atvejais AIC koeficientai sutapo – 6954.33. </w:t>
      </w:r>
      <w:proofErr w:type="spellStart"/>
      <w:r w:rsidR="00AC4C96" w:rsidRPr="008277E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lt-LT"/>
        </w:rPr>
        <w:t>Forward</w:t>
      </w:r>
      <w:proofErr w:type="spellEnd"/>
      <w:r w:rsidR="00AC4C96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proofErr w:type="spellStart"/>
      <w:r w:rsidR="00AC4C96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pažingsinė</w:t>
      </w:r>
      <w:proofErr w:type="spellEnd"/>
      <w:r w:rsidR="00AC4C96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regresija paliko </w:t>
      </w:r>
      <w:r w:rsidR="003736C6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visas </w:t>
      </w:r>
      <w:proofErr w:type="spellStart"/>
      <w:r w:rsidR="003736C6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kovariantes</w:t>
      </w:r>
      <w:proofErr w:type="spellEnd"/>
      <w:r w:rsidR="00AA5768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, bet j</w:t>
      </w:r>
      <w:r w:rsidR="003736C6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os AIC buvo didesnis</w:t>
      </w:r>
      <w:r w:rsidR="00F93E4E" w:rsidRPr="008277E3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– 6955.95</w:t>
      </w:r>
      <w:r w:rsidR="00F25592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.</w:t>
      </w:r>
      <w:r w:rsidR="00545081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Taip pat žinome, jog amžiaus </w:t>
      </w:r>
      <w:proofErr w:type="spellStart"/>
      <w:r w:rsidR="00545081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kovariantė</w:t>
      </w:r>
      <w:proofErr w:type="spellEnd"/>
      <w:r w:rsidR="00545081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gali sukelti </w:t>
      </w:r>
      <w:proofErr w:type="spellStart"/>
      <w:r w:rsidR="00545081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multikolinearumo</w:t>
      </w:r>
      <w:proofErr w:type="spellEnd"/>
      <w:r w:rsidR="00545081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problemą, todėl</w:t>
      </w:r>
      <w:r w:rsidR="00762287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naudosime </w:t>
      </w:r>
      <w:proofErr w:type="spellStart"/>
      <w:r w:rsidR="00762287" w:rsidRPr="00762287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lt-LT"/>
        </w:rPr>
        <w:t>both</w:t>
      </w:r>
      <w:proofErr w:type="spellEnd"/>
      <w:r w:rsidR="00762287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proofErr w:type="spellStart"/>
      <w:r w:rsidR="00762287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pažingsninės</w:t>
      </w:r>
      <w:proofErr w:type="spellEnd"/>
      <w:r w:rsidR="00762287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regresijos atrinktas </w:t>
      </w:r>
      <w:proofErr w:type="spellStart"/>
      <w:r w:rsidR="00762287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kovariantes</w:t>
      </w:r>
      <w:proofErr w:type="spellEnd"/>
      <w:r w:rsidR="00762287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.</w:t>
      </w:r>
    </w:p>
    <w:p w14:paraId="75BE2C04" w14:textId="3F4B693C" w:rsidR="00A8449B" w:rsidRPr="00E01900" w:rsidRDefault="00FE5571" w:rsidP="004B464D">
      <w:pPr>
        <w:spacing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Žemiau pateikta g</w:t>
      </w:r>
      <w:r w:rsidR="00E01900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rafikų panelė </w:t>
      </w:r>
      <w:r w:rsidR="00C5088D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(9 pav.) </w:t>
      </w:r>
      <w:r w:rsidR="00E01900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parodo</w:t>
      </w:r>
      <w:r w:rsidR="00360F60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kaip keičiasi kiekvien</w:t>
      </w:r>
      <w:r w:rsidR="00246C04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os</w:t>
      </w:r>
      <w:r w:rsidR="00360F60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kovariantės </w:t>
      </w:r>
      <w:r w:rsidR="00771E8B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įvertintų koeficientų reikšmės</w:t>
      </w:r>
      <w:r w:rsidR="00360F60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skirtingiems kvantiliams. </w:t>
      </w:r>
      <w:r w:rsidR="00F44B4E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Matome, kad jei šiems duomenims būtų naudojamas vidurkis</w:t>
      </w:r>
      <w:r w:rsidR="00B73B5F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, </w:t>
      </w:r>
      <w:r w:rsidR="00670150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daugeliui kovariančių modelis būtų aprašytas pakankamai gerai.</w:t>
      </w:r>
      <w:r w:rsidR="001F7BDB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Vis </w:t>
      </w:r>
      <w:r w:rsidR="001F7BDB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lastRenderedPageBreak/>
        <w:t xml:space="preserve">dėlto, </w:t>
      </w:r>
      <w:r w:rsidR="00E25259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nėštumo laikotarpio</w:t>
      </w:r>
      <w:r w:rsidR="0048155F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, pirmojo nėštumo ir svorio kovariančių</w:t>
      </w:r>
      <w:r w:rsidR="00D5707C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koeficient</w:t>
      </w:r>
      <w:r w:rsidR="00305335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ų reikšmės</w:t>
      </w:r>
      <w:r w:rsidR="00D5707C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prie</w:t>
      </w:r>
      <w:r w:rsidR="003601F5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48155F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skirtingų</w:t>
      </w:r>
      <w:r w:rsidR="003601F5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kvantili</w:t>
      </w:r>
      <w:r w:rsidR="00D5707C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ų </w:t>
      </w:r>
      <w:r w:rsidR="00E70682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skiriasi labiau</w:t>
      </w:r>
      <w:r w:rsidR="004B2959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ir naudojant vidurkį</w:t>
      </w:r>
      <w:r w:rsidR="00E02412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771E8B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modelis būtų aprašytas pras</w:t>
      </w:r>
      <w:r w:rsidR="00547E5F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čiau</w:t>
      </w:r>
      <w:r w:rsidR="00771E8B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.</w:t>
      </w:r>
      <w:r w:rsidR="00641A64" w:rsidRPr="00641A64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EA738C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Matome, jog i</w:t>
      </w:r>
      <w:r w:rsidR="00C37E85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lgėjant nėštumo laikotarpiui</w:t>
      </w:r>
      <w:r w:rsidR="0007782F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naujagimio svoris </w:t>
      </w:r>
      <w:r w:rsidR="003A13EB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didėja</w:t>
      </w:r>
      <w:r w:rsidR="004413E0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(vidutiniškai </w:t>
      </w:r>
      <w:r w:rsidR="004413E0" w:rsidRPr="004413E0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0.</w:t>
      </w:r>
      <w:r w:rsidR="004413E0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45 uncijomis)</w:t>
      </w:r>
      <w:r w:rsidR="003A13EB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, </w:t>
      </w:r>
      <w:r w:rsidR="003C38E8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tačiau prie </w:t>
      </w:r>
      <w:r w:rsidR="003C38E8" w:rsidRPr="003C38E8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0.8 ir 0.9 </w:t>
      </w:r>
      <w:r w:rsidR="003C38E8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kvantilių</w:t>
      </w:r>
      <w:r w:rsidR="00950BB5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,</w:t>
      </w:r>
      <w:r w:rsidR="003C38E8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svoris padidėja </w:t>
      </w:r>
      <w:r w:rsidR="003B3BB1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ne tiek daug kiek prie </w:t>
      </w:r>
      <w:r w:rsidR="003B3BB1" w:rsidRPr="003B3BB1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0.</w:t>
      </w:r>
      <w:r w:rsidR="003B3BB1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1 ar 0.5 kvantilių</w:t>
      </w:r>
      <w:r w:rsidR="003C38E8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. </w:t>
      </w:r>
      <w:r w:rsidR="00E9370C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Jei nėštumas moteriai nebuvo pirmas, tai kūdikio svoris</w:t>
      </w:r>
      <w:r w:rsidR="00B45FBF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bus mažesnis</w:t>
      </w:r>
      <w:r w:rsidR="004413E0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(vidutiniškai 4 uncijomis mažesnis)</w:t>
      </w:r>
      <w:r w:rsidR="00B45FBF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. Kuo nėščioji yra aukštesnė</w:t>
      </w:r>
      <w:r w:rsidR="00B173CE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ir daugiau sveria, tuo naujagimio svoris bus didesnis</w:t>
      </w:r>
      <w:r w:rsidR="00A914E2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(vidutiniškai </w:t>
      </w:r>
      <w:r w:rsidR="00A914E2" w:rsidRPr="00A914E2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1.25 ir</w:t>
      </w:r>
      <w:r w:rsidR="00A914E2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0.05</w:t>
      </w:r>
      <w:r w:rsidR="00792591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uncijos</w:t>
      </w:r>
      <w:r w:rsidR="00A914E2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)</w:t>
      </w:r>
      <w:r w:rsidR="00B173CE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.</w:t>
      </w:r>
      <w:r w:rsidR="00D00C4B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3C6161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Naujagimis taip pat svers mažiau</w:t>
      </w:r>
      <w:r w:rsidR="00792591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(vidutiniškai 8 uncijomis mažiau)</w:t>
      </w:r>
      <w:r w:rsidR="003C6161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, jei moteris yra rūkanti.</w:t>
      </w:r>
      <w:r w:rsidR="00B94262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</w:t>
      </w:r>
    </w:p>
    <w:p w14:paraId="1CF7D8F6" w14:textId="77777777" w:rsidR="009678AA" w:rsidRDefault="0086039E" w:rsidP="009678AA">
      <w:pPr>
        <w:keepNext/>
        <w:spacing w:line="360" w:lineRule="auto"/>
        <w:jc w:val="both"/>
      </w:pPr>
      <w:r w:rsidRPr="0086039E">
        <w:rPr>
          <w:rFonts w:ascii="Courier New" w:hAnsi="Courier New" w:cs="Courier New"/>
          <w:noProof/>
          <w:color w:val="000000" w:themeColor="text1"/>
          <w:lang w:val="lt-LT"/>
        </w:rPr>
        <w:drawing>
          <wp:inline distT="0" distB="0" distL="0" distR="0" wp14:anchorId="6B347A30" wp14:editId="5C60FCED">
            <wp:extent cx="5731510" cy="2886710"/>
            <wp:effectExtent l="0" t="0" r="2540" b="889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EF8B" w14:textId="4287D457" w:rsidR="00B24095" w:rsidRPr="00C5088D" w:rsidRDefault="009678AA" w:rsidP="00C5088D">
      <w:pPr>
        <w:pStyle w:val="Caption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</w:pPr>
      <w:r w:rsidRPr="00C5088D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Pr="00C5088D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SEQ Pav. \* ARABIC </w:instrText>
      </w:r>
      <w:r w:rsidRPr="00C5088D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Pr="00C5088D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9</w:t>
      </w:r>
      <w:r w:rsidRPr="00C5088D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 w:rsidRPr="00C5088D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pav. </w:t>
      </w:r>
      <w:proofErr w:type="spellStart"/>
      <w:r w:rsidR="00C5088D" w:rsidRPr="00C5088D">
        <w:rPr>
          <w:rFonts w:asciiTheme="majorBidi" w:hAnsiTheme="majorBidi" w:cstheme="majorBidi"/>
          <w:color w:val="000000" w:themeColor="text1"/>
          <w:sz w:val="20"/>
          <w:szCs w:val="20"/>
        </w:rPr>
        <w:t>Koeficientų</w:t>
      </w:r>
      <w:proofErr w:type="spellEnd"/>
      <w:r w:rsidR="00C5088D" w:rsidRPr="00C5088D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="00C5088D" w:rsidRPr="00C5088D">
        <w:rPr>
          <w:rFonts w:asciiTheme="majorBidi" w:hAnsiTheme="majorBidi" w:cstheme="majorBidi"/>
          <w:color w:val="000000" w:themeColor="text1"/>
          <w:sz w:val="20"/>
          <w:szCs w:val="20"/>
        </w:rPr>
        <w:t>reikšmės</w:t>
      </w:r>
      <w:proofErr w:type="spellEnd"/>
      <w:r w:rsidR="00C5088D" w:rsidRPr="00C5088D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="00C5088D" w:rsidRPr="00C5088D">
        <w:rPr>
          <w:rFonts w:asciiTheme="majorBidi" w:hAnsiTheme="majorBidi" w:cstheme="majorBidi"/>
          <w:color w:val="000000" w:themeColor="text1"/>
          <w:sz w:val="20"/>
          <w:szCs w:val="20"/>
        </w:rPr>
        <w:t>skirtingiems</w:t>
      </w:r>
      <w:proofErr w:type="spellEnd"/>
      <w:r w:rsidR="00C5088D" w:rsidRPr="00C5088D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="00C5088D" w:rsidRPr="00C5088D">
        <w:rPr>
          <w:rFonts w:asciiTheme="majorBidi" w:hAnsiTheme="majorBidi" w:cstheme="majorBidi"/>
          <w:color w:val="000000" w:themeColor="text1"/>
          <w:sz w:val="20"/>
          <w:szCs w:val="20"/>
        </w:rPr>
        <w:t>kvantiliams</w:t>
      </w:r>
      <w:proofErr w:type="spellEnd"/>
    </w:p>
    <w:p w14:paraId="496CF974" w14:textId="54BAE376" w:rsidR="00D3623F" w:rsidRDefault="00BC5CBD" w:rsidP="00BD1760">
      <w:pPr>
        <w:spacing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T</w:t>
      </w:r>
      <w:r w:rsidR="00792591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oliau, detaliau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panagrinėkime kaip keisis kūdikių svoriai prie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0.5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kvantili</w:t>
      </w:r>
      <w:r w:rsidR="00F13DA7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.</w:t>
      </w:r>
      <w:r w:rsidR="00BD1760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 xml:space="preserve"> G</w:t>
      </w:r>
      <w:proofErr w:type="spellStart"/>
      <w:r w:rsidR="00D3623F">
        <w:rPr>
          <w:rFonts w:asciiTheme="majorBidi" w:hAnsiTheme="majorBidi" w:cstheme="majorBidi"/>
          <w:color w:val="000000" w:themeColor="text1"/>
          <w:sz w:val="24"/>
          <w:szCs w:val="24"/>
        </w:rPr>
        <w:t>auname</w:t>
      </w:r>
      <w:proofErr w:type="spellEnd"/>
      <w:r w:rsidR="00D3623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D3623F">
        <w:rPr>
          <w:rFonts w:asciiTheme="majorBidi" w:hAnsiTheme="majorBidi" w:cstheme="majorBidi"/>
          <w:color w:val="000000" w:themeColor="text1"/>
          <w:sz w:val="24"/>
          <w:szCs w:val="24"/>
        </w:rPr>
        <w:t>tok</w:t>
      </w:r>
      <w:proofErr w:type="spellEnd"/>
      <w:r w:rsidR="00D3623F">
        <w:rPr>
          <w:rFonts w:asciiTheme="majorBidi" w:hAnsiTheme="majorBidi" w:cstheme="majorBidi"/>
          <w:color w:val="000000" w:themeColor="text1"/>
          <w:sz w:val="24"/>
          <w:szCs w:val="24"/>
          <w:lang w:val="lt-LT"/>
        </w:rPr>
        <w:t>į modelį:</w:t>
      </w:r>
    </w:p>
    <w:p w14:paraId="74AAAD28" w14:textId="1B36E796" w:rsidR="00D3623F" w:rsidRPr="00A905F4" w:rsidRDefault="00D3623F" w:rsidP="00590C3A">
      <w:pPr>
        <w:spacing w:line="360" w:lineRule="auto"/>
        <w:ind w:firstLine="709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</w:pPr>
      <m:oMath>
        <m:r>
          <w:rPr>
            <w:rFonts w:ascii="Cambria Math" w:hAnsi="Cambria Math" w:cstheme="majorBidi"/>
            <w:color w:val="000000" w:themeColor="text1"/>
            <w:sz w:val="24"/>
            <w:szCs w:val="24"/>
            <w:lang w:val="lt-LT"/>
          </w:rPr>
          <m:t>Naujagimio svoris= - 97.06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</m:t>
        </m:r>
        <m:d>
          <m:dPr>
            <m:ctrlPr>
              <w:rPr>
                <w:rFonts w:ascii="Cambria Math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hAnsi="Cambria Math" w:cstheme="majorBidi"/>
            <w:color w:val="000000" w:themeColor="text1"/>
            <w:sz w:val="24"/>
            <w:szCs w:val="24"/>
            <w:lang w:val="lt-LT"/>
          </w:rPr>
          <m:t>+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0.48∙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∙nėštumo laikotarpis-3.43∙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∙pirmas nėštumas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ne</m:t>
            </m:r>
          </m:e>
        </m:d>
        <m:r>
          <w:rPr>
            <w:rFonts w:ascii="Cambria Math" w:hAnsi="Cambria Math" w:cstheme="majorBidi"/>
            <w:color w:val="000000" w:themeColor="text1"/>
            <w:sz w:val="24"/>
            <w:szCs w:val="24"/>
            <w:lang w:val="lt-LT"/>
          </w:rPr>
          <m:t>+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1.26∙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∙ūgis</m:t>
        </m:r>
        <m:r>
          <w:rPr>
            <w:rFonts w:ascii="Cambria Math" w:hAnsi="Cambria Math" w:cstheme="majorBidi"/>
            <w:color w:val="000000" w:themeColor="text1"/>
            <w:sz w:val="24"/>
            <w:szCs w:val="24"/>
            <w:lang w:val="lt-LT"/>
          </w:rPr>
          <m:t>+0.05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∙svoris</m:t>
        </m:r>
        <m:r>
          <w:rPr>
            <w:rFonts w:ascii="Cambria Math" w:hAnsi="Cambria Math" w:cstheme="majorBidi"/>
            <w:color w:val="000000" w:themeColor="text1"/>
            <w:sz w:val="24"/>
            <w:szCs w:val="24"/>
            <w:lang w:val="lt-LT"/>
          </w:rPr>
          <m:t>-8.02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∙rūko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taip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, kur τ=0.5</m:t>
        </m:r>
      </m:oMath>
      <w:r w:rsidR="00705720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.</w:t>
      </w:r>
    </w:p>
    <w:p w14:paraId="7BD3C2EC" w14:textId="77777777" w:rsidR="006167A2" w:rsidRDefault="006167A2" w:rsidP="006167A2">
      <w:pPr>
        <w:spacing w:line="360" w:lineRule="auto"/>
        <w:ind w:firstLine="709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</w:pP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P</w:t>
      </w:r>
      <w:r w:rsid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rie 0.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5</w:t>
      </w:r>
      <w:r w:rsid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kvantilio ilgėjant nėštumo laikotarpiui, naujagimio svoris padidėja </w:t>
      </w:r>
      <w:r w:rsidR="00D3623F" w:rsidRPr="00010BB9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0.4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8 </w:t>
      </w:r>
      <w:r w:rsid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uncijomis. Jei moteriai tai buvo ne pirmas nėštumas, naujagimis svers </w:t>
      </w:r>
      <w:r w:rsidR="00D3623F"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3.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43</w:t>
      </w:r>
      <w:r w:rsidR="00D3623F"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uncijomis mažiau. Jei moteris yra aukštesnė, kūdikis svers </w:t>
      </w:r>
      <w:r w:rsidR="00D3623F" w:rsidRP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1.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26</w:t>
      </w:r>
      <w:r w:rsidR="00D3623F" w:rsidRP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uncijomis daugiau. Esant didesniam n</w:t>
      </w:r>
      <w:r w:rsid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ėščiosios svoriui, naujagimio svoris 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padidės</w:t>
      </w:r>
      <w:r w:rsid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D3623F" w:rsidRP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0.0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5</w:t>
      </w:r>
      <w:r w:rsidR="00D3623F" w:rsidRP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uncijomis. </w:t>
      </w:r>
      <w:r w:rsidR="00D3623F"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Jei moteris r</w:t>
      </w:r>
      <w:r w:rsid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ūko, tuomet naujagimio svoris bus mažesnis </w:t>
      </w:r>
      <w:r w:rsidR="00D3623F"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8.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02</w:t>
      </w:r>
      <w:r w:rsidR="00D3623F"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uncijomis.</w:t>
      </w:r>
      <w:r w:rsidR="00D3623F"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</w:t>
      </w:r>
    </w:p>
    <w:p w14:paraId="10F0E7A9" w14:textId="75FFDDA7" w:rsidR="008F4D1E" w:rsidRDefault="008F4D1E" w:rsidP="006167A2">
      <w:pPr>
        <w:spacing w:line="360" w:lineRule="auto"/>
        <w:ind w:firstLine="709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</w:pP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lastRenderedPageBreak/>
        <w:t>Taip pat pabandėme į modelį įtraukti sąveikų</w:t>
      </w:r>
      <w:r w:rsidR="00214C85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. R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adome vieną sąveiką</w:t>
      </w:r>
      <w:r w:rsidR="00705720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tarp nėštumo laikotarpio ir rūkymo</w:t>
      </w:r>
      <w:r w:rsidR="00214C85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, kuri atlikus pažingsninę regresiją išlieka reikšminga, o modelio AIC reikšmė sumažėja </w:t>
      </w:r>
      <w:r w:rsidR="00A40F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–</w:t>
      </w:r>
      <w:r w:rsidR="00214C85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A40F3F" w:rsidRPr="00A40F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6</w:t>
      </w:r>
      <w:r w:rsidR="00A40F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952.59.</w:t>
      </w:r>
      <w:r w:rsidR="00FC675E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Įtraukus sąveiką</w:t>
      </w:r>
      <w:r w:rsidR="008F3AB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, prie </w:t>
      </w:r>
      <w:r w:rsidR="008F3AB3" w:rsidRPr="00705720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0.5 </w:t>
      </w:r>
      <w:r w:rsidR="008F3AB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kvantilio gauname tokį modelį:</w:t>
      </w:r>
    </w:p>
    <w:p w14:paraId="323DDB77" w14:textId="3A93554C" w:rsidR="00F13DA7" w:rsidRDefault="006733D0" w:rsidP="006733D0">
      <w:pPr>
        <w:spacing w:line="360" w:lineRule="auto"/>
        <w:ind w:firstLine="709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</w:pPr>
      <m:oMath>
        <m:r>
          <w:rPr>
            <w:rFonts w:ascii="Cambria Math" w:hAnsi="Cambria Math" w:cstheme="majorBidi"/>
            <w:color w:val="000000" w:themeColor="text1"/>
            <w:sz w:val="24"/>
            <w:szCs w:val="24"/>
            <w:lang w:val="lt-LT"/>
          </w:rPr>
          <m:t>Naujagimio svoris= - 82.63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</m:t>
        </m:r>
        <m:d>
          <m:dPr>
            <m:ctrlPr>
              <w:rPr>
                <w:rFonts w:ascii="Cambria Math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hAnsi="Cambria Math" w:cstheme="majorBidi"/>
            <w:color w:val="000000" w:themeColor="text1"/>
            <w:sz w:val="24"/>
            <w:szCs w:val="24"/>
            <w:lang w:val="lt-LT"/>
          </w:rPr>
          <m:t>+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0.44∙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∙nėštumo laikotarpis-3.44∙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∙pirmas nėštumas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ne</m:t>
            </m:r>
          </m:e>
        </m:d>
        <m:r>
          <w:rPr>
            <w:rFonts w:ascii="Cambria Math" w:hAnsi="Cambria Math" w:cstheme="majorBidi"/>
            <w:color w:val="000000" w:themeColor="text1"/>
            <w:sz w:val="24"/>
            <w:szCs w:val="24"/>
            <w:lang w:val="lt-LT"/>
          </w:rPr>
          <m:t>+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1.89∙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∙ūgis</m:t>
        </m:r>
        <m:r>
          <w:rPr>
            <w:rFonts w:ascii="Cambria Math" w:hAnsi="Cambria Math" w:cstheme="majorBidi"/>
            <w:color w:val="000000" w:themeColor="text1"/>
            <w:sz w:val="24"/>
            <w:szCs w:val="24"/>
            <w:lang w:val="lt-LT"/>
          </w:rPr>
          <m:t>+0.06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∙svoris</m:t>
        </m:r>
        <m:r>
          <w:rPr>
            <w:rFonts w:ascii="Cambria Math" w:hAnsi="Cambria Math" w:cstheme="majorBidi"/>
            <w:color w:val="000000" w:themeColor="text1"/>
            <w:sz w:val="24"/>
            <w:szCs w:val="24"/>
            <w:lang w:val="lt-LT"/>
          </w:rPr>
          <m:t>-52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∙rūko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taip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 xml:space="preserve"> + 0.16∙(τ)∙(nėštumo laikotarpis∙rūko(taip)), kur τ=0.5</m:t>
        </m:r>
      </m:oMath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.</w:t>
      </w:r>
    </w:p>
    <w:p w14:paraId="369F8FE5" w14:textId="39814BE0" w:rsidR="00B43DD9" w:rsidRDefault="00B43DD9" w:rsidP="00B43DD9">
      <w:pPr>
        <w:spacing w:line="360" w:lineRule="auto"/>
        <w:ind w:firstLine="709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</w:pP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Prie 0.5 kvantilio ilgėjant nėštumo laikotarpiui, naujagimio svoris padidėja </w:t>
      </w:r>
      <w:r w:rsidRPr="00010BB9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0.4</w:t>
      </w:r>
      <w:r w:rsidRPr="00B43DD9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4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uncijomis. Jei moteriai tai buvo ne pirmas nėštumas, naujagimis svers </w:t>
      </w:r>
      <w:r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3.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44</w:t>
      </w:r>
      <w:r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uncijomis mažiau. Jei moteris yra aukštesnė, kūdikis svers </w:t>
      </w:r>
      <w:r w:rsidRP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1.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89</w:t>
      </w:r>
      <w:r w:rsidRP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uncijomis daugiau. Esant didesniam n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ėščiosios svoriui, naujagimio svoris padidės </w:t>
      </w:r>
      <w:r w:rsidRP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0.0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6</w:t>
      </w:r>
      <w:r w:rsidRP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uncijomis. </w:t>
      </w:r>
      <w:r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Jei moteris r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ūko, tuomet naujagimio svoris bus mažesnis 52</w:t>
      </w:r>
      <w:r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uncijomis.</w:t>
      </w:r>
      <w:r w:rsidR="006F276D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Įtraukta sąveika rodo, kad </w:t>
      </w:r>
      <w:r w:rsidR="001625E1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rūkanči</w:t>
      </w:r>
      <w:r w:rsidR="00680B71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ų</w:t>
      </w:r>
      <w:r w:rsidR="001625E1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moter</w:t>
      </w:r>
      <w:r w:rsidR="00680B71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ų naujagimio svoris padidė</w:t>
      </w:r>
      <w:r w:rsidR="00CF40BA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s</w:t>
      </w:r>
      <w:r w:rsidR="00DF7AA6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per</w:t>
      </w:r>
      <w:r w:rsidR="00CF40BA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CF40BA" w:rsidRPr="00CF40BA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0.16 </w:t>
      </w:r>
      <w:r w:rsidR="00CF40BA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uncijų</w:t>
      </w:r>
      <w:r w:rsidR="00DF7AA6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esant ilgesniam nėštumo laikotarpiui</w:t>
      </w:r>
      <w:r w:rsidR="00B35A06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, palyginti </w:t>
      </w:r>
      <w:r w:rsidR="00F63294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su moterimis, kurios nerūko.</w:t>
      </w:r>
    </w:p>
    <w:p w14:paraId="4B5FB971" w14:textId="3D3FB420" w:rsidR="00DE1B16" w:rsidRDefault="00DE1B16" w:rsidP="00B43DD9">
      <w:pPr>
        <w:spacing w:line="360" w:lineRule="auto"/>
        <w:ind w:firstLine="709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</w:pP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Pastebėjome, kad </w:t>
      </w:r>
      <w:r w:rsidR="00BC6DF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modeliuojant skirtingo lygio kvantilius gauname skirtingus reikšmingų kovariančių rinkinius</w:t>
      </w:r>
      <w:r w:rsidR="00FF65F1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.</w:t>
      </w:r>
      <w:r w:rsidR="006D6049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Pavyzdžiui, prie </w:t>
      </w:r>
      <w:r w:rsidR="006D6049" w:rsidRPr="00941BB7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0.1 ir </w:t>
      </w:r>
      <w:r w:rsidR="006D6049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0.9 kvantilio gaunam</w:t>
      </w:r>
      <w:r w:rsidR="00524CE9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os </w:t>
      </w:r>
      <w:r w:rsidR="00C829AD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tokios reikšmingos kovariantės</w:t>
      </w:r>
      <w:r w:rsidR="00941BB7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(</w:t>
      </w:r>
      <w:r w:rsidR="00941BB7" w:rsidRPr="00941BB7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6 ir</w:t>
      </w:r>
      <w:r w:rsidR="00941BB7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7 lentelės)</w:t>
      </w:r>
      <w:r w:rsidR="00C829AD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.</w:t>
      </w:r>
      <w:r w:rsidR="00E1484A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Matome, jog </w:t>
      </w:r>
      <w:r w:rsidR="00F809D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nėštumo laikotarpio, pirmojo nėštumo</w:t>
      </w:r>
      <w:r w:rsidR="00B301DA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, ūgio ir rūkymo kovariantės trijuose modeliuose prie skirtingo lygmens kvantilių</w:t>
      </w:r>
      <w:r w:rsidR="00073DDC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išlieka reikšmingiausiomis.</w:t>
      </w:r>
    </w:p>
    <w:p w14:paraId="433A72B2" w14:textId="26BAC5F3" w:rsidR="00387BFD" w:rsidRPr="00387BFD" w:rsidRDefault="00387BFD" w:rsidP="00387BFD">
      <w:pPr>
        <w:pStyle w:val="Caption"/>
        <w:keepNext/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</w:pPr>
      <w:r w:rsidRPr="00387BFD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Pr="00387BFD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SEQ Lentelė \* ARABIC </w:instrText>
      </w:r>
      <w:r w:rsidRPr="00387BFD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6</w:t>
      </w:r>
      <w:r w:rsidRPr="00387BFD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 w:rsidRPr="00387BFD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le</w:t>
      </w:r>
      <w:proofErr w:type="spellStart"/>
      <w:r w:rsidRPr="00387BFD"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  <w:t>ntelė</w:t>
      </w:r>
      <w:proofErr w:type="spellEnd"/>
      <w:r w:rsidRPr="00387BFD"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  <w:t xml:space="preserve">. Reikšmingos kovariantės prie </w:t>
      </w:r>
      <w:r w:rsidRPr="00387BFD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0.1 </w:t>
      </w:r>
      <w:r w:rsidRPr="00387BFD"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  <w:t>kvantilio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83"/>
        <w:gridCol w:w="2382"/>
        <w:gridCol w:w="2084"/>
        <w:gridCol w:w="992"/>
        <w:gridCol w:w="864"/>
        <w:gridCol w:w="1262"/>
      </w:tblGrid>
      <w:tr w:rsidR="00353B81" w14:paraId="3CEEA9D0" w14:textId="77777777" w:rsidTr="00D32786">
        <w:tc>
          <w:tcPr>
            <w:tcW w:w="1483" w:type="dxa"/>
            <w:vAlign w:val="center"/>
          </w:tcPr>
          <w:p w14:paraId="1FAADDEB" w14:textId="6B01553D" w:rsidR="00353B81" w:rsidRPr="00D32786" w:rsidRDefault="00353B81" w:rsidP="00353B81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D32786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Kovariantės</w:t>
            </w:r>
          </w:p>
        </w:tc>
        <w:tc>
          <w:tcPr>
            <w:tcW w:w="2382" w:type="dxa"/>
            <w:vAlign w:val="center"/>
          </w:tcPr>
          <w:p w14:paraId="791034AB" w14:textId="22FC88B9" w:rsidR="00353B81" w:rsidRPr="00D32786" w:rsidRDefault="00353B81" w:rsidP="00353B81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D32786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Nėštumo laikotarpis</w:t>
            </w:r>
          </w:p>
        </w:tc>
        <w:tc>
          <w:tcPr>
            <w:tcW w:w="2084" w:type="dxa"/>
            <w:vAlign w:val="center"/>
          </w:tcPr>
          <w:p w14:paraId="7DC17C14" w14:textId="0C49B2DF" w:rsidR="00353B81" w:rsidRPr="00D32786" w:rsidRDefault="00353B81" w:rsidP="00353B81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D32786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Pirmas nėštumas (ne)</w:t>
            </w:r>
          </w:p>
        </w:tc>
        <w:tc>
          <w:tcPr>
            <w:tcW w:w="992" w:type="dxa"/>
            <w:vAlign w:val="center"/>
          </w:tcPr>
          <w:p w14:paraId="02C20421" w14:textId="69394D4D" w:rsidR="00353B81" w:rsidRPr="00D32786" w:rsidRDefault="00353B81" w:rsidP="00353B81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D32786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Amžius</w:t>
            </w:r>
          </w:p>
        </w:tc>
        <w:tc>
          <w:tcPr>
            <w:tcW w:w="864" w:type="dxa"/>
            <w:vAlign w:val="center"/>
          </w:tcPr>
          <w:p w14:paraId="68251903" w14:textId="640DF936" w:rsidR="00353B81" w:rsidRPr="00D32786" w:rsidRDefault="00353B81" w:rsidP="00353B81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D32786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Ūgis</w:t>
            </w:r>
          </w:p>
        </w:tc>
        <w:tc>
          <w:tcPr>
            <w:tcW w:w="1262" w:type="dxa"/>
            <w:vAlign w:val="center"/>
          </w:tcPr>
          <w:p w14:paraId="723D7CAE" w14:textId="29D2A857" w:rsidR="00353B81" w:rsidRPr="00D32786" w:rsidRDefault="00353B81" w:rsidP="00353B81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D32786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Rūko (taip)</w:t>
            </w:r>
          </w:p>
        </w:tc>
      </w:tr>
      <w:tr w:rsidR="00353B81" w14:paraId="28ED3800" w14:textId="77777777" w:rsidTr="00D32786">
        <w:tc>
          <w:tcPr>
            <w:tcW w:w="1483" w:type="dxa"/>
            <w:vAlign w:val="center"/>
          </w:tcPr>
          <w:p w14:paraId="2AF55CC4" w14:textId="66756A4B" w:rsidR="00353B81" w:rsidRPr="00D32786" w:rsidRDefault="00353B81" w:rsidP="00353B81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D32786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Koeficientas</w:t>
            </w:r>
          </w:p>
        </w:tc>
        <w:tc>
          <w:tcPr>
            <w:tcW w:w="2382" w:type="dxa"/>
            <w:vAlign w:val="center"/>
          </w:tcPr>
          <w:p w14:paraId="21F49AA1" w14:textId="4738A3B4" w:rsidR="00353B81" w:rsidRPr="00AC3C87" w:rsidRDefault="00AC3C87" w:rsidP="00353B81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0.46</w:t>
            </w:r>
          </w:p>
        </w:tc>
        <w:tc>
          <w:tcPr>
            <w:tcW w:w="2084" w:type="dxa"/>
            <w:vAlign w:val="center"/>
          </w:tcPr>
          <w:p w14:paraId="3FDCDAA5" w14:textId="49C7E2A6" w:rsidR="00353B81" w:rsidRDefault="00AC3C87" w:rsidP="00353B81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  <w:t>- 3.77</w:t>
            </w:r>
          </w:p>
        </w:tc>
        <w:tc>
          <w:tcPr>
            <w:tcW w:w="992" w:type="dxa"/>
            <w:vAlign w:val="center"/>
          </w:tcPr>
          <w:p w14:paraId="16BCC2B6" w14:textId="13282671" w:rsidR="00353B81" w:rsidRDefault="00AC3C87" w:rsidP="00353B81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  <w:t>- 0.18</w:t>
            </w:r>
          </w:p>
        </w:tc>
        <w:tc>
          <w:tcPr>
            <w:tcW w:w="864" w:type="dxa"/>
            <w:vAlign w:val="center"/>
          </w:tcPr>
          <w:p w14:paraId="628680A1" w14:textId="36143F4F" w:rsidR="00353B81" w:rsidRDefault="009A2FA3" w:rsidP="00353B81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  <w:t>0.84</w:t>
            </w:r>
          </w:p>
        </w:tc>
        <w:tc>
          <w:tcPr>
            <w:tcW w:w="1262" w:type="dxa"/>
            <w:vAlign w:val="center"/>
          </w:tcPr>
          <w:p w14:paraId="5D018963" w14:textId="62CD5805" w:rsidR="00353B81" w:rsidRDefault="009A2FA3" w:rsidP="00353B81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  <w:t>- 8.76</w:t>
            </w:r>
          </w:p>
        </w:tc>
      </w:tr>
    </w:tbl>
    <w:p w14:paraId="4D8086D3" w14:textId="77777777" w:rsidR="00C829AD" w:rsidRDefault="00C829AD" w:rsidP="00073DDC">
      <w:pPr>
        <w:spacing w:line="360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</w:pPr>
    </w:p>
    <w:p w14:paraId="7ADFE9E0" w14:textId="491E843A" w:rsidR="00387BFD" w:rsidRPr="00387BFD" w:rsidRDefault="00387BFD" w:rsidP="00387BFD">
      <w:pPr>
        <w:pStyle w:val="Caption"/>
        <w:keepNext/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</w:pPr>
      <w:r w:rsidRPr="00387BFD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Pr="00387BFD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SEQ Lentelė \* ARABIC </w:instrText>
      </w:r>
      <w:r w:rsidRPr="00387BFD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Pr="00387BFD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7</w:t>
      </w:r>
      <w:r w:rsidRPr="00387BFD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 w:rsidRPr="00387BFD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le</w:t>
      </w:r>
      <w:proofErr w:type="spellStart"/>
      <w:r w:rsidRPr="00387BFD"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  <w:t>ntelė</w:t>
      </w:r>
      <w:proofErr w:type="spellEnd"/>
      <w:r w:rsidRPr="00387BFD"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  <w:t xml:space="preserve">. Reikšmingos kovariantės prie </w:t>
      </w:r>
      <w:r w:rsidRPr="00387BFD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0.9 </w:t>
      </w:r>
      <w:r w:rsidRPr="00387BFD"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  <w:t>kvantilio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83"/>
        <w:gridCol w:w="2382"/>
        <w:gridCol w:w="2084"/>
        <w:gridCol w:w="992"/>
        <w:gridCol w:w="864"/>
        <w:gridCol w:w="1262"/>
      </w:tblGrid>
      <w:tr w:rsidR="00DD648E" w14:paraId="635039F8" w14:textId="77777777" w:rsidTr="005B214B">
        <w:tc>
          <w:tcPr>
            <w:tcW w:w="1483" w:type="dxa"/>
            <w:vAlign w:val="center"/>
          </w:tcPr>
          <w:p w14:paraId="32CF209F" w14:textId="77777777" w:rsidR="00DD648E" w:rsidRPr="00D32786" w:rsidRDefault="00DD648E" w:rsidP="005B214B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D32786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Kovariantės</w:t>
            </w:r>
          </w:p>
        </w:tc>
        <w:tc>
          <w:tcPr>
            <w:tcW w:w="2382" w:type="dxa"/>
            <w:vAlign w:val="center"/>
          </w:tcPr>
          <w:p w14:paraId="4F233074" w14:textId="77777777" w:rsidR="00DD648E" w:rsidRPr="00D32786" w:rsidRDefault="00DD648E" w:rsidP="005B214B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D32786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Nėštumo laikotarpis</w:t>
            </w:r>
          </w:p>
        </w:tc>
        <w:tc>
          <w:tcPr>
            <w:tcW w:w="2084" w:type="dxa"/>
            <w:vAlign w:val="center"/>
          </w:tcPr>
          <w:p w14:paraId="1406B0EE" w14:textId="77777777" w:rsidR="00DD648E" w:rsidRPr="00D32786" w:rsidRDefault="00DD648E" w:rsidP="005B214B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D32786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Pirmas nėštumas (ne)</w:t>
            </w:r>
          </w:p>
        </w:tc>
        <w:tc>
          <w:tcPr>
            <w:tcW w:w="992" w:type="dxa"/>
            <w:vAlign w:val="center"/>
          </w:tcPr>
          <w:p w14:paraId="5FBE4551" w14:textId="29887F34" w:rsidR="00DD648E" w:rsidRPr="00D32786" w:rsidRDefault="00DD648E" w:rsidP="005B214B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D32786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Ūgis</w:t>
            </w:r>
          </w:p>
        </w:tc>
        <w:tc>
          <w:tcPr>
            <w:tcW w:w="864" w:type="dxa"/>
            <w:vAlign w:val="center"/>
          </w:tcPr>
          <w:p w14:paraId="217630BC" w14:textId="16214EC0" w:rsidR="00DD648E" w:rsidRPr="00D32786" w:rsidRDefault="00DD648E" w:rsidP="005B214B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Svoris</w:t>
            </w:r>
          </w:p>
        </w:tc>
        <w:tc>
          <w:tcPr>
            <w:tcW w:w="1262" w:type="dxa"/>
            <w:vAlign w:val="center"/>
          </w:tcPr>
          <w:p w14:paraId="4E385CE2" w14:textId="77777777" w:rsidR="00DD648E" w:rsidRPr="00D32786" w:rsidRDefault="00DD648E" w:rsidP="005B214B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D32786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Rūko (taip)</w:t>
            </w:r>
          </w:p>
        </w:tc>
      </w:tr>
      <w:tr w:rsidR="00DD648E" w14:paraId="001B16A6" w14:textId="77777777" w:rsidTr="005B214B">
        <w:tc>
          <w:tcPr>
            <w:tcW w:w="1483" w:type="dxa"/>
            <w:vAlign w:val="center"/>
          </w:tcPr>
          <w:p w14:paraId="17CCC034" w14:textId="77777777" w:rsidR="00DD648E" w:rsidRPr="00D32786" w:rsidRDefault="00DD648E" w:rsidP="005B214B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D32786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Koeficientas</w:t>
            </w:r>
          </w:p>
        </w:tc>
        <w:tc>
          <w:tcPr>
            <w:tcW w:w="2382" w:type="dxa"/>
            <w:vAlign w:val="center"/>
          </w:tcPr>
          <w:p w14:paraId="24F64DF4" w14:textId="3961A0FD" w:rsidR="00DD648E" w:rsidRPr="00AC3C87" w:rsidRDefault="00DD648E" w:rsidP="005B214B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0.37</w:t>
            </w:r>
          </w:p>
        </w:tc>
        <w:tc>
          <w:tcPr>
            <w:tcW w:w="2084" w:type="dxa"/>
            <w:vAlign w:val="center"/>
          </w:tcPr>
          <w:p w14:paraId="181952EC" w14:textId="2BF65CBB" w:rsidR="00DD648E" w:rsidRDefault="00DD648E" w:rsidP="005B214B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  <w:t>- 7.95</w:t>
            </w:r>
          </w:p>
        </w:tc>
        <w:tc>
          <w:tcPr>
            <w:tcW w:w="992" w:type="dxa"/>
            <w:vAlign w:val="center"/>
          </w:tcPr>
          <w:p w14:paraId="1E8EF3F0" w14:textId="58BAE147" w:rsidR="00DD648E" w:rsidRDefault="00C840F0" w:rsidP="005B214B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  <w:t>1.28</w:t>
            </w:r>
          </w:p>
        </w:tc>
        <w:tc>
          <w:tcPr>
            <w:tcW w:w="864" w:type="dxa"/>
            <w:vAlign w:val="center"/>
          </w:tcPr>
          <w:p w14:paraId="6D310D9C" w14:textId="3899E603" w:rsidR="00DD648E" w:rsidRDefault="00DD648E" w:rsidP="005B214B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  <w:t>0.</w:t>
            </w:r>
            <w:r w:rsidR="00387BFD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  <w:t>16</w:t>
            </w:r>
          </w:p>
        </w:tc>
        <w:tc>
          <w:tcPr>
            <w:tcW w:w="1262" w:type="dxa"/>
            <w:vAlign w:val="center"/>
          </w:tcPr>
          <w:p w14:paraId="0DE40832" w14:textId="3373D137" w:rsidR="00DD648E" w:rsidRDefault="00DD648E" w:rsidP="005B214B">
            <w:pPr>
              <w:spacing w:after="0" w:line="276" w:lineRule="auto"/>
              <w:jc w:val="center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  <w:t xml:space="preserve">- </w:t>
            </w:r>
            <w:r w:rsidR="00387BFD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  <w:t>9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  <w:t>.</w:t>
            </w:r>
            <w:r w:rsidR="00387BFD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lt-LT"/>
              </w:rPr>
              <w:t>27</w:t>
            </w:r>
          </w:p>
        </w:tc>
      </w:tr>
    </w:tbl>
    <w:p w14:paraId="0BF0E007" w14:textId="77777777" w:rsidR="00DD648E" w:rsidRPr="006D6049" w:rsidRDefault="00DD648E" w:rsidP="00DD648E">
      <w:pPr>
        <w:spacing w:line="360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</w:pPr>
    </w:p>
    <w:p w14:paraId="618F37E9" w14:textId="0A97492B" w:rsidR="00B23F5D" w:rsidRDefault="00D517E3" w:rsidP="006167A2">
      <w:pPr>
        <w:spacing w:line="360" w:lineRule="auto"/>
        <w:ind w:firstLine="709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</w:pP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Taip pat </w:t>
      </w:r>
      <w:r w:rsidR="00A850D6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iš testavimo aibės </w:t>
      </w:r>
      <w:r w:rsidR="00FD3723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pateikiame </w:t>
      </w:r>
      <w:r w:rsidR="00FD3723" w:rsidRPr="00A850D6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10 </w:t>
      </w:r>
      <w:r w:rsidR="00B315A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prognozuotų reikšmių </w:t>
      </w:r>
      <w:r w:rsidR="00FF3FBA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naudojant modelį su sąveika ir be jos</w:t>
      </w:r>
      <w:r w:rsidR="0083613A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prie</w:t>
      </w:r>
      <w:r w:rsidR="0083613A" w:rsidRPr="00A850D6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0.5</w:t>
      </w:r>
      <w:r w:rsidR="0083613A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kvantilio</w:t>
      </w:r>
      <w:r w:rsidR="00A850D6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.</w:t>
      </w:r>
      <w:r w:rsidR="00173AA9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Iš lentelės (</w:t>
      </w:r>
      <w:r w:rsidR="00EF4805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8</w:t>
      </w:r>
      <w:r w:rsidR="00173AA9" w:rsidRPr="009725D0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173AA9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lentelė) matome,</w:t>
      </w:r>
      <w:r w:rsidR="00B23F5D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jog </w:t>
      </w:r>
      <w:r w:rsidR="00F866BA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abu modeliai prognozuoja</w:t>
      </w:r>
      <w:r w:rsidR="00393969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panašiai</w:t>
      </w:r>
      <w:r w:rsidR="005B45F6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.</w:t>
      </w:r>
    </w:p>
    <w:p w14:paraId="415B9865" w14:textId="14AD72E6" w:rsidR="004E14F8" w:rsidRPr="004E14F8" w:rsidRDefault="004E14F8" w:rsidP="004E14F8">
      <w:pPr>
        <w:pStyle w:val="Caption"/>
        <w:keepNext/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</w:pPr>
      <w:r w:rsidRPr="004E14F8">
        <w:rPr>
          <w:rFonts w:asciiTheme="majorBidi" w:hAnsiTheme="majorBidi" w:cstheme="majorBidi"/>
          <w:color w:val="000000" w:themeColor="text1"/>
          <w:sz w:val="20"/>
          <w:szCs w:val="20"/>
        </w:rPr>
        <w:lastRenderedPageBreak/>
        <w:fldChar w:fldCharType="begin"/>
      </w:r>
      <w:r w:rsidRPr="004E14F8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SEQ Lentelė \* ARABIC </w:instrText>
      </w:r>
      <w:r w:rsidRPr="004E14F8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387BFD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8</w:t>
      </w:r>
      <w:r w:rsidRPr="004E14F8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 w:rsidRPr="004E14F8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4E14F8">
        <w:rPr>
          <w:rFonts w:asciiTheme="majorBidi" w:hAnsiTheme="majorBidi" w:cstheme="majorBidi"/>
          <w:color w:val="000000" w:themeColor="text1"/>
          <w:sz w:val="20"/>
          <w:szCs w:val="20"/>
        </w:rPr>
        <w:t>lentel</w:t>
      </w:r>
      <w:proofErr w:type="spellEnd"/>
      <w:r w:rsidRPr="004E14F8">
        <w:rPr>
          <w:rFonts w:asciiTheme="majorBidi" w:hAnsiTheme="majorBidi" w:cstheme="majorBidi"/>
          <w:color w:val="000000" w:themeColor="text1"/>
          <w:sz w:val="20"/>
          <w:szCs w:val="20"/>
          <w:lang w:val="lt-LT"/>
        </w:rPr>
        <w:t>ė. Prognozuotos reikšmės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2844"/>
        <w:gridCol w:w="3969"/>
      </w:tblGrid>
      <w:tr w:rsidR="009079CD" w14:paraId="667DEB18" w14:textId="77777777" w:rsidTr="009079CD">
        <w:tc>
          <w:tcPr>
            <w:tcW w:w="2254" w:type="dxa"/>
            <w:vAlign w:val="center"/>
          </w:tcPr>
          <w:p w14:paraId="2765882A" w14:textId="1E9F2E22" w:rsidR="009079CD" w:rsidRPr="00451E14" w:rsidRDefault="009079CD" w:rsidP="00451E14">
            <w:pPr>
              <w:spacing w:after="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451E1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Stebėtos reikšmės</w:t>
            </w:r>
          </w:p>
        </w:tc>
        <w:tc>
          <w:tcPr>
            <w:tcW w:w="2844" w:type="dxa"/>
            <w:vAlign w:val="center"/>
          </w:tcPr>
          <w:p w14:paraId="7D2577AA" w14:textId="392802A5" w:rsidR="009079CD" w:rsidRPr="00451E14" w:rsidRDefault="009079CD" w:rsidP="00451E14">
            <w:pPr>
              <w:spacing w:after="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451E1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 xml:space="preserve">Prognozuotos reikšmės </w:t>
            </w:r>
          </w:p>
        </w:tc>
        <w:tc>
          <w:tcPr>
            <w:tcW w:w="3969" w:type="dxa"/>
            <w:vAlign w:val="center"/>
          </w:tcPr>
          <w:p w14:paraId="216CAEBE" w14:textId="0F4B9A8C" w:rsidR="009079CD" w:rsidRPr="00451E14" w:rsidRDefault="009079CD" w:rsidP="00451E14">
            <w:pPr>
              <w:spacing w:after="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</w:pPr>
            <w:r w:rsidRPr="00451E1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 xml:space="preserve">Prognozuotos reikšmės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lt-LT"/>
              </w:rPr>
              <w:t>(su sąveika)</w:t>
            </w:r>
          </w:p>
        </w:tc>
      </w:tr>
      <w:tr w:rsidR="00C95EAD" w14:paraId="2E9DDEF8" w14:textId="77777777" w:rsidTr="009079CD">
        <w:tc>
          <w:tcPr>
            <w:tcW w:w="2254" w:type="dxa"/>
            <w:vAlign w:val="center"/>
          </w:tcPr>
          <w:p w14:paraId="07B0F394" w14:textId="22748CF0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136</w:t>
            </w:r>
          </w:p>
        </w:tc>
        <w:tc>
          <w:tcPr>
            <w:tcW w:w="2844" w:type="dxa"/>
            <w:vAlign w:val="center"/>
          </w:tcPr>
          <w:p w14:paraId="2A7D31E9" w14:textId="73B118BC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119.76</w:t>
            </w:r>
          </w:p>
        </w:tc>
        <w:tc>
          <w:tcPr>
            <w:tcW w:w="3969" w:type="dxa"/>
            <w:vAlign w:val="center"/>
          </w:tcPr>
          <w:p w14:paraId="1FF07384" w14:textId="23A193BC" w:rsidR="00C95EAD" w:rsidRP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</w:t>
            </w:r>
            <w:r w:rsidR="005F68D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19.06</w:t>
            </w:r>
          </w:p>
        </w:tc>
      </w:tr>
      <w:tr w:rsidR="00C95EAD" w14:paraId="75599939" w14:textId="77777777" w:rsidTr="009079CD">
        <w:tc>
          <w:tcPr>
            <w:tcW w:w="2254" w:type="dxa"/>
            <w:vAlign w:val="center"/>
          </w:tcPr>
          <w:p w14:paraId="797FA1EA" w14:textId="6886C925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132</w:t>
            </w:r>
          </w:p>
        </w:tc>
        <w:tc>
          <w:tcPr>
            <w:tcW w:w="2844" w:type="dxa"/>
            <w:vAlign w:val="center"/>
          </w:tcPr>
          <w:p w14:paraId="30737556" w14:textId="133E2A38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108.28</w:t>
            </w:r>
          </w:p>
        </w:tc>
        <w:tc>
          <w:tcPr>
            <w:tcW w:w="3969" w:type="dxa"/>
            <w:vAlign w:val="center"/>
          </w:tcPr>
          <w:p w14:paraId="58692A4D" w14:textId="3F21C151" w:rsidR="00C95EAD" w:rsidRDefault="005F68D7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114.53</w:t>
            </w:r>
          </w:p>
        </w:tc>
      </w:tr>
      <w:tr w:rsidR="00C95EAD" w14:paraId="14106C6F" w14:textId="77777777" w:rsidTr="009079CD">
        <w:tc>
          <w:tcPr>
            <w:tcW w:w="2254" w:type="dxa"/>
            <w:vAlign w:val="center"/>
          </w:tcPr>
          <w:p w14:paraId="0958247C" w14:textId="09DBAFEA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92</w:t>
            </w:r>
          </w:p>
        </w:tc>
        <w:tc>
          <w:tcPr>
            <w:tcW w:w="2844" w:type="dxa"/>
            <w:vAlign w:val="center"/>
          </w:tcPr>
          <w:p w14:paraId="157C576E" w14:textId="6872B195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102.53</w:t>
            </w:r>
          </w:p>
        </w:tc>
        <w:tc>
          <w:tcPr>
            <w:tcW w:w="3969" w:type="dxa"/>
            <w:vAlign w:val="center"/>
          </w:tcPr>
          <w:p w14:paraId="5E32DB25" w14:textId="4A9248FE" w:rsidR="00C95EAD" w:rsidRDefault="005F68D7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98.01</w:t>
            </w:r>
          </w:p>
        </w:tc>
      </w:tr>
      <w:tr w:rsidR="00C95EAD" w14:paraId="4B3AFA72" w14:textId="77777777" w:rsidTr="009079CD">
        <w:tc>
          <w:tcPr>
            <w:tcW w:w="2254" w:type="dxa"/>
            <w:vAlign w:val="center"/>
          </w:tcPr>
          <w:p w14:paraId="551C8D01" w14:textId="3582FC7A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119</w:t>
            </w:r>
          </w:p>
        </w:tc>
        <w:tc>
          <w:tcPr>
            <w:tcW w:w="2844" w:type="dxa"/>
            <w:vAlign w:val="center"/>
          </w:tcPr>
          <w:p w14:paraId="435A3F6C" w14:textId="7001EF80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120.94</w:t>
            </w:r>
          </w:p>
        </w:tc>
        <w:tc>
          <w:tcPr>
            <w:tcW w:w="3969" w:type="dxa"/>
            <w:vAlign w:val="center"/>
          </w:tcPr>
          <w:p w14:paraId="783FE6D3" w14:textId="4D8411CA" w:rsidR="00C95EAD" w:rsidRDefault="005F68D7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123.2</w:t>
            </w:r>
          </w:p>
        </w:tc>
      </w:tr>
      <w:tr w:rsidR="00C95EAD" w14:paraId="7F3F1F58" w14:textId="77777777" w:rsidTr="009079CD">
        <w:tc>
          <w:tcPr>
            <w:tcW w:w="2254" w:type="dxa"/>
            <w:vAlign w:val="center"/>
          </w:tcPr>
          <w:p w14:paraId="30A6C1C7" w14:textId="3E7E0358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105</w:t>
            </w:r>
          </w:p>
        </w:tc>
        <w:tc>
          <w:tcPr>
            <w:tcW w:w="2844" w:type="dxa"/>
            <w:vAlign w:val="center"/>
          </w:tcPr>
          <w:p w14:paraId="0864CB62" w14:textId="6BC9B1F7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105</w:t>
            </w:r>
          </w:p>
        </w:tc>
        <w:tc>
          <w:tcPr>
            <w:tcW w:w="3969" w:type="dxa"/>
            <w:vAlign w:val="center"/>
          </w:tcPr>
          <w:p w14:paraId="1DDB2B25" w14:textId="1087DF9E" w:rsidR="00C95EAD" w:rsidRDefault="005F68D7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106.23</w:t>
            </w:r>
          </w:p>
        </w:tc>
      </w:tr>
      <w:tr w:rsidR="00C95EAD" w14:paraId="356A9F6D" w14:textId="77777777" w:rsidTr="009079CD">
        <w:tc>
          <w:tcPr>
            <w:tcW w:w="2254" w:type="dxa"/>
            <w:vAlign w:val="center"/>
          </w:tcPr>
          <w:p w14:paraId="33A26EAD" w14:textId="7094BD31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131</w:t>
            </w:r>
          </w:p>
        </w:tc>
        <w:tc>
          <w:tcPr>
            <w:tcW w:w="2844" w:type="dxa"/>
            <w:vAlign w:val="center"/>
          </w:tcPr>
          <w:p w14:paraId="797CB87D" w14:textId="7D027EBE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129.83</w:t>
            </w:r>
          </w:p>
        </w:tc>
        <w:tc>
          <w:tcPr>
            <w:tcW w:w="3969" w:type="dxa"/>
            <w:vAlign w:val="center"/>
          </w:tcPr>
          <w:p w14:paraId="40BE84DA" w14:textId="14736DD7" w:rsidR="00C95EAD" w:rsidRDefault="00EF4805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</w:t>
            </w:r>
            <w:r w:rsidR="005F68D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27.21</w:t>
            </w:r>
          </w:p>
        </w:tc>
      </w:tr>
      <w:tr w:rsidR="00C95EAD" w14:paraId="1FB92ABF" w14:textId="77777777" w:rsidTr="009079CD">
        <w:tc>
          <w:tcPr>
            <w:tcW w:w="2254" w:type="dxa"/>
            <w:vAlign w:val="center"/>
          </w:tcPr>
          <w:p w14:paraId="5672E180" w14:textId="2C87B755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122</w:t>
            </w:r>
          </w:p>
        </w:tc>
        <w:tc>
          <w:tcPr>
            <w:tcW w:w="2844" w:type="dxa"/>
            <w:vAlign w:val="center"/>
          </w:tcPr>
          <w:p w14:paraId="1041E197" w14:textId="20FD870F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112.09</w:t>
            </w:r>
          </w:p>
        </w:tc>
        <w:tc>
          <w:tcPr>
            <w:tcW w:w="3969" w:type="dxa"/>
            <w:vAlign w:val="center"/>
          </w:tcPr>
          <w:p w14:paraId="4A781B85" w14:textId="3B399045" w:rsidR="00C95EAD" w:rsidRDefault="005F68D7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113.9</w:t>
            </w:r>
          </w:p>
        </w:tc>
      </w:tr>
      <w:tr w:rsidR="00C95EAD" w14:paraId="486726C9" w14:textId="77777777" w:rsidTr="009079CD">
        <w:tc>
          <w:tcPr>
            <w:tcW w:w="2254" w:type="dxa"/>
            <w:vAlign w:val="center"/>
          </w:tcPr>
          <w:p w14:paraId="51EA6924" w14:textId="33969AC1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93</w:t>
            </w:r>
          </w:p>
        </w:tc>
        <w:tc>
          <w:tcPr>
            <w:tcW w:w="2844" w:type="dxa"/>
            <w:vAlign w:val="center"/>
          </w:tcPr>
          <w:p w14:paraId="28D063C5" w14:textId="7618C9B0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119.69</w:t>
            </w:r>
          </w:p>
        </w:tc>
        <w:tc>
          <w:tcPr>
            <w:tcW w:w="3969" w:type="dxa"/>
            <w:vAlign w:val="center"/>
          </w:tcPr>
          <w:p w14:paraId="5D90404D" w14:textId="0C427281" w:rsidR="00C95EAD" w:rsidRDefault="00EF4805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</w:t>
            </w:r>
            <w:r w:rsidR="006661F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18.6</w:t>
            </w:r>
          </w:p>
        </w:tc>
      </w:tr>
      <w:tr w:rsidR="00C95EAD" w14:paraId="22520189" w14:textId="77777777" w:rsidTr="009079CD">
        <w:tc>
          <w:tcPr>
            <w:tcW w:w="2254" w:type="dxa"/>
            <w:vAlign w:val="center"/>
          </w:tcPr>
          <w:p w14:paraId="5D6DDA9B" w14:textId="77903232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134</w:t>
            </w:r>
          </w:p>
        </w:tc>
        <w:tc>
          <w:tcPr>
            <w:tcW w:w="2844" w:type="dxa"/>
            <w:vAlign w:val="center"/>
          </w:tcPr>
          <w:p w14:paraId="5A684EB0" w14:textId="4A7B6A48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127.75</w:t>
            </w:r>
          </w:p>
        </w:tc>
        <w:tc>
          <w:tcPr>
            <w:tcW w:w="3969" w:type="dxa"/>
            <w:vAlign w:val="center"/>
          </w:tcPr>
          <w:p w14:paraId="6E9FA2BB" w14:textId="56AB8251" w:rsidR="00C95EAD" w:rsidRDefault="00EF4805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</w:t>
            </w:r>
            <w:r w:rsidR="006661F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27.38</w:t>
            </w:r>
          </w:p>
        </w:tc>
      </w:tr>
      <w:tr w:rsidR="00C95EAD" w14:paraId="1D8694DF" w14:textId="77777777" w:rsidTr="009079CD">
        <w:tc>
          <w:tcPr>
            <w:tcW w:w="2254" w:type="dxa"/>
            <w:vAlign w:val="center"/>
          </w:tcPr>
          <w:p w14:paraId="01AD2876" w14:textId="16823215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122</w:t>
            </w:r>
          </w:p>
        </w:tc>
        <w:tc>
          <w:tcPr>
            <w:tcW w:w="2844" w:type="dxa"/>
            <w:vAlign w:val="center"/>
          </w:tcPr>
          <w:p w14:paraId="6AF5D79C" w14:textId="213DAF2B" w:rsidR="00C95EAD" w:rsidRDefault="00C95EAD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105.98</w:t>
            </w:r>
          </w:p>
        </w:tc>
        <w:tc>
          <w:tcPr>
            <w:tcW w:w="3969" w:type="dxa"/>
            <w:vAlign w:val="center"/>
          </w:tcPr>
          <w:p w14:paraId="745D63F9" w14:textId="4A7B094E" w:rsidR="00C95EAD" w:rsidRDefault="006661F1" w:rsidP="00C95EAD">
            <w:pPr>
              <w:spacing w:after="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lt-LT"/>
              </w:rPr>
              <w:t>104.86</w:t>
            </w:r>
          </w:p>
        </w:tc>
      </w:tr>
    </w:tbl>
    <w:p w14:paraId="04BE884C" w14:textId="77777777" w:rsidR="002D7A6C" w:rsidRDefault="002D7A6C" w:rsidP="00A160D0">
      <w:pPr>
        <w:rPr>
          <w:lang w:val="lt-LT"/>
        </w:rPr>
      </w:pPr>
    </w:p>
    <w:p w14:paraId="6B78885C" w14:textId="0991DEC7" w:rsidR="00A160D0" w:rsidRPr="00A160D0" w:rsidRDefault="00A160D0" w:rsidP="00A160D0">
      <w:pPr>
        <w:spacing w:after="0" w:line="240" w:lineRule="auto"/>
        <w:rPr>
          <w:lang w:val="lt-LT"/>
        </w:rPr>
      </w:pPr>
    </w:p>
    <w:p w14:paraId="1D46F315" w14:textId="77777777" w:rsidR="00A160D0" w:rsidRDefault="00A160D0">
      <w:pPr>
        <w:spacing w:after="0" w:line="240" w:lineRule="auto"/>
        <w:rPr>
          <w:rFonts w:asciiTheme="majorBidi" w:eastAsiaTheme="majorEastAsia" w:hAnsiTheme="majorBidi" w:cstheme="majorBidi"/>
          <w:b/>
          <w:color w:val="000000" w:themeColor="text1"/>
          <w:sz w:val="24"/>
          <w:szCs w:val="28"/>
          <w:lang w:val="lt-LT"/>
        </w:rPr>
      </w:pPr>
      <w:bookmarkStart w:id="11" w:name="_Toc132666369"/>
      <w:r>
        <w:rPr>
          <w:szCs w:val="28"/>
          <w:lang w:val="lt-LT"/>
        </w:rPr>
        <w:br w:type="page"/>
      </w:r>
    </w:p>
    <w:p w14:paraId="12ED8EC6" w14:textId="3C1C1B0F" w:rsidR="006B6863" w:rsidRPr="007D1CDE" w:rsidRDefault="00726374" w:rsidP="007D1CDE">
      <w:pPr>
        <w:pStyle w:val="Heading1"/>
        <w:numPr>
          <w:ilvl w:val="0"/>
          <w:numId w:val="1"/>
        </w:numPr>
        <w:spacing w:before="480" w:after="240"/>
        <w:rPr>
          <w:szCs w:val="28"/>
          <w:lang w:val="lt-LT"/>
        </w:rPr>
      </w:pPr>
      <w:r w:rsidRPr="00650ABD">
        <w:rPr>
          <w:szCs w:val="28"/>
          <w:lang w:val="lt-LT"/>
        </w:rPr>
        <w:lastRenderedPageBreak/>
        <w:t>IŠVADOS</w:t>
      </w:r>
      <w:bookmarkEnd w:id="11"/>
    </w:p>
    <w:p w14:paraId="1820103A" w14:textId="77777777" w:rsidR="0037526B" w:rsidRPr="0037526B" w:rsidRDefault="0037526B" w:rsidP="0037526B">
      <w:pPr>
        <w:rPr>
          <w:lang w:val="lt-LT"/>
        </w:rPr>
      </w:pPr>
    </w:p>
    <w:p w14:paraId="21CE6F16" w14:textId="73701524" w:rsidR="00497ABE" w:rsidRDefault="00497ABE" w:rsidP="00EF11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8277E3">
        <w:rPr>
          <w:rFonts w:ascii="Times New Roman" w:hAnsi="Times New Roman" w:cs="Times New Roman"/>
          <w:sz w:val="24"/>
          <w:szCs w:val="24"/>
          <w:lang w:val="lt-LT"/>
        </w:rPr>
        <w:t xml:space="preserve">Iš pirminės duomenų analizės </w:t>
      </w:r>
      <w:r w:rsidR="006F47F6">
        <w:rPr>
          <w:rFonts w:ascii="Times New Roman" w:hAnsi="Times New Roman" w:cs="Times New Roman"/>
          <w:sz w:val="24"/>
          <w:szCs w:val="24"/>
          <w:lang w:val="lt-LT"/>
        </w:rPr>
        <w:t xml:space="preserve">sužinojome, jog vidutinis nėštumo laikotarpis yra </w:t>
      </w:r>
      <w:r w:rsidR="006F47F6" w:rsidRPr="006F47F6">
        <w:rPr>
          <w:rFonts w:ascii="Times New Roman" w:hAnsi="Times New Roman" w:cs="Times New Roman"/>
          <w:sz w:val="24"/>
          <w:szCs w:val="24"/>
          <w:lang w:val="lt-LT"/>
        </w:rPr>
        <w:t>27</w:t>
      </w:r>
      <w:r w:rsidR="006F47F6">
        <w:rPr>
          <w:rFonts w:ascii="Times New Roman" w:hAnsi="Times New Roman" w:cs="Times New Roman"/>
          <w:sz w:val="24"/>
          <w:szCs w:val="24"/>
          <w:lang w:val="lt-LT"/>
        </w:rPr>
        <w:t>9 dienos</w:t>
      </w:r>
      <w:r w:rsidR="00785858">
        <w:rPr>
          <w:rFonts w:ascii="Times New Roman" w:hAnsi="Times New Roman" w:cs="Times New Roman"/>
          <w:sz w:val="24"/>
          <w:szCs w:val="24"/>
          <w:lang w:val="lt-LT"/>
        </w:rPr>
        <w:t xml:space="preserve">, moters amžius – </w:t>
      </w:r>
      <w:r w:rsidR="00785858" w:rsidRPr="00785858">
        <w:rPr>
          <w:rFonts w:ascii="Times New Roman" w:hAnsi="Times New Roman" w:cs="Times New Roman"/>
          <w:sz w:val="24"/>
          <w:szCs w:val="24"/>
          <w:lang w:val="lt-LT"/>
        </w:rPr>
        <w:t>27</w:t>
      </w:r>
      <w:r w:rsidR="00785858">
        <w:rPr>
          <w:rFonts w:ascii="Times New Roman" w:hAnsi="Times New Roman" w:cs="Times New Roman"/>
          <w:sz w:val="24"/>
          <w:szCs w:val="24"/>
          <w:lang w:val="lt-LT"/>
        </w:rPr>
        <w:t xml:space="preserve"> metai</w:t>
      </w:r>
      <w:r w:rsidR="00EF1120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3B668D" w:rsidRPr="008277E3">
        <w:rPr>
          <w:rFonts w:ascii="Times New Roman" w:hAnsi="Times New Roman" w:cs="Times New Roman"/>
          <w:sz w:val="24"/>
          <w:szCs w:val="24"/>
          <w:lang w:val="lt-LT"/>
        </w:rPr>
        <w:t>73</w:t>
      </w:r>
      <w:r w:rsidR="00EF1120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3B668D" w:rsidRPr="008277E3">
        <w:rPr>
          <w:rFonts w:ascii="Times New Roman" w:hAnsi="Times New Roman" w:cs="Times New Roman"/>
          <w:sz w:val="24"/>
          <w:szCs w:val="24"/>
          <w:lang w:val="lt-LT"/>
        </w:rPr>
        <w:t xml:space="preserve">% moterų, tai buvo pirmasis nėštumas ir </w:t>
      </w:r>
      <w:r w:rsidR="00322FC3" w:rsidRPr="008277E3">
        <w:rPr>
          <w:rFonts w:ascii="Times New Roman" w:hAnsi="Times New Roman" w:cs="Times New Roman"/>
          <w:sz w:val="24"/>
          <w:szCs w:val="24"/>
          <w:lang w:val="lt-LT"/>
        </w:rPr>
        <w:t>beveik 40</w:t>
      </w:r>
      <w:r w:rsidR="00EF1120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322FC3" w:rsidRPr="008277E3">
        <w:rPr>
          <w:rFonts w:ascii="Times New Roman" w:hAnsi="Times New Roman" w:cs="Times New Roman"/>
          <w:sz w:val="24"/>
          <w:szCs w:val="24"/>
          <w:lang w:val="lt-LT"/>
        </w:rPr>
        <w:t xml:space="preserve">% </w:t>
      </w:r>
      <w:r w:rsidR="00C95884" w:rsidRPr="008277E3">
        <w:rPr>
          <w:rFonts w:ascii="Times New Roman" w:hAnsi="Times New Roman" w:cs="Times New Roman"/>
          <w:sz w:val="24"/>
          <w:szCs w:val="24"/>
          <w:lang w:val="lt-LT"/>
        </w:rPr>
        <w:t>nė</w:t>
      </w:r>
      <w:r w:rsidR="00F04B2B" w:rsidRPr="008277E3">
        <w:rPr>
          <w:rFonts w:ascii="Times New Roman" w:hAnsi="Times New Roman" w:cs="Times New Roman"/>
          <w:sz w:val="24"/>
          <w:szCs w:val="24"/>
          <w:lang w:val="lt-LT"/>
        </w:rPr>
        <w:t xml:space="preserve">ščiųjų </w:t>
      </w:r>
      <w:r w:rsidR="00991E20">
        <w:rPr>
          <w:rFonts w:ascii="Times New Roman" w:hAnsi="Times New Roman" w:cs="Times New Roman"/>
          <w:sz w:val="24"/>
          <w:szCs w:val="24"/>
          <w:lang w:val="lt-LT"/>
        </w:rPr>
        <w:t>buvo</w:t>
      </w:r>
      <w:r w:rsidR="00F04B2B" w:rsidRPr="008277E3">
        <w:rPr>
          <w:rFonts w:ascii="Times New Roman" w:hAnsi="Times New Roman" w:cs="Times New Roman"/>
          <w:sz w:val="24"/>
          <w:szCs w:val="24"/>
          <w:lang w:val="lt-LT"/>
        </w:rPr>
        <w:t xml:space="preserve"> rūkančios.</w:t>
      </w:r>
      <w:r w:rsidR="00267E51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</w:p>
    <w:p w14:paraId="3A4E3E01" w14:textId="45B28478" w:rsidR="00EF1120" w:rsidRDefault="00EF1120" w:rsidP="00EF11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Duomenys tenkino kvantilių regresijos prielaidas</w:t>
      </w:r>
      <w:r w:rsidR="000F6311">
        <w:rPr>
          <w:rFonts w:ascii="Times New Roman" w:hAnsi="Times New Roman" w:cs="Times New Roman"/>
          <w:sz w:val="24"/>
          <w:szCs w:val="24"/>
          <w:lang w:val="lt-LT"/>
        </w:rPr>
        <w:t xml:space="preserve"> – </w:t>
      </w:r>
      <w:proofErr w:type="spellStart"/>
      <w:r w:rsidR="009315A2">
        <w:rPr>
          <w:rFonts w:ascii="Times New Roman" w:hAnsi="Times New Roman" w:cs="Times New Roman"/>
          <w:sz w:val="24"/>
          <w:szCs w:val="24"/>
          <w:lang w:val="lt-LT"/>
        </w:rPr>
        <w:t>tiesiškumo</w:t>
      </w:r>
      <w:proofErr w:type="spellEnd"/>
      <w:r w:rsidR="009315A2">
        <w:rPr>
          <w:rFonts w:ascii="Times New Roman" w:hAnsi="Times New Roman" w:cs="Times New Roman"/>
          <w:sz w:val="24"/>
          <w:szCs w:val="24"/>
          <w:lang w:val="lt-LT"/>
        </w:rPr>
        <w:t xml:space="preserve"> sąlyga, </w:t>
      </w:r>
      <w:r w:rsidR="000F6311">
        <w:rPr>
          <w:rFonts w:ascii="Times New Roman" w:hAnsi="Times New Roman" w:cs="Times New Roman"/>
          <w:sz w:val="24"/>
          <w:szCs w:val="24"/>
          <w:lang w:val="lt-LT"/>
        </w:rPr>
        <w:t>išskirčių</w:t>
      </w:r>
      <w:r w:rsidR="009315A2">
        <w:rPr>
          <w:rFonts w:ascii="Times New Roman" w:hAnsi="Times New Roman" w:cs="Times New Roman"/>
          <w:sz w:val="24"/>
          <w:szCs w:val="24"/>
          <w:lang w:val="lt-LT"/>
        </w:rPr>
        <w:t xml:space="preserve"> nebuvimas.</w:t>
      </w:r>
    </w:p>
    <w:p w14:paraId="1673EBDF" w14:textId="2FBDDFE5" w:rsidR="00275974" w:rsidRDefault="006779C0" w:rsidP="000E4F8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Atlikus pažingsninę regresiją </w:t>
      </w:r>
      <w:r w:rsidR="00A034C6">
        <w:rPr>
          <w:rFonts w:ascii="Times New Roman" w:hAnsi="Times New Roman" w:cs="Times New Roman"/>
          <w:sz w:val="24"/>
          <w:szCs w:val="24"/>
          <w:lang w:val="lt-LT"/>
        </w:rPr>
        <w:t>nereikšminga tapo amžiaus kovariantė, todėl į modelį jos neįtraukėme. Į</w:t>
      </w:r>
      <w:r w:rsidR="004F267F">
        <w:rPr>
          <w:rFonts w:ascii="Times New Roman" w:hAnsi="Times New Roman" w:cs="Times New Roman"/>
          <w:sz w:val="24"/>
          <w:szCs w:val="24"/>
          <w:lang w:val="lt-LT"/>
        </w:rPr>
        <w:t xml:space="preserve"> modelį į</w:t>
      </w:r>
      <w:r w:rsidR="00A034C6">
        <w:rPr>
          <w:rFonts w:ascii="Times New Roman" w:hAnsi="Times New Roman" w:cs="Times New Roman"/>
          <w:sz w:val="24"/>
          <w:szCs w:val="24"/>
          <w:lang w:val="lt-LT"/>
        </w:rPr>
        <w:t>trauk</w:t>
      </w:r>
      <w:r w:rsidR="004F267F">
        <w:rPr>
          <w:rFonts w:ascii="Times New Roman" w:hAnsi="Times New Roman" w:cs="Times New Roman"/>
          <w:sz w:val="24"/>
          <w:szCs w:val="24"/>
          <w:lang w:val="lt-LT"/>
        </w:rPr>
        <w:t>ta sąveika</w:t>
      </w:r>
      <w:r w:rsidR="009645A5">
        <w:rPr>
          <w:rFonts w:ascii="Times New Roman" w:hAnsi="Times New Roman" w:cs="Times New Roman"/>
          <w:sz w:val="24"/>
          <w:szCs w:val="24"/>
          <w:lang w:val="lt-LT"/>
        </w:rPr>
        <w:t xml:space="preserve"> tarp nėštumo laikotarpio ir </w:t>
      </w:r>
      <w:proofErr w:type="spellStart"/>
      <w:r w:rsidR="009645A5">
        <w:rPr>
          <w:rFonts w:ascii="Times New Roman" w:hAnsi="Times New Roman" w:cs="Times New Roman"/>
          <w:sz w:val="24"/>
          <w:szCs w:val="24"/>
          <w:lang w:val="lt-LT"/>
        </w:rPr>
        <w:t>rūkumo</w:t>
      </w:r>
      <w:proofErr w:type="spellEnd"/>
      <w:r w:rsidR="004F267F">
        <w:rPr>
          <w:rFonts w:ascii="Times New Roman" w:hAnsi="Times New Roman" w:cs="Times New Roman"/>
          <w:sz w:val="24"/>
          <w:szCs w:val="24"/>
          <w:lang w:val="lt-LT"/>
        </w:rPr>
        <w:t xml:space="preserve"> sumažino jo AIC koeficientą (</w:t>
      </w:r>
      <w:r w:rsidR="004F267F" w:rsidRPr="00A40F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6</w:t>
      </w:r>
      <w:r w:rsidR="004F267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952.59</w:t>
      </w:r>
      <w:r w:rsidR="004F267F">
        <w:rPr>
          <w:rFonts w:ascii="Times New Roman" w:hAnsi="Times New Roman" w:cs="Times New Roman"/>
          <w:sz w:val="24"/>
          <w:szCs w:val="24"/>
          <w:lang w:val="lt-LT"/>
        </w:rPr>
        <w:t>)</w:t>
      </w:r>
      <w:r w:rsidR="009645A5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A07A44">
        <w:rPr>
          <w:rFonts w:ascii="Times New Roman" w:hAnsi="Times New Roman" w:cs="Times New Roman"/>
          <w:sz w:val="24"/>
          <w:szCs w:val="24"/>
          <w:lang w:val="lt-LT"/>
        </w:rPr>
        <w:t>Tačiau abu modeliai</w:t>
      </w:r>
      <w:r w:rsidR="00E7383C">
        <w:rPr>
          <w:rFonts w:ascii="Times New Roman" w:hAnsi="Times New Roman" w:cs="Times New Roman"/>
          <w:sz w:val="24"/>
          <w:szCs w:val="24"/>
          <w:lang w:val="lt-LT"/>
        </w:rPr>
        <w:t xml:space="preserve"> (</w:t>
      </w:r>
      <w:r w:rsidR="00E7383C" w:rsidRPr="00E7383C">
        <w:rPr>
          <w:rFonts w:ascii="Times New Roman" w:hAnsi="Times New Roman" w:cs="Times New Roman"/>
          <w:sz w:val="24"/>
          <w:szCs w:val="24"/>
          <w:lang w:val="lt-LT"/>
        </w:rPr>
        <w:t>pr</w:t>
      </w:r>
      <w:r w:rsidR="00E7383C">
        <w:rPr>
          <w:rFonts w:ascii="Times New Roman" w:hAnsi="Times New Roman" w:cs="Times New Roman"/>
          <w:sz w:val="24"/>
          <w:szCs w:val="24"/>
          <w:lang w:val="lt-LT"/>
        </w:rPr>
        <w:t>ie 0.5 kvantilio)</w:t>
      </w:r>
      <w:r w:rsidR="00A07A44">
        <w:rPr>
          <w:rFonts w:ascii="Times New Roman" w:hAnsi="Times New Roman" w:cs="Times New Roman"/>
          <w:sz w:val="24"/>
          <w:szCs w:val="24"/>
          <w:lang w:val="lt-LT"/>
        </w:rPr>
        <w:t>, tiek su sąveika, tiek be jos</w:t>
      </w:r>
      <w:r w:rsidR="00E7383C">
        <w:rPr>
          <w:rFonts w:ascii="Times New Roman" w:hAnsi="Times New Roman" w:cs="Times New Roman"/>
          <w:sz w:val="24"/>
          <w:szCs w:val="24"/>
          <w:lang w:val="lt-LT"/>
        </w:rPr>
        <w:t>,</w:t>
      </w:r>
      <w:r w:rsidR="00A07A44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E7383C">
        <w:rPr>
          <w:rFonts w:ascii="Times New Roman" w:hAnsi="Times New Roman" w:cs="Times New Roman"/>
          <w:sz w:val="24"/>
          <w:szCs w:val="24"/>
          <w:lang w:val="lt-LT"/>
        </w:rPr>
        <w:t>naujagimių svorį prognozuoja panašiai.</w:t>
      </w:r>
      <w:r w:rsidR="00690336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75974">
        <w:rPr>
          <w:rFonts w:ascii="Times New Roman" w:hAnsi="Times New Roman" w:cs="Times New Roman"/>
          <w:sz w:val="24"/>
          <w:szCs w:val="24"/>
          <w:lang w:val="lt-LT"/>
        </w:rPr>
        <w:t>Taigi, gavome tokį modelį:</w:t>
      </w:r>
    </w:p>
    <w:p w14:paraId="2EC72826" w14:textId="77777777" w:rsidR="00760D08" w:rsidRPr="00A905F4" w:rsidRDefault="00690336" w:rsidP="00760D08">
      <w:pPr>
        <w:spacing w:line="360" w:lineRule="auto"/>
        <w:ind w:firstLine="709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m:oMath>
        <m:r>
          <w:rPr>
            <w:rFonts w:ascii="Cambria Math" w:hAnsi="Cambria Math" w:cstheme="majorBidi"/>
            <w:color w:val="000000" w:themeColor="text1"/>
            <w:sz w:val="24"/>
            <w:szCs w:val="24"/>
            <w:lang w:val="lt-LT"/>
          </w:rPr>
          <m:t>Naujagimio svoris= - 97.06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</m:t>
        </m:r>
        <m:d>
          <m:dPr>
            <m:ctrlPr>
              <w:rPr>
                <w:rFonts w:ascii="Cambria Math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hAnsi="Cambria Math" w:cstheme="majorBidi"/>
            <w:color w:val="000000" w:themeColor="text1"/>
            <w:sz w:val="24"/>
            <w:szCs w:val="24"/>
            <w:lang w:val="lt-LT"/>
          </w:rPr>
          <m:t>+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0.48∙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∙nėštumo laikotarpis-3.43∙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∙pirmas nėštumas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ne</m:t>
            </m:r>
          </m:e>
        </m:d>
        <m:r>
          <w:rPr>
            <w:rFonts w:ascii="Cambria Math" w:hAnsi="Cambria Math" w:cstheme="majorBidi"/>
            <w:color w:val="000000" w:themeColor="text1"/>
            <w:sz w:val="24"/>
            <w:szCs w:val="24"/>
            <w:lang w:val="lt-LT"/>
          </w:rPr>
          <m:t>+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1.26∙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∙ūgis</m:t>
        </m:r>
        <m:r>
          <w:rPr>
            <w:rFonts w:ascii="Cambria Math" w:hAnsi="Cambria Math" w:cstheme="majorBidi"/>
            <w:color w:val="000000" w:themeColor="text1"/>
            <w:sz w:val="24"/>
            <w:szCs w:val="24"/>
            <w:lang w:val="lt-LT"/>
          </w:rPr>
          <m:t>+0.05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τ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∙svoris</m:t>
        </m:r>
        <m:r>
          <w:rPr>
            <w:rFonts w:ascii="Cambria Math" w:hAnsi="Cambria Math" w:cstheme="majorBidi"/>
            <w:color w:val="000000" w:themeColor="text1"/>
            <w:sz w:val="24"/>
            <w:szCs w:val="24"/>
            <w:lang w:val="lt-LT"/>
          </w:rPr>
          <m:t>-8.02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∙rūko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lang w:val="lt-LT"/>
              </w:rPr>
              <m:t>taip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lang w:val="lt-LT"/>
          </w:rPr>
          <m:t>, kur τ=0.5</m:t>
        </m:r>
      </m:oMath>
      <w:r w:rsidR="00760D08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.</w:t>
      </w:r>
    </w:p>
    <w:p w14:paraId="1158F86F" w14:textId="230C435B" w:rsidR="00F94CA9" w:rsidRDefault="00760D08" w:rsidP="00760D08">
      <w:pPr>
        <w:spacing w:line="360" w:lineRule="auto"/>
        <w:ind w:firstLine="709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</w:pP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Prie 0.5 kvantilio ilgėjant nėštumo laikotarpiui, naujagimio svoris padidėja </w:t>
      </w:r>
      <w:r w:rsidRPr="00010BB9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0.4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8 uncijomis. Jei moteriai tai buvo ne pirmas nėštumas, naujagimis svers </w:t>
      </w:r>
      <w:r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3.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43</w:t>
      </w:r>
      <w:r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uncijomis mažiau. Jei moteris yra aukštesnė, kūdikis svers </w:t>
      </w:r>
      <w:r w:rsidRP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1.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26</w:t>
      </w:r>
      <w:r w:rsidRP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uncijomis daugiau. Esant didesniam n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ėščiosios svoriui, naujagimio svoris padidės </w:t>
      </w:r>
      <w:r w:rsidRP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0.0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5</w:t>
      </w:r>
      <w:r w:rsidRPr="00D3623F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uncijomis. </w:t>
      </w:r>
      <w:r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Jei moteris r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ūko, tuomet naujagimio svoris bus mažesnis </w:t>
      </w:r>
      <w:r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8.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02</w:t>
      </w:r>
      <w:r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uncijomis.</w:t>
      </w:r>
      <w:r w:rsidRPr="006167A2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</w:t>
      </w:r>
      <w:r w:rsidR="00362745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Matome, jog </w:t>
      </w:r>
      <w:r w:rsidR="00D50180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didesnį naujagimio svorį nulemia ilgesnis nėštumo laikotarpis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, </w:t>
      </w:r>
      <w:r w:rsidR="00E0746B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didesnis 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ūgis </w:t>
      </w:r>
      <w:r w:rsidR="00E0746B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bei</w:t>
      </w:r>
      <w:r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 svoris. </w:t>
      </w:r>
      <w:r w:rsidR="008861A4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 xml:space="preserve">Moters ne pirmas nėštumas ir rūkymas </w:t>
      </w:r>
      <w:r w:rsidR="005A3E9D">
        <w:rPr>
          <w:rFonts w:asciiTheme="majorBidi" w:eastAsiaTheme="minorEastAsia" w:hAnsiTheme="majorBidi" w:cstheme="majorBidi"/>
          <w:color w:val="000000" w:themeColor="text1"/>
          <w:sz w:val="24"/>
          <w:szCs w:val="24"/>
          <w:lang w:val="lt-LT"/>
        </w:rPr>
        <w:t>yra neigiamai susiję su naujagimio svoriu.</w:t>
      </w:r>
    </w:p>
    <w:p w14:paraId="441923A5" w14:textId="6D6E393F" w:rsidR="003B2422" w:rsidRPr="003B2422" w:rsidRDefault="003B2422" w:rsidP="003B242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B1A8D" w14:textId="77777777" w:rsidR="00B476ED" w:rsidRPr="003F282C" w:rsidRDefault="00B476ED" w:rsidP="006B6863">
      <w:pPr>
        <w:spacing w:line="360" w:lineRule="auto"/>
        <w:jc w:val="both"/>
        <w:rPr>
          <w:lang w:val="lt-LT"/>
        </w:rPr>
      </w:pPr>
    </w:p>
    <w:p w14:paraId="32731FF2" w14:textId="77777777" w:rsidR="00EE09F3" w:rsidRPr="008277E3" w:rsidRDefault="00EE09F3">
      <w:pPr>
        <w:rPr>
          <w:lang w:val="lt-LT"/>
        </w:rPr>
      </w:pPr>
    </w:p>
    <w:sectPr w:rsidR="00EE09F3" w:rsidRPr="008277E3" w:rsidSect="00607F4C">
      <w:footerReference w:type="even" r:id="rId18"/>
      <w:footerReference w:type="defaul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3B400" w14:textId="77777777" w:rsidR="00067585" w:rsidRDefault="00067585" w:rsidP="00607F4C">
      <w:pPr>
        <w:spacing w:after="0" w:line="240" w:lineRule="auto"/>
      </w:pPr>
      <w:r>
        <w:separator/>
      </w:r>
    </w:p>
  </w:endnote>
  <w:endnote w:type="continuationSeparator" w:id="0">
    <w:p w14:paraId="28A84143" w14:textId="77777777" w:rsidR="00067585" w:rsidRDefault="00067585" w:rsidP="00607F4C">
      <w:pPr>
        <w:spacing w:after="0" w:line="240" w:lineRule="auto"/>
      </w:pPr>
      <w:r>
        <w:continuationSeparator/>
      </w:r>
    </w:p>
  </w:endnote>
  <w:endnote w:type="continuationNotice" w:id="1">
    <w:p w14:paraId="7B7711D4" w14:textId="77777777" w:rsidR="00067585" w:rsidRDefault="000675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3502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20B1D6" w14:textId="2A22FDC2" w:rsidR="00607F4C" w:rsidRDefault="00607F4C" w:rsidP="00607F4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D687A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04D7F7D" w14:textId="77777777" w:rsidR="00607F4C" w:rsidRDefault="00607F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5361404"/>
      <w:docPartObj>
        <w:docPartGallery w:val="Page Numbers (Bottom of Page)"/>
        <w:docPartUnique/>
      </w:docPartObj>
    </w:sdtPr>
    <w:sdtEndPr/>
    <w:sdtContent>
      <w:p w14:paraId="38E748A9" w14:textId="7BFA71F1" w:rsidR="005D687A" w:rsidRDefault="005D687A">
        <w:pPr>
          <w:pStyle w:val="Footer"/>
          <w:jc w:val="right"/>
        </w:pPr>
        <w:r w:rsidRPr="005D687A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5D687A">
          <w:rPr>
            <w:rFonts w:asciiTheme="majorBidi" w:hAnsiTheme="majorBidi" w:cstheme="majorBidi"/>
            <w:sz w:val="24"/>
            <w:szCs w:val="24"/>
          </w:rPr>
          <w:instrText>PAGE   \* MERGEFORMAT</w:instrText>
        </w:r>
        <w:r w:rsidRPr="005D687A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5D687A">
          <w:rPr>
            <w:rFonts w:asciiTheme="majorBidi" w:hAnsiTheme="majorBidi" w:cstheme="majorBidi"/>
            <w:sz w:val="24"/>
            <w:szCs w:val="24"/>
            <w:lang w:val="lt-LT"/>
          </w:rPr>
          <w:t>2</w:t>
        </w:r>
        <w:r w:rsidRPr="005D687A">
          <w:rPr>
            <w:rFonts w:asciiTheme="majorBidi" w:hAnsiTheme="majorBidi" w:cstheme="majorBidi"/>
            <w:sz w:val="24"/>
            <w:szCs w:val="24"/>
          </w:rPr>
          <w:fldChar w:fldCharType="end"/>
        </w:r>
      </w:p>
    </w:sdtContent>
  </w:sdt>
  <w:p w14:paraId="201D396E" w14:textId="77777777" w:rsidR="00607F4C" w:rsidRDefault="00607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65C3" w14:textId="77777777" w:rsidR="00067585" w:rsidRDefault="00067585" w:rsidP="00607F4C">
      <w:pPr>
        <w:spacing w:after="0" w:line="240" w:lineRule="auto"/>
      </w:pPr>
      <w:r>
        <w:separator/>
      </w:r>
    </w:p>
  </w:footnote>
  <w:footnote w:type="continuationSeparator" w:id="0">
    <w:p w14:paraId="07BBB9D1" w14:textId="77777777" w:rsidR="00067585" w:rsidRDefault="00067585" w:rsidP="00607F4C">
      <w:pPr>
        <w:spacing w:after="0" w:line="240" w:lineRule="auto"/>
      </w:pPr>
      <w:r>
        <w:continuationSeparator/>
      </w:r>
    </w:p>
  </w:footnote>
  <w:footnote w:type="continuationNotice" w:id="1">
    <w:p w14:paraId="3563C0FC" w14:textId="77777777" w:rsidR="00067585" w:rsidRDefault="000675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2CCC"/>
    <w:multiLevelType w:val="hybridMultilevel"/>
    <w:tmpl w:val="8174B8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B51EA"/>
    <w:multiLevelType w:val="hybridMultilevel"/>
    <w:tmpl w:val="609CC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655F"/>
    <w:multiLevelType w:val="hybridMultilevel"/>
    <w:tmpl w:val="4CDE3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41D59"/>
    <w:multiLevelType w:val="hybridMultilevel"/>
    <w:tmpl w:val="2790132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FB76DFE"/>
    <w:multiLevelType w:val="multilevel"/>
    <w:tmpl w:val="802A5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C32DBF"/>
    <w:multiLevelType w:val="hybridMultilevel"/>
    <w:tmpl w:val="4984B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8415CA"/>
    <w:multiLevelType w:val="hybridMultilevel"/>
    <w:tmpl w:val="10A29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0C57FD"/>
    <w:multiLevelType w:val="hybridMultilevel"/>
    <w:tmpl w:val="14DCA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63A29"/>
    <w:multiLevelType w:val="multilevel"/>
    <w:tmpl w:val="50EE5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D707D4F"/>
    <w:multiLevelType w:val="hybridMultilevel"/>
    <w:tmpl w:val="ACA0E4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649732">
    <w:abstractNumId w:val="8"/>
  </w:num>
  <w:num w:numId="2" w16cid:durableId="462843870">
    <w:abstractNumId w:val="5"/>
  </w:num>
  <w:num w:numId="3" w16cid:durableId="1809977822">
    <w:abstractNumId w:val="6"/>
  </w:num>
  <w:num w:numId="4" w16cid:durableId="847184351">
    <w:abstractNumId w:val="0"/>
  </w:num>
  <w:num w:numId="5" w16cid:durableId="1471048509">
    <w:abstractNumId w:val="7"/>
  </w:num>
  <w:num w:numId="6" w16cid:durableId="304507602">
    <w:abstractNumId w:val="4"/>
  </w:num>
  <w:num w:numId="7" w16cid:durableId="1260987247">
    <w:abstractNumId w:val="3"/>
  </w:num>
  <w:num w:numId="8" w16cid:durableId="862860551">
    <w:abstractNumId w:val="9"/>
  </w:num>
  <w:num w:numId="9" w16cid:durableId="166868015">
    <w:abstractNumId w:val="2"/>
  </w:num>
  <w:num w:numId="10" w16cid:durableId="1029062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91"/>
    <w:rsid w:val="000025D4"/>
    <w:rsid w:val="000033F8"/>
    <w:rsid w:val="000044ED"/>
    <w:rsid w:val="00006DD2"/>
    <w:rsid w:val="00010BB9"/>
    <w:rsid w:val="000110A7"/>
    <w:rsid w:val="00012744"/>
    <w:rsid w:val="00014643"/>
    <w:rsid w:val="00016DDF"/>
    <w:rsid w:val="00017347"/>
    <w:rsid w:val="00017F33"/>
    <w:rsid w:val="00020497"/>
    <w:rsid w:val="000221BF"/>
    <w:rsid w:val="00022503"/>
    <w:rsid w:val="0002301C"/>
    <w:rsid w:val="000244FF"/>
    <w:rsid w:val="00025670"/>
    <w:rsid w:val="00026628"/>
    <w:rsid w:val="00026637"/>
    <w:rsid w:val="00026CC0"/>
    <w:rsid w:val="00030447"/>
    <w:rsid w:val="000309CD"/>
    <w:rsid w:val="00032C0A"/>
    <w:rsid w:val="00034C4A"/>
    <w:rsid w:val="00035502"/>
    <w:rsid w:val="000438CC"/>
    <w:rsid w:val="00043B20"/>
    <w:rsid w:val="0004417A"/>
    <w:rsid w:val="00044334"/>
    <w:rsid w:val="0004724A"/>
    <w:rsid w:val="000477AD"/>
    <w:rsid w:val="00052523"/>
    <w:rsid w:val="0005641E"/>
    <w:rsid w:val="00056FA9"/>
    <w:rsid w:val="000612C2"/>
    <w:rsid w:val="00062256"/>
    <w:rsid w:val="00062D3E"/>
    <w:rsid w:val="00064630"/>
    <w:rsid w:val="00064D8F"/>
    <w:rsid w:val="00067585"/>
    <w:rsid w:val="000705DC"/>
    <w:rsid w:val="000710F3"/>
    <w:rsid w:val="00073548"/>
    <w:rsid w:val="00073DDC"/>
    <w:rsid w:val="00074724"/>
    <w:rsid w:val="00075960"/>
    <w:rsid w:val="00077473"/>
    <w:rsid w:val="0007782F"/>
    <w:rsid w:val="000812A3"/>
    <w:rsid w:val="00082F35"/>
    <w:rsid w:val="000862DC"/>
    <w:rsid w:val="00087B47"/>
    <w:rsid w:val="00090C92"/>
    <w:rsid w:val="00094492"/>
    <w:rsid w:val="00096A74"/>
    <w:rsid w:val="000A634A"/>
    <w:rsid w:val="000A7963"/>
    <w:rsid w:val="000B0AC6"/>
    <w:rsid w:val="000B6C70"/>
    <w:rsid w:val="000B7DE9"/>
    <w:rsid w:val="000C778F"/>
    <w:rsid w:val="000C7ED2"/>
    <w:rsid w:val="000E1341"/>
    <w:rsid w:val="000E38F1"/>
    <w:rsid w:val="000E4F84"/>
    <w:rsid w:val="000F15E4"/>
    <w:rsid w:val="000F6311"/>
    <w:rsid w:val="0010159A"/>
    <w:rsid w:val="00112C6E"/>
    <w:rsid w:val="0011496D"/>
    <w:rsid w:val="001221D4"/>
    <w:rsid w:val="00122E26"/>
    <w:rsid w:val="001240D6"/>
    <w:rsid w:val="00124F6A"/>
    <w:rsid w:val="00125035"/>
    <w:rsid w:val="00126B13"/>
    <w:rsid w:val="0013170B"/>
    <w:rsid w:val="001336CF"/>
    <w:rsid w:val="00134740"/>
    <w:rsid w:val="00136751"/>
    <w:rsid w:val="00136D91"/>
    <w:rsid w:val="00137415"/>
    <w:rsid w:val="001423FE"/>
    <w:rsid w:val="00143DB7"/>
    <w:rsid w:val="00144172"/>
    <w:rsid w:val="0014766A"/>
    <w:rsid w:val="00147C6A"/>
    <w:rsid w:val="001503E5"/>
    <w:rsid w:val="00151161"/>
    <w:rsid w:val="00154469"/>
    <w:rsid w:val="001625E1"/>
    <w:rsid w:val="00163D79"/>
    <w:rsid w:val="00166A31"/>
    <w:rsid w:val="00167D8B"/>
    <w:rsid w:val="001700CE"/>
    <w:rsid w:val="00170D47"/>
    <w:rsid w:val="00173AA9"/>
    <w:rsid w:val="00175FFA"/>
    <w:rsid w:val="00176155"/>
    <w:rsid w:val="001821BC"/>
    <w:rsid w:val="0018385D"/>
    <w:rsid w:val="00183EC0"/>
    <w:rsid w:val="00191882"/>
    <w:rsid w:val="001926EF"/>
    <w:rsid w:val="00193ED7"/>
    <w:rsid w:val="00195E0D"/>
    <w:rsid w:val="00197A92"/>
    <w:rsid w:val="00197C13"/>
    <w:rsid w:val="001A2B27"/>
    <w:rsid w:val="001A519B"/>
    <w:rsid w:val="001A6B34"/>
    <w:rsid w:val="001B00F4"/>
    <w:rsid w:val="001B0456"/>
    <w:rsid w:val="001B1BCC"/>
    <w:rsid w:val="001B1CB7"/>
    <w:rsid w:val="001B2691"/>
    <w:rsid w:val="001B2A71"/>
    <w:rsid w:val="001B4D08"/>
    <w:rsid w:val="001B6C27"/>
    <w:rsid w:val="001B79A6"/>
    <w:rsid w:val="001C1767"/>
    <w:rsid w:val="001C17B6"/>
    <w:rsid w:val="001C41D5"/>
    <w:rsid w:val="001C7DAC"/>
    <w:rsid w:val="001D0BFF"/>
    <w:rsid w:val="001D4610"/>
    <w:rsid w:val="001D5701"/>
    <w:rsid w:val="001D5EC3"/>
    <w:rsid w:val="001D7387"/>
    <w:rsid w:val="001D79C3"/>
    <w:rsid w:val="001D7BCF"/>
    <w:rsid w:val="001E1C92"/>
    <w:rsid w:val="001E3817"/>
    <w:rsid w:val="001E410C"/>
    <w:rsid w:val="001E4C53"/>
    <w:rsid w:val="001E5B04"/>
    <w:rsid w:val="001E6FE9"/>
    <w:rsid w:val="001E72FC"/>
    <w:rsid w:val="001F0F68"/>
    <w:rsid w:val="001F2141"/>
    <w:rsid w:val="001F436D"/>
    <w:rsid w:val="001F5C1B"/>
    <w:rsid w:val="001F6CDE"/>
    <w:rsid w:val="001F7BDB"/>
    <w:rsid w:val="00202C63"/>
    <w:rsid w:val="002040C8"/>
    <w:rsid w:val="002068B6"/>
    <w:rsid w:val="0020760C"/>
    <w:rsid w:val="00207D76"/>
    <w:rsid w:val="00214C85"/>
    <w:rsid w:val="00215911"/>
    <w:rsid w:val="00216141"/>
    <w:rsid w:val="00220E70"/>
    <w:rsid w:val="00223B37"/>
    <w:rsid w:val="00225C6E"/>
    <w:rsid w:val="002264C2"/>
    <w:rsid w:val="0023028B"/>
    <w:rsid w:val="00230A88"/>
    <w:rsid w:val="00230C9B"/>
    <w:rsid w:val="00232688"/>
    <w:rsid w:val="002343A8"/>
    <w:rsid w:val="002343B2"/>
    <w:rsid w:val="0023550B"/>
    <w:rsid w:val="00236260"/>
    <w:rsid w:val="00241663"/>
    <w:rsid w:val="00242F6A"/>
    <w:rsid w:val="0024321F"/>
    <w:rsid w:val="002444EA"/>
    <w:rsid w:val="0024652C"/>
    <w:rsid w:val="00246C04"/>
    <w:rsid w:val="002475CF"/>
    <w:rsid w:val="00247FF7"/>
    <w:rsid w:val="0025375A"/>
    <w:rsid w:val="00253B87"/>
    <w:rsid w:val="002546B2"/>
    <w:rsid w:val="00256567"/>
    <w:rsid w:val="00263993"/>
    <w:rsid w:val="00264065"/>
    <w:rsid w:val="00264F49"/>
    <w:rsid w:val="00267853"/>
    <w:rsid w:val="00267E51"/>
    <w:rsid w:val="00270BC2"/>
    <w:rsid w:val="00271851"/>
    <w:rsid w:val="002733FA"/>
    <w:rsid w:val="002747A8"/>
    <w:rsid w:val="00275974"/>
    <w:rsid w:val="00280432"/>
    <w:rsid w:val="002809BC"/>
    <w:rsid w:val="0028534A"/>
    <w:rsid w:val="002857B0"/>
    <w:rsid w:val="00285A38"/>
    <w:rsid w:val="00285EC8"/>
    <w:rsid w:val="00287FE1"/>
    <w:rsid w:val="002908F5"/>
    <w:rsid w:val="0029504D"/>
    <w:rsid w:val="0029621D"/>
    <w:rsid w:val="00296ED5"/>
    <w:rsid w:val="00297B78"/>
    <w:rsid w:val="00297D62"/>
    <w:rsid w:val="002A041E"/>
    <w:rsid w:val="002A53A4"/>
    <w:rsid w:val="002A593E"/>
    <w:rsid w:val="002A627E"/>
    <w:rsid w:val="002B0ABD"/>
    <w:rsid w:val="002B1AC0"/>
    <w:rsid w:val="002B29AF"/>
    <w:rsid w:val="002B4CBB"/>
    <w:rsid w:val="002C410B"/>
    <w:rsid w:val="002C64B1"/>
    <w:rsid w:val="002D0CF2"/>
    <w:rsid w:val="002D34AD"/>
    <w:rsid w:val="002D5B5B"/>
    <w:rsid w:val="002D7A6C"/>
    <w:rsid w:val="002E191A"/>
    <w:rsid w:val="002E26CA"/>
    <w:rsid w:val="002E5CDA"/>
    <w:rsid w:val="002F182C"/>
    <w:rsid w:val="002F1BDC"/>
    <w:rsid w:val="002F2291"/>
    <w:rsid w:val="002F43AB"/>
    <w:rsid w:val="002F4497"/>
    <w:rsid w:val="002F64D2"/>
    <w:rsid w:val="002F6D97"/>
    <w:rsid w:val="0030026A"/>
    <w:rsid w:val="00301772"/>
    <w:rsid w:val="00301F9F"/>
    <w:rsid w:val="00302670"/>
    <w:rsid w:val="0030288B"/>
    <w:rsid w:val="00302BC3"/>
    <w:rsid w:val="003034ED"/>
    <w:rsid w:val="00305335"/>
    <w:rsid w:val="00311255"/>
    <w:rsid w:val="00311321"/>
    <w:rsid w:val="00316E37"/>
    <w:rsid w:val="003170AD"/>
    <w:rsid w:val="0031734C"/>
    <w:rsid w:val="003218CA"/>
    <w:rsid w:val="00322FC3"/>
    <w:rsid w:val="00323A1B"/>
    <w:rsid w:val="00324004"/>
    <w:rsid w:val="00324AE7"/>
    <w:rsid w:val="00324B8B"/>
    <w:rsid w:val="00325817"/>
    <w:rsid w:val="00333189"/>
    <w:rsid w:val="003337EE"/>
    <w:rsid w:val="00334ACD"/>
    <w:rsid w:val="003400A1"/>
    <w:rsid w:val="00343BF7"/>
    <w:rsid w:val="0034523F"/>
    <w:rsid w:val="00347E21"/>
    <w:rsid w:val="00353B81"/>
    <w:rsid w:val="00355BC9"/>
    <w:rsid w:val="003601F5"/>
    <w:rsid w:val="00360F60"/>
    <w:rsid w:val="00362745"/>
    <w:rsid w:val="00365BBE"/>
    <w:rsid w:val="00371499"/>
    <w:rsid w:val="003736C6"/>
    <w:rsid w:val="0037526B"/>
    <w:rsid w:val="00376B02"/>
    <w:rsid w:val="00376E4D"/>
    <w:rsid w:val="00381483"/>
    <w:rsid w:val="00387BFD"/>
    <w:rsid w:val="00393969"/>
    <w:rsid w:val="003A13EB"/>
    <w:rsid w:val="003A3361"/>
    <w:rsid w:val="003A50CA"/>
    <w:rsid w:val="003A5F65"/>
    <w:rsid w:val="003A78D5"/>
    <w:rsid w:val="003B2422"/>
    <w:rsid w:val="003B3250"/>
    <w:rsid w:val="003B3BB1"/>
    <w:rsid w:val="003B55F0"/>
    <w:rsid w:val="003B668D"/>
    <w:rsid w:val="003C06E9"/>
    <w:rsid w:val="003C38E8"/>
    <w:rsid w:val="003C6161"/>
    <w:rsid w:val="003D2442"/>
    <w:rsid w:val="003D388F"/>
    <w:rsid w:val="003D41D9"/>
    <w:rsid w:val="003D4649"/>
    <w:rsid w:val="003D4A49"/>
    <w:rsid w:val="003D52E3"/>
    <w:rsid w:val="003D666D"/>
    <w:rsid w:val="003D6AFD"/>
    <w:rsid w:val="003D6D85"/>
    <w:rsid w:val="003E0A2B"/>
    <w:rsid w:val="003F383C"/>
    <w:rsid w:val="003F77A3"/>
    <w:rsid w:val="00400DCB"/>
    <w:rsid w:val="00402406"/>
    <w:rsid w:val="00405162"/>
    <w:rsid w:val="00405284"/>
    <w:rsid w:val="00405880"/>
    <w:rsid w:val="0040729F"/>
    <w:rsid w:val="004077FA"/>
    <w:rsid w:val="00412A03"/>
    <w:rsid w:val="00416EB4"/>
    <w:rsid w:val="00421D3B"/>
    <w:rsid w:val="004249DB"/>
    <w:rsid w:val="00425234"/>
    <w:rsid w:val="00431A27"/>
    <w:rsid w:val="00432F3A"/>
    <w:rsid w:val="0043497D"/>
    <w:rsid w:val="004362EE"/>
    <w:rsid w:val="00436888"/>
    <w:rsid w:val="00440491"/>
    <w:rsid w:val="004413E0"/>
    <w:rsid w:val="004421A3"/>
    <w:rsid w:val="00442E33"/>
    <w:rsid w:val="004464A2"/>
    <w:rsid w:val="00450CFC"/>
    <w:rsid w:val="00451E14"/>
    <w:rsid w:val="0046315C"/>
    <w:rsid w:val="0046762A"/>
    <w:rsid w:val="004706E1"/>
    <w:rsid w:val="00470A10"/>
    <w:rsid w:val="0047292B"/>
    <w:rsid w:val="0048155F"/>
    <w:rsid w:val="004817C6"/>
    <w:rsid w:val="00485625"/>
    <w:rsid w:val="004905BB"/>
    <w:rsid w:val="0049147F"/>
    <w:rsid w:val="00495E83"/>
    <w:rsid w:val="00497ABE"/>
    <w:rsid w:val="004A098E"/>
    <w:rsid w:val="004A2A9B"/>
    <w:rsid w:val="004A6161"/>
    <w:rsid w:val="004B0B3A"/>
    <w:rsid w:val="004B2959"/>
    <w:rsid w:val="004B3A90"/>
    <w:rsid w:val="004B464D"/>
    <w:rsid w:val="004B714A"/>
    <w:rsid w:val="004B7C36"/>
    <w:rsid w:val="004C1023"/>
    <w:rsid w:val="004C28BE"/>
    <w:rsid w:val="004C4F3C"/>
    <w:rsid w:val="004C6364"/>
    <w:rsid w:val="004C7F18"/>
    <w:rsid w:val="004D028A"/>
    <w:rsid w:val="004D0F80"/>
    <w:rsid w:val="004D457F"/>
    <w:rsid w:val="004D4610"/>
    <w:rsid w:val="004D6F77"/>
    <w:rsid w:val="004E14F8"/>
    <w:rsid w:val="004E4976"/>
    <w:rsid w:val="004E4FB3"/>
    <w:rsid w:val="004E6488"/>
    <w:rsid w:val="004E7A32"/>
    <w:rsid w:val="004F02DD"/>
    <w:rsid w:val="004F0FE8"/>
    <w:rsid w:val="004F267F"/>
    <w:rsid w:val="004F5650"/>
    <w:rsid w:val="004F6369"/>
    <w:rsid w:val="005005B6"/>
    <w:rsid w:val="00500836"/>
    <w:rsid w:val="00504C69"/>
    <w:rsid w:val="00504FBA"/>
    <w:rsid w:val="00506BD8"/>
    <w:rsid w:val="00510ACD"/>
    <w:rsid w:val="0051165D"/>
    <w:rsid w:val="00512A0D"/>
    <w:rsid w:val="005136AC"/>
    <w:rsid w:val="005140D0"/>
    <w:rsid w:val="0051719E"/>
    <w:rsid w:val="0052294A"/>
    <w:rsid w:val="00522E4B"/>
    <w:rsid w:val="005235BD"/>
    <w:rsid w:val="00524CE9"/>
    <w:rsid w:val="005270BA"/>
    <w:rsid w:val="00527E65"/>
    <w:rsid w:val="005317DF"/>
    <w:rsid w:val="00532362"/>
    <w:rsid w:val="005337E2"/>
    <w:rsid w:val="0053551F"/>
    <w:rsid w:val="00536CF2"/>
    <w:rsid w:val="0054422B"/>
    <w:rsid w:val="00545081"/>
    <w:rsid w:val="00545821"/>
    <w:rsid w:val="005462AC"/>
    <w:rsid w:val="005478D6"/>
    <w:rsid w:val="00547E5F"/>
    <w:rsid w:val="00550F28"/>
    <w:rsid w:val="00551F14"/>
    <w:rsid w:val="00554123"/>
    <w:rsid w:val="005606AE"/>
    <w:rsid w:val="0056082B"/>
    <w:rsid w:val="00562083"/>
    <w:rsid w:val="005630BB"/>
    <w:rsid w:val="0056376D"/>
    <w:rsid w:val="00566321"/>
    <w:rsid w:val="0056697E"/>
    <w:rsid w:val="005675E6"/>
    <w:rsid w:val="00571C73"/>
    <w:rsid w:val="005727F8"/>
    <w:rsid w:val="005769D3"/>
    <w:rsid w:val="00586B1C"/>
    <w:rsid w:val="005902BD"/>
    <w:rsid w:val="00590690"/>
    <w:rsid w:val="00590C3A"/>
    <w:rsid w:val="0059374D"/>
    <w:rsid w:val="005A24B6"/>
    <w:rsid w:val="005A2692"/>
    <w:rsid w:val="005A2DED"/>
    <w:rsid w:val="005A3E9D"/>
    <w:rsid w:val="005A4FC1"/>
    <w:rsid w:val="005A6DBE"/>
    <w:rsid w:val="005B1F66"/>
    <w:rsid w:val="005B45F6"/>
    <w:rsid w:val="005B5528"/>
    <w:rsid w:val="005B63C0"/>
    <w:rsid w:val="005B6530"/>
    <w:rsid w:val="005B75DC"/>
    <w:rsid w:val="005C0B61"/>
    <w:rsid w:val="005C16C2"/>
    <w:rsid w:val="005C5544"/>
    <w:rsid w:val="005D152B"/>
    <w:rsid w:val="005D22BF"/>
    <w:rsid w:val="005D62C4"/>
    <w:rsid w:val="005D687A"/>
    <w:rsid w:val="005E0E12"/>
    <w:rsid w:val="005E211A"/>
    <w:rsid w:val="005E25E5"/>
    <w:rsid w:val="005E349A"/>
    <w:rsid w:val="005E4412"/>
    <w:rsid w:val="005E58E6"/>
    <w:rsid w:val="005E64C8"/>
    <w:rsid w:val="005E696C"/>
    <w:rsid w:val="005F1337"/>
    <w:rsid w:val="005F1E39"/>
    <w:rsid w:val="005F648F"/>
    <w:rsid w:val="005F68D7"/>
    <w:rsid w:val="005F6A2B"/>
    <w:rsid w:val="006010EE"/>
    <w:rsid w:val="00604171"/>
    <w:rsid w:val="00607F4C"/>
    <w:rsid w:val="006100D2"/>
    <w:rsid w:val="006102AF"/>
    <w:rsid w:val="00615C12"/>
    <w:rsid w:val="006167A2"/>
    <w:rsid w:val="00620710"/>
    <w:rsid w:val="006212AA"/>
    <w:rsid w:val="00622C92"/>
    <w:rsid w:val="00625FAA"/>
    <w:rsid w:val="006318A1"/>
    <w:rsid w:val="00633058"/>
    <w:rsid w:val="006338CD"/>
    <w:rsid w:val="00641A64"/>
    <w:rsid w:val="0064356D"/>
    <w:rsid w:val="00646CA9"/>
    <w:rsid w:val="00647438"/>
    <w:rsid w:val="00650640"/>
    <w:rsid w:val="00650884"/>
    <w:rsid w:val="00650ABD"/>
    <w:rsid w:val="00650CBF"/>
    <w:rsid w:val="00651AE4"/>
    <w:rsid w:val="00656EC3"/>
    <w:rsid w:val="00657A13"/>
    <w:rsid w:val="00660DF8"/>
    <w:rsid w:val="00661B21"/>
    <w:rsid w:val="00662836"/>
    <w:rsid w:val="006644F5"/>
    <w:rsid w:val="006661EC"/>
    <w:rsid w:val="006661F1"/>
    <w:rsid w:val="00666721"/>
    <w:rsid w:val="00670150"/>
    <w:rsid w:val="00672349"/>
    <w:rsid w:val="006733D0"/>
    <w:rsid w:val="00673897"/>
    <w:rsid w:val="00674854"/>
    <w:rsid w:val="006779C0"/>
    <w:rsid w:val="00680584"/>
    <w:rsid w:val="00680B71"/>
    <w:rsid w:val="00683F52"/>
    <w:rsid w:val="006856D9"/>
    <w:rsid w:val="00690336"/>
    <w:rsid w:val="00690FE1"/>
    <w:rsid w:val="00695AE0"/>
    <w:rsid w:val="006A04E7"/>
    <w:rsid w:val="006A2A90"/>
    <w:rsid w:val="006A48DD"/>
    <w:rsid w:val="006A4EF9"/>
    <w:rsid w:val="006A5544"/>
    <w:rsid w:val="006A7801"/>
    <w:rsid w:val="006A7BA0"/>
    <w:rsid w:val="006B6863"/>
    <w:rsid w:val="006C1B19"/>
    <w:rsid w:val="006C4C69"/>
    <w:rsid w:val="006D0935"/>
    <w:rsid w:val="006D3DAB"/>
    <w:rsid w:val="006D4C8B"/>
    <w:rsid w:val="006D6049"/>
    <w:rsid w:val="006E021B"/>
    <w:rsid w:val="006E2380"/>
    <w:rsid w:val="006E33F2"/>
    <w:rsid w:val="006E41CA"/>
    <w:rsid w:val="006E4896"/>
    <w:rsid w:val="006F0CDC"/>
    <w:rsid w:val="006F1C4B"/>
    <w:rsid w:val="006F2563"/>
    <w:rsid w:val="006F276D"/>
    <w:rsid w:val="006F3BAA"/>
    <w:rsid w:val="006F47F6"/>
    <w:rsid w:val="006F5528"/>
    <w:rsid w:val="006F6E5E"/>
    <w:rsid w:val="006F71CF"/>
    <w:rsid w:val="007013B0"/>
    <w:rsid w:val="007040CE"/>
    <w:rsid w:val="00704681"/>
    <w:rsid w:val="00705720"/>
    <w:rsid w:val="00707242"/>
    <w:rsid w:val="00723F51"/>
    <w:rsid w:val="00725889"/>
    <w:rsid w:val="00725FBE"/>
    <w:rsid w:val="00726374"/>
    <w:rsid w:val="00733663"/>
    <w:rsid w:val="00733744"/>
    <w:rsid w:val="0074097A"/>
    <w:rsid w:val="00740FED"/>
    <w:rsid w:val="00742F54"/>
    <w:rsid w:val="00745DC4"/>
    <w:rsid w:val="00745EC1"/>
    <w:rsid w:val="00750081"/>
    <w:rsid w:val="00752F03"/>
    <w:rsid w:val="00760D08"/>
    <w:rsid w:val="00762287"/>
    <w:rsid w:val="007667FA"/>
    <w:rsid w:val="00766E55"/>
    <w:rsid w:val="00771E78"/>
    <w:rsid w:val="00771E8B"/>
    <w:rsid w:val="00774529"/>
    <w:rsid w:val="00775A8D"/>
    <w:rsid w:val="00776372"/>
    <w:rsid w:val="00776C2C"/>
    <w:rsid w:val="007774D9"/>
    <w:rsid w:val="007809D4"/>
    <w:rsid w:val="00782376"/>
    <w:rsid w:val="007847AC"/>
    <w:rsid w:val="00785858"/>
    <w:rsid w:val="00785C0B"/>
    <w:rsid w:val="007906E1"/>
    <w:rsid w:val="00792591"/>
    <w:rsid w:val="007927CB"/>
    <w:rsid w:val="00794F35"/>
    <w:rsid w:val="00796014"/>
    <w:rsid w:val="007A0849"/>
    <w:rsid w:val="007A534E"/>
    <w:rsid w:val="007A6DEC"/>
    <w:rsid w:val="007B51E0"/>
    <w:rsid w:val="007B5510"/>
    <w:rsid w:val="007B76BC"/>
    <w:rsid w:val="007C5B21"/>
    <w:rsid w:val="007C6670"/>
    <w:rsid w:val="007D1638"/>
    <w:rsid w:val="007D1AF3"/>
    <w:rsid w:val="007D1CDE"/>
    <w:rsid w:val="007D4D63"/>
    <w:rsid w:val="007E0B14"/>
    <w:rsid w:val="007E1555"/>
    <w:rsid w:val="007E1F39"/>
    <w:rsid w:val="007E2A74"/>
    <w:rsid w:val="007E6C42"/>
    <w:rsid w:val="007E7088"/>
    <w:rsid w:val="007E769C"/>
    <w:rsid w:val="007F02D2"/>
    <w:rsid w:val="007F459E"/>
    <w:rsid w:val="007F4CFC"/>
    <w:rsid w:val="007F4E5B"/>
    <w:rsid w:val="007F6CD2"/>
    <w:rsid w:val="007F72CB"/>
    <w:rsid w:val="00801E0D"/>
    <w:rsid w:val="00812938"/>
    <w:rsid w:val="008142CA"/>
    <w:rsid w:val="008144E1"/>
    <w:rsid w:val="00826D12"/>
    <w:rsid w:val="008277E3"/>
    <w:rsid w:val="00832E52"/>
    <w:rsid w:val="00833A7C"/>
    <w:rsid w:val="00835AD5"/>
    <w:rsid w:val="0083613A"/>
    <w:rsid w:val="00843F7B"/>
    <w:rsid w:val="00845145"/>
    <w:rsid w:val="00853A96"/>
    <w:rsid w:val="008543A2"/>
    <w:rsid w:val="00855177"/>
    <w:rsid w:val="0086039E"/>
    <w:rsid w:val="00861221"/>
    <w:rsid w:val="00863240"/>
    <w:rsid w:val="00863713"/>
    <w:rsid w:val="00863CAD"/>
    <w:rsid w:val="00863D7B"/>
    <w:rsid w:val="008646F0"/>
    <w:rsid w:val="00864A22"/>
    <w:rsid w:val="00867CA1"/>
    <w:rsid w:val="00867F27"/>
    <w:rsid w:val="00874F86"/>
    <w:rsid w:val="00875FCC"/>
    <w:rsid w:val="00877163"/>
    <w:rsid w:val="008802EC"/>
    <w:rsid w:val="008803C5"/>
    <w:rsid w:val="00882393"/>
    <w:rsid w:val="00882578"/>
    <w:rsid w:val="008833F4"/>
    <w:rsid w:val="008840CD"/>
    <w:rsid w:val="0088509A"/>
    <w:rsid w:val="008859D0"/>
    <w:rsid w:val="008861A4"/>
    <w:rsid w:val="008909EC"/>
    <w:rsid w:val="0089262D"/>
    <w:rsid w:val="008926E0"/>
    <w:rsid w:val="0089307C"/>
    <w:rsid w:val="00894DC2"/>
    <w:rsid w:val="008A5C11"/>
    <w:rsid w:val="008B5887"/>
    <w:rsid w:val="008B7464"/>
    <w:rsid w:val="008C1AC2"/>
    <w:rsid w:val="008C2614"/>
    <w:rsid w:val="008C7679"/>
    <w:rsid w:val="008D2DD2"/>
    <w:rsid w:val="008D3509"/>
    <w:rsid w:val="008D5A7E"/>
    <w:rsid w:val="008D6E6F"/>
    <w:rsid w:val="008E0FEA"/>
    <w:rsid w:val="008F1807"/>
    <w:rsid w:val="008F36EC"/>
    <w:rsid w:val="008F3AB3"/>
    <w:rsid w:val="008F4D1E"/>
    <w:rsid w:val="008F5423"/>
    <w:rsid w:val="008F5D33"/>
    <w:rsid w:val="008F5DEF"/>
    <w:rsid w:val="008F62FC"/>
    <w:rsid w:val="00900A52"/>
    <w:rsid w:val="00900EFA"/>
    <w:rsid w:val="00905A75"/>
    <w:rsid w:val="009079CD"/>
    <w:rsid w:val="00911550"/>
    <w:rsid w:val="009115A7"/>
    <w:rsid w:val="00926094"/>
    <w:rsid w:val="009315A2"/>
    <w:rsid w:val="00931603"/>
    <w:rsid w:val="00932A72"/>
    <w:rsid w:val="00933F27"/>
    <w:rsid w:val="00935376"/>
    <w:rsid w:val="00936F4A"/>
    <w:rsid w:val="0093704C"/>
    <w:rsid w:val="009403B3"/>
    <w:rsid w:val="00941864"/>
    <w:rsid w:val="00941BB7"/>
    <w:rsid w:val="00947420"/>
    <w:rsid w:val="00950BB5"/>
    <w:rsid w:val="00952AB8"/>
    <w:rsid w:val="00954DE1"/>
    <w:rsid w:val="009576F9"/>
    <w:rsid w:val="009630D6"/>
    <w:rsid w:val="009645A5"/>
    <w:rsid w:val="009678AA"/>
    <w:rsid w:val="009707EB"/>
    <w:rsid w:val="009725D0"/>
    <w:rsid w:val="009726A2"/>
    <w:rsid w:val="009762E0"/>
    <w:rsid w:val="009769DD"/>
    <w:rsid w:val="00977EC3"/>
    <w:rsid w:val="00980D5B"/>
    <w:rsid w:val="0098180A"/>
    <w:rsid w:val="00981F93"/>
    <w:rsid w:val="009825C3"/>
    <w:rsid w:val="0098605D"/>
    <w:rsid w:val="00986FC3"/>
    <w:rsid w:val="00987C30"/>
    <w:rsid w:val="00991E20"/>
    <w:rsid w:val="00995776"/>
    <w:rsid w:val="009A025B"/>
    <w:rsid w:val="009A2FA3"/>
    <w:rsid w:val="009A3143"/>
    <w:rsid w:val="009A7763"/>
    <w:rsid w:val="009B26E1"/>
    <w:rsid w:val="009B3BD2"/>
    <w:rsid w:val="009B5348"/>
    <w:rsid w:val="009B7A8C"/>
    <w:rsid w:val="009C0342"/>
    <w:rsid w:val="009C165B"/>
    <w:rsid w:val="009C3948"/>
    <w:rsid w:val="009C5E69"/>
    <w:rsid w:val="009C746C"/>
    <w:rsid w:val="009C7663"/>
    <w:rsid w:val="009D67C6"/>
    <w:rsid w:val="009E139A"/>
    <w:rsid w:val="009E46A4"/>
    <w:rsid w:val="009E6DC7"/>
    <w:rsid w:val="009E7AE5"/>
    <w:rsid w:val="009F1DF8"/>
    <w:rsid w:val="009F4AD5"/>
    <w:rsid w:val="009F63BF"/>
    <w:rsid w:val="00A00065"/>
    <w:rsid w:val="00A01AB7"/>
    <w:rsid w:val="00A031BF"/>
    <w:rsid w:val="00A03244"/>
    <w:rsid w:val="00A034C6"/>
    <w:rsid w:val="00A07A44"/>
    <w:rsid w:val="00A14FAD"/>
    <w:rsid w:val="00A160D0"/>
    <w:rsid w:val="00A162A7"/>
    <w:rsid w:val="00A21E29"/>
    <w:rsid w:val="00A23750"/>
    <w:rsid w:val="00A26B76"/>
    <w:rsid w:val="00A30E95"/>
    <w:rsid w:val="00A32404"/>
    <w:rsid w:val="00A35AAB"/>
    <w:rsid w:val="00A37417"/>
    <w:rsid w:val="00A40ABE"/>
    <w:rsid w:val="00A40F3F"/>
    <w:rsid w:val="00A4248D"/>
    <w:rsid w:val="00A43703"/>
    <w:rsid w:val="00A4673C"/>
    <w:rsid w:val="00A4689E"/>
    <w:rsid w:val="00A54196"/>
    <w:rsid w:val="00A57555"/>
    <w:rsid w:val="00A57C0D"/>
    <w:rsid w:val="00A61763"/>
    <w:rsid w:val="00A642D8"/>
    <w:rsid w:val="00A649F4"/>
    <w:rsid w:val="00A6520B"/>
    <w:rsid w:val="00A75EA5"/>
    <w:rsid w:val="00A8077D"/>
    <w:rsid w:val="00A8449B"/>
    <w:rsid w:val="00A84E63"/>
    <w:rsid w:val="00A84F0B"/>
    <w:rsid w:val="00A850D6"/>
    <w:rsid w:val="00A9000A"/>
    <w:rsid w:val="00A905F4"/>
    <w:rsid w:val="00A90888"/>
    <w:rsid w:val="00A912E1"/>
    <w:rsid w:val="00A914E2"/>
    <w:rsid w:val="00A961EF"/>
    <w:rsid w:val="00A97F0C"/>
    <w:rsid w:val="00AA0780"/>
    <w:rsid w:val="00AA5768"/>
    <w:rsid w:val="00AB167C"/>
    <w:rsid w:val="00AB358D"/>
    <w:rsid w:val="00AB3D2F"/>
    <w:rsid w:val="00AB4D2F"/>
    <w:rsid w:val="00AC2C4D"/>
    <w:rsid w:val="00AC3C87"/>
    <w:rsid w:val="00AC3DFF"/>
    <w:rsid w:val="00AC4377"/>
    <w:rsid w:val="00AC4C96"/>
    <w:rsid w:val="00AD4004"/>
    <w:rsid w:val="00AD4E28"/>
    <w:rsid w:val="00AE2841"/>
    <w:rsid w:val="00AE330D"/>
    <w:rsid w:val="00AE351B"/>
    <w:rsid w:val="00AE4F44"/>
    <w:rsid w:val="00AE67A2"/>
    <w:rsid w:val="00AF0168"/>
    <w:rsid w:val="00AF424B"/>
    <w:rsid w:val="00AF4440"/>
    <w:rsid w:val="00AF5051"/>
    <w:rsid w:val="00AF5AF0"/>
    <w:rsid w:val="00B01CF3"/>
    <w:rsid w:val="00B03439"/>
    <w:rsid w:val="00B034C2"/>
    <w:rsid w:val="00B0412F"/>
    <w:rsid w:val="00B04819"/>
    <w:rsid w:val="00B07C8F"/>
    <w:rsid w:val="00B101D0"/>
    <w:rsid w:val="00B173CE"/>
    <w:rsid w:val="00B175B1"/>
    <w:rsid w:val="00B17B3C"/>
    <w:rsid w:val="00B23F5D"/>
    <w:rsid w:val="00B24095"/>
    <w:rsid w:val="00B24929"/>
    <w:rsid w:val="00B26A3E"/>
    <w:rsid w:val="00B301DA"/>
    <w:rsid w:val="00B315AF"/>
    <w:rsid w:val="00B32371"/>
    <w:rsid w:val="00B3489B"/>
    <w:rsid w:val="00B3505B"/>
    <w:rsid w:val="00B35A06"/>
    <w:rsid w:val="00B36D78"/>
    <w:rsid w:val="00B437C0"/>
    <w:rsid w:val="00B43DD9"/>
    <w:rsid w:val="00B45FBF"/>
    <w:rsid w:val="00B47297"/>
    <w:rsid w:val="00B476ED"/>
    <w:rsid w:val="00B502D5"/>
    <w:rsid w:val="00B509F8"/>
    <w:rsid w:val="00B519B0"/>
    <w:rsid w:val="00B51FDF"/>
    <w:rsid w:val="00B573C5"/>
    <w:rsid w:val="00B5795D"/>
    <w:rsid w:val="00B61B10"/>
    <w:rsid w:val="00B62AB1"/>
    <w:rsid w:val="00B671E9"/>
    <w:rsid w:val="00B7037D"/>
    <w:rsid w:val="00B73B5F"/>
    <w:rsid w:val="00B76064"/>
    <w:rsid w:val="00B8788E"/>
    <w:rsid w:val="00B94262"/>
    <w:rsid w:val="00B95702"/>
    <w:rsid w:val="00B959EB"/>
    <w:rsid w:val="00B9634F"/>
    <w:rsid w:val="00BA00CD"/>
    <w:rsid w:val="00BA31D8"/>
    <w:rsid w:val="00BA5041"/>
    <w:rsid w:val="00BA53EA"/>
    <w:rsid w:val="00BB0A39"/>
    <w:rsid w:val="00BB0ECD"/>
    <w:rsid w:val="00BB1593"/>
    <w:rsid w:val="00BB2032"/>
    <w:rsid w:val="00BB2637"/>
    <w:rsid w:val="00BB3515"/>
    <w:rsid w:val="00BB50CE"/>
    <w:rsid w:val="00BC2304"/>
    <w:rsid w:val="00BC367C"/>
    <w:rsid w:val="00BC5CBD"/>
    <w:rsid w:val="00BC68E8"/>
    <w:rsid w:val="00BC6DF2"/>
    <w:rsid w:val="00BD094F"/>
    <w:rsid w:val="00BD1760"/>
    <w:rsid w:val="00BD397A"/>
    <w:rsid w:val="00BE1BA9"/>
    <w:rsid w:val="00BE1D96"/>
    <w:rsid w:val="00BE43EB"/>
    <w:rsid w:val="00BE4E11"/>
    <w:rsid w:val="00BE6B41"/>
    <w:rsid w:val="00BF1345"/>
    <w:rsid w:val="00BF21E0"/>
    <w:rsid w:val="00BF25C2"/>
    <w:rsid w:val="00BF2F8D"/>
    <w:rsid w:val="00BF31C6"/>
    <w:rsid w:val="00BF4D6B"/>
    <w:rsid w:val="00BF51F2"/>
    <w:rsid w:val="00BF6B4F"/>
    <w:rsid w:val="00C0210F"/>
    <w:rsid w:val="00C03A3B"/>
    <w:rsid w:val="00C10F82"/>
    <w:rsid w:val="00C15131"/>
    <w:rsid w:val="00C2108E"/>
    <w:rsid w:val="00C227AC"/>
    <w:rsid w:val="00C22C9D"/>
    <w:rsid w:val="00C2447F"/>
    <w:rsid w:val="00C308EA"/>
    <w:rsid w:val="00C3288C"/>
    <w:rsid w:val="00C32A58"/>
    <w:rsid w:val="00C3438F"/>
    <w:rsid w:val="00C358C8"/>
    <w:rsid w:val="00C35D18"/>
    <w:rsid w:val="00C37E85"/>
    <w:rsid w:val="00C4228D"/>
    <w:rsid w:val="00C42F0A"/>
    <w:rsid w:val="00C4791E"/>
    <w:rsid w:val="00C5088D"/>
    <w:rsid w:val="00C52B2A"/>
    <w:rsid w:val="00C53AB3"/>
    <w:rsid w:val="00C54B2D"/>
    <w:rsid w:val="00C5755B"/>
    <w:rsid w:val="00C600B7"/>
    <w:rsid w:val="00C62486"/>
    <w:rsid w:val="00C62BFB"/>
    <w:rsid w:val="00C66540"/>
    <w:rsid w:val="00C677DD"/>
    <w:rsid w:val="00C70E9D"/>
    <w:rsid w:val="00C72288"/>
    <w:rsid w:val="00C767F8"/>
    <w:rsid w:val="00C77007"/>
    <w:rsid w:val="00C812C6"/>
    <w:rsid w:val="00C829AD"/>
    <w:rsid w:val="00C8314F"/>
    <w:rsid w:val="00C840F0"/>
    <w:rsid w:val="00C874BC"/>
    <w:rsid w:val="00C92A67"/>
    <w:rsid w:val="00C92B24"/>
    <w:rsid w:val="00C9308D"/>
    <w:rsid w:val="00C93145"/>
    <w:rsid w:val="00C93DB1"/>
    <w:rsid w:val="00C95884"/>
    <w:rsid w:val="00C95EAD"/>
    <w:rsid w:val="00CA1C4B"/>
    <w:rsid w:val="00CA4768"/>
    <w:rsid w:val="00CA70D9"/>
    <w:rsid w:val="00CB08E1"/>
    <w:rsid w:val="00CB64AC"/>
    <w:rsid w:val="00CB770C"/>
    <w:rsid w:val="00CC1EAA"/>
    <w:rsid w:val="00CC2961"/>
    <w:rsid w:val="00CC3BD3"/>
    <w:rsid w:val="00CC6984"/>
    <w:rsid w:val="00CC7B48"/>
    <w:rsid w:val="00CD1E32"/>
    <w:rsid w:val="00CD4056"/>
    <w:rsid w:val="00CD51E4"/>
    <w:rsid w:val="00CE0463"/>
    <w:rsid w:val="00CE0BFE"/>
    <w:rsid w:val="00CE21B4"/>
    <w:rsid w:val="00CE2435"/>
    <w:rsid w:val="00CE2A4A"/>
    <w:rsid w:val="00CE2C36"/>
    <w:rsid w:val="00CE475F"/>
    <w:rsid w:val="00CE669C"/>
    <w:rsid w:val="00CF06B5"/>
    <w:rsid w:val="00CF0F94"/>
    <w:rsid w:val="00CF3A38"/>
    <w:rsid w:val="00CF40BA"/>
    <w:rsid w:val="00CF512C"/>
    <w:rsid w:val="00CF54E0"/>
    <w:rsid w:val="00D00ABB"/>
    <w:rsid w:val="00D00C4B"/>
    <w:rsid w:val="00D01273"/>
    <w:rsid w:val="00D02BBA"/>
    <w:rsid w:val="00D030FF"/>
    <w:rsid w:val="00D03790"/>
    <w:rsid w:val="00D04A97"/>
    <w:rsid w:val="00D066D1"/>
    <w:rsid w:val="00D0765D"/>
    <w:rsid w:val="00D11071"/>
    <w:rsid w:val="00D12BE0"/>
    <w:rsid w:val="00D13E48"/>
    <w:rsid w:val="00D14EF5"/>
    <w:rsid w:val="00D225C9"/>
    <w:rsid w:val="00D230D5"/>
    <w:rsid w:val="00D32786"/>
    <w:rsid w:val="00D35ADE"/>
    <w:rsid w:val="00D3623F"/>
    <w:rsid w:val="00D4024C"/>
    <w:rsid w:val="00D43CB2"/>
    <w:rsid w:val="00D44B0F"/>
    <w:rsid w:val="00D457C6"/>
    <w:rsid w:val="00D45F90"/>
    <w:rsid w:val="00D50180"/>
    <w:rsid w:val="00D517E3"/>
    <w:rsid w:val="00D54E70"/>
    <w:rsid w:val="00D56373"/>
    <w:rsid w:val="00D5707C"/>
    <w:rsid w:val="00D63041"/>
    <w:rsid w:val="00D637A1"/>
    <w:rsid w:val="00D7063A"/>
    <w:rsid w:val="00D70FE1"/>
    <w:rsid w:val="00D7228F"/>
    <w:rsid w:val="00D72426"/>
    <w:rsid w:val="00D72C45"/>
    <w:rsid w:val="00D73E4F"/>
    <w:rsid w:val="00D74F49"/>
    <w:rsid w:val="00D80145"/>
    <w:rsid w:val="00D80780"/>
    <w:rsid w:val="00D840EF"/>
    <w:rsid w:val="00D854B1"/>
    <w:rsid w:val="00D86E70"/>
    <w:rsid w:val="00D875F6"/>
    <w:rsid w:val="00D876E7"/>
    <w:rsid w:val="00D87ED0"/>
    <w:rsid w:val="00D90D27"/>
    <w:rsid w:val="00D96D64"/>
    <w:rsid w:val="00DA07CE"/>
    <w:rsid w:val="00DA72EA"/>
    <w:rsid w:val="00DB1218"/>
    <w:rsid w:val="00DB4264"/>
    <w:rsid w:val="00DB5D50"/>
    <w:rsid w:val="00DB7122"/>
    <w:rsid w:val="00DB7133"/>
    <w:rsid w:val="00DB741B"/>
    <w:rsid w:val="00DB7FF0"/>
    <w:rsid w:val="00DC04A4"/>
    <w:rsid w:val="00DC3187"/>
    <w:rsid w:val="00DC57EB"/>
    <w:rsid w:val="00DC6E3D"/>
    <w:rsid w:val="00DC79AE"/>
    <w:rsid w:val="00DC7B13"/>
    <w:rsid w:val="00DC7C52"/>
    <w:rsid w:val="00DC7E67"/>
    <w:rsid w:val="00DD2B8E"/>
    <w:rsid w:val="00DD648E"/>
    <w:rsid w:val="00DD72C3"/>
    <w:rsid w:val="00DE0112"/>
    <w:rsid w:val="00DE0D22"/>
    <w:rsid w:val="00DE1B16"/>
    <w:rsid w:val="00DE5AF6"/>
    <w:rsid w:val="00DE76CC"/>
    <w:rsid w:val="00DE7AFC"/>
    <w:rsid w:val="00DF1F3D"/>
    <w:rsid w:val="00DF5AAC"/>
    <w:rsid w:val="00DF7AA6"/>
    <w:rsid w:val="00DF7AF8"/>
    <w:rsid w:val="00E00547"/>
    <w:rsid w:val="00E01900"/>
    <w:rsid w:val="00E02412"/>
    <w:rsid w:val="00E02D98"/>
    <w:rsid w:val="00E03A0F"/>
    <w:rsid w:val="00E03C8E"/>
    <w:rsid w:val="00E0746B"/>
    <w:rsid w:val="00E1484A"/>
    <w:rsid w:val="00E154DA"/>
    <w:rsid w:val="00E15628"/>
    <w:rsid w:val="00E1729B"/>
    <w:rsid w:val="00E2365C"/>
    <w:rsid w:val="00E23C80"/>
    <w:rsid w:val="00E23E1E"/>
    <w:rsid w:val="00E25259"/>
    <w:rsid w:val="00E256FB"/>
    <w:rsid w:val="00E33BA3"/>
    <w:rsid w:val="00E402F8"/>
    <w:rsid w:val="00E41193"/>
    <w:rsid w:val="00E4360C"/>
    <w:rsid w:val="00E44327"/>
    <w:rsid w:val="00E44D1E"/>
    <w:rsid w:val="00E45385"/>
    <w:rsid w:val="00E4612B"/>
    <w:rsid w:val="00E462B9"/>
    <w:rsid w:val="00E4771A"/>
    <w:rsid w:val="00E505B5"/>
    <w:rsid w:val="00E54B01"/>
    <w:rsid w:val="00E550F0"/>
    <w:rsid w:val="00E55263"/>
    <w:rsid w:val="00E575BB"/>
    <w:rsid w:val="00E63857"/>
    <w:rsid w:val="00E63912"/>
    <w:rsid w:val="00E64E3B"/>
    <w:rsid w:val="00E659A7"/>
    <w:rsid w:val="00E67FF3"/>
    <w:rsid w:val="00E70682"/>
    <w:rsid w:val="00E70E37"/>
    <w:rsid w:val="00E7253A"/>
    <w:rsid w:val="00E7383C"/>
    <w:rsid w:val="00E764F7"/>
    <w:rsid w:val="00E774D5"/>
    <w:rsid w:val="00E8073F"/>
    <w:rsid w:val="00E81FAC"/>
    <w:rsid w:val="00E8428A"/>
    <w:rsid w:val="00E85C47"/>
    <w:rsid w:val="00E90AF7"/>
    <w:rsid w:val="00E92F8D"/>
    <w:rsid w:val="00E93379"/>
    <w:rsid w:val="00E9370C"/>
    <w:rsid w:val="00E94CFC"/>
    <w:rsid w:val="00EA679D"/>
    <w:rsid w:val="00EA738C"/>
    <w:rsid w:val="00EA7D05"/>
    <w:rsid w:val="00EB1412"/>
    <w:rsid w:val="00EB22D6"/>
    <w:rsid w:val="00EB406E"/>
    <w:rsid w:val="00EB50AA"/>
    <w:rsid w:val="00EC022A"/>
    <w:rsid w:val="00EC179A"/>
    <w:rsid w:val="00EC24BD"/>
    <w:rsid w:val="00EC396A"/>
    <w:rsid w:val="00EC48F3"/>
    <w:rsid w:val="00EC7D23"/>
    <w:rsid w:val="00ED1C89"/>
    <w:rsid w:val="00ED1F57"/>
    <w:rsid w:val="00ED2873"/>
    <w:rsid w:val="00ED3348"/>
    <w:rsid w:val="00ED6A0D"/>
    <w:rsid w:val="00EE09F3"/>
    <w:rsid w:val="00EE70EE"/>
    <w:rsid w:val="00EE7A41"/>
    <w:rsid w:val="00EF00BB"/>
    <w:rsid w:val="00EF049E"/>
    <w:rsid w:val="00EF1120"/>
    <w:rsid w:val="00EF17DA"/>
    <w:rsid w:val="00EF2CD6"/>
    <w:rsid w:val="00EF4118"/>
    <w:rsid w:val="00EF4805"/>
    <w:rsid w:val="00EF48F0"/>
    <w:rsid w:val="00EF5673"/>
    <w:rsid w:val="00EF67F0"/>
    <w:rsid w:val="00EF7F04"/>
    <w:rsid w:val="00F01D3D"/>
    <w:rsid w:val="00F01DB8"/>
    <w:rsid w:val="00F04475"/>
    <w:rsid w:val="00F04B2B"/>
    <w:rsid w:val="00F05A17"/>
    <w:rsid w:val="00F13DA7"/>
    <w:rsid w:val="00F14E7B"/>
    <w:rsid w:val="00F14EB1"/>
    <w:rsid w:val="00F1629F"/>
    <w:rsid w:val="00F23090"/>
    <w:rsid w:val="00F25592"/>
    <w:rsid w:val="00F30F75"/>
    <w:rsid w:val="00F32FA2"/>
    <w:rsid w:val="00F4001E"/>
    <w:rsid w:val="00F42575"/>
    <w:rsid w:val="00F44B4E"/>
    <w:rsid w:val="00F47B9D"/>
    <w:rsid w:val="00F47D1F"/>
    <w:rsid w:val="00F570A8"/>
    <w:rsid w:val="00F570D1"/>
    <w:rsid w:val="00F570ED"/>
    <w:rsid w:val="00F60426"/>
    <w:rsid w:val="00F6153B"/>
    <w:rsid w:val="00F63294"/>
    <w:rsid w:val="00F7396A"/>
    <w:rsid w:val="00F73D34"/>
    <w:rsid w:val="00F74063"/>
    <w:rsid w:val="00F74E3A"/>
    <w:rsid w:val="00F76299"/>
    <w:rsid w:val="00F809D3"/>
    <w:rsid w:val="00F838A5"/>
    <w:rsid w:val="00F860D1"/>
    <w:rsid w:val="00F866BA"/>
    <w:rsid w:val="00F91BFC"/>
    <w:rsid w:val="00F92733"/>
    <w:rsid w:val="00F93E4E"/>
    <w:rsid w:val="00F94CA9"/>
    <w:rsid w:val="00F95201"/>
    <w:rsid w:val="00F95866"/>
    <w:rsid w:val="00F969E5"/>
    <w:rsid w:val="00F97CED"/>
    <w:rsid w:val="00FB06D0"/>
    <w:rsid w:val="00FB128F"/>
    <w:rsid w:val="00FB4FD6"/>
    <w:rsid w:val="00FC04B3"/>
    <w:rsid w:val="00FC0C6B"/>
    <w:rsid w:val="00FC18A6"/>
    <w:rsid w:val="00FC2E64"/>
    <w:rsid w:val="00FC356F"/>
    <w:rsid w:val="00FC3BFC"/>
    <w:rsid w:val="00FC4E51"/>
    <w:rsid w:val="00FC5EA8"/>
    <w:rsid w:val="00FC61D7"/>
    <w:rsid w:val="00FC675E"/>
    <w:rsid w:val="00FD1782"/>
    <w:rsid w:val="00FD17EB"/>
    <w:rsid w:val="00FD3723"/>
    <w:rsid w:val="00FD4BAA"/>
    <w:rsid w:val="00FD51D0"/>
    <w:rsid w:val="00FD60CE"/>
    <w:rsid w:val="00FD65B3"/>
    <w:rsid w:val="00FD68EB"/>
    <w:rsid w:val="00FD6E26"/>
    <w:rsid w:val="00FE082D"/>
    <w:rsid w:val="00FE11C1"/>
    <w:rsid w:val="00FE255F"/>
    <w:rsid w:val="00FE5145"/>
    <w:rsid w:val="00FE5571"/>
    <w:rsid w:val="00FE5DEB"/>
    <w:rsid w:val="00FE6579"/>
    <w:rsid w:val="00FE68C8"/>
    <w:rsid w:val="00FE7A6B"/>
    <w:rsid w:val="00FF0FB3"/>
    <w:rsid w:val="00FF12A2"/>
    <w:rsid w:val="00FF33A4"/>
    <w:rsid w:val="00FF3FBA"/>
    <w:rsid w:val="00FF45D3"/>
    <w:rsid w:val="00FF48CC"/>
    <w:rsid w:val="00FF65F1"/>
    <w:rsid w:val="00FF6CFE"/>
    <w:rsid w:val="00FF75AF"/>
    <w:rsid w:val="00FF76CE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BCF82"/>
  <w15:chartTrackingRefBased/>
  <w15:docId w15:val="{74667987-C20E-4C68-9C95-E41DBD58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D0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863"/>
    <w:pPr>
      <w:keepNext/>
      <w:keepLines/>
      <w:spacing w:before="600" w:after="360"/>
      <w:jc w:val="center"/>
      <w:outlineLvl w:val="0"/>
    </w:pPr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863"/>
    <w:pPr>
      <w:keepNext/>
      <w:keepLines/>
      <w:spacing w:before="240" w:after="240"/>
      <w:jc w:val="center"/>
      <w:outlineLvl w:val="1"/>
    </w:pPr>
    <w:rPr>
      <w:rFonts w:asciiTheme="majorBidi" w:eastAsiaTheme="majorEastAsia" w:hAnsiTheme="majorBid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A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A2A9B"/>
  </w:style>
  <w:style w:type="character" w:customStyle="1" w:styleId="eop">
    <w:name w:val="eop"/>
    <w:basedOn w:val="DefaultParagraphFont"/>
    <w:rsid w:val="004A2A9B"/>
  </w:style>
  <w:style w:type="character" w:customStyle="1" w:styleId="Heading1Char">
    <w:name w:val="Heading 1 Char"/>
    <w:basedOn w:val="DefaultParagraphFont"/>
    <w:link w:val="Heading1"/>
    <w:uiPriority w:val="9"/>
    <w:rsid w:val="006B6863"/>
    <w:rPr>
      <w:rFonts w:asciiTheme="majorBidi" w:eastAsiaTheme="majorEastAsia" w:hAnsiTheme="majorBidi" w:cstheme="majorBidi"/>
      <w:b/>
      <w:color w:val="000000" w:themeColor="text1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6863"/>
    <w:rPr>
      <w:rFonts w:asciiTheme="majorBidi" w:eastAsiaTheme="majorEastAsia" w:hAnsiTheme="majorBidi" w:cstheme="majorBidi"/>
      <w:b/>
      <w:color w:val="000000" w:themeColor="text1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B68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26E1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B5348"/>
    <w:pPr>
      <w:tabs>
        <w:tab w:val="left" w:pos="440"/>
        <w:tab w:val="right" w:leader="dot" w:pos="9016"/>
      </w:tabs>
      <w:spacing w:before="120" w:after="0"/>
    </w:pPr>
    <w:rPr>
      <w:rFonts w:ascii="Times New Roman" w:hAnsi="Times New Roman" w:cs="Times New Roman"/>
      <w:b/>
      <w:bCs/>
      <w:noProof/>
      <w:sz w:val="24"/>
      <w:szCs w:val="24"/>
      <w:lang w:val="lt-LT"/>
    </w:rPr>
  </w:style>
  <w:style w:type="paragraph" w:styleId="TOC2">
    <w:name w:val="toc 2"/>
    <w:basedOn w:val="Normal"/>
    <w:next w:val="Normal"/>
    <w:autoRedefine/>
    <w:uiPriority w:val="39"/>
    <w:unhideWhenUsed/>
    <w:rsid w:val="009B26E1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9B26E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26E1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26E1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26E1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26E1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26E1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26E1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26E1"/>
    <w:pPr>
      <w:spacing w:after="0"/>
      <w:ind w:left="17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7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4C"/>
    <w:rPr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07F4C"/>
  </w:style>
  <w:style w:type="paragraph" w:styleId="Header">
    <w:name w:val="header"/>
    <w:basedOn w:val="Normal"/>
    <w:link w:val="HeaderChar"/>
    <w:uiPriority w:val="99"/>
    <w:unhideWhenUsed/>
    <w:rsid w:val="00607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4C"/>
    <w:rPr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D46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76C2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10F8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767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0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EB1260-5A53-0243-8681-50E21EA43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2098</Words>
  <Characters>11964</Characters>
  <Application>Microsoft Office Word</Application>
  <DocSecurity>0</DocSecurity>
  <Lines>99</Lines>
  <Paragraphs>28</Paragraphs>
  <ScaleCrop>false</ScaleCrop>
  <Company/>
  <LinksUpToDate>false</LinksUpToDate>
  <CharactersWithSpaces>14034</CharactersWithSpaces>
  <SharedDoc>false</SharedDoc>
  <HLinks>
    <vt:vector size="60" baseType="variant">
      <vt:variant>
        <vt:i4>2490386</vt:i4>
      </vt:variant>
      <vt:variant>
        <vt:i4>51</vt:i4>
      </vt:variant>
      <vt:variant>
        <vt:i4>0</vt:i4>
      </vt:variant>
      <vt:variant>
        <vt:i4>5</vt:i4>
      </vt:variant>
      <vt:variant>
        <vt:lpwstr>https://rpubs.com/ibn_abdullah/rquantile</vt:lpwstr>
      </vt:variant>
      <vt:variant>
        <vt:lpwstr/>
      </vt:variant>
      <vt:variant>
        <vt:i4>3014717</vt:i4>
      </vt:variant>
      <vt:variant>
        <vt:i4>48</vt:i4>
      </vt:variant>
      <vt:variant>
        <vt:i4>0</vt:i4>
      </vt:variant>
      <vt:variant>
        <vt:i4>5</vt:i4>
      </vt:variant>
      <vt:variant>
        <vt:lpwstr>https://towardsdatascience.com/an-introduction-to-quantile-regression-eca5e3e2036a</vt:lpwstr>
      </vt:variant>
      <vt:variant>
        <vt:lpwstr/>
      </vt:variant>
      <vt:variant>
        <vt:i4>2031620</vt:i4>
      </vt:variant>
      <vt:variant>
        <vt:i4>45</vt:i4>
      </vt:variant>
      <vt:variant>
        <vt:i4>0</vt:i4>
      </vt:variant>
      <vt:variant>
        <vt:i4>5</vt:i4>
      </vt:variant>
      <vt:variant>
        <vt:lpwstr>https://sites.google.com/site/econometricsacademy/econometrics-models/quantile-regression?authuser=0</vt:lpwstr>
      </vt:variant>
      <vt:variant>
        <vt:lpwstr/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_Toc132666369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_Toc132666368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_Toc132666367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_Toc132666366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_Toc132666365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_Toc132666364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_Toc132666363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Gelžinytė</dc:creator>
  <cp:keywords/>
  <dc:description/>
  <cp:lastModifiedBy>Simona Gelžinytė</cp:lastModifiedBy>
  <cp:revision>2</cp:revision>
  <dcterms:created xsi:type="dcterms:W3CDTF">2023-05-17T09:08:00Z</dcterms:created>
  <dcterms:modified xsi:type="dcterms:W3CDTF">2023-05-17T09:08:00Z</dcterms:modified>
</cp:coreProperties>
</file>