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CCD626" w14:textId="77777777" w:rsidR="00B70FE1" w:rsidRPr="00B70FE1" w:rsidRDefault="00B70FE1" w:rsidP="00B70FE1">
      <w:pPr>
        <w:rPr>
          <w:b/>
          <w:bCs/>
        </w:rPr>
      </w:pPr>
      <w:r w:rsidRPr="00B70FE1">
        <w:rPr>
          <w:b/>
          <w:bCs/>
        </w:rPr>
        <w:t>Coefficient Stability and Interpretation in Credit Default Models with Correlated Predictors</w:t>
      </w:r>
    </w:p>
    <w:p w14:paraId="18403843" w14:textId="77777777" w:rsidR="00B70FE1" w:rsidRPr="00B70FE1" w:rsidRDefault="00B70FE1" w:rsidP="00B70FE1">
      <w:pPr>
        <w:rPr>
          <w:b/>
          <w:bCs/>
        </w:rPr>
      </w:pPr>
      <w:r w:rsidRPr="00B70FE1">
        <w:rPr>
          <w:b/>
          <w:bCs/>
        </w:rPr>
        <w:pict w14:anchorId="72947DB9">
          <v:rect id="_x0000_i1434" style="width:0;height:1.5pt" o:hralign="center" o:hrstd="t" o:hr="t" fillcolor="#a0a0a0" stroked="f"/>
        </w:pict>
      </w:r>
    </w:p>
    <w:p w14:paraId="72BB2E9D" w14:textId="77777777" w:rsidR="00B70FE1" w:rsidRPr="00B70FE1" w:rsidRDefault="00B70FE1" w:rsidP="00B70FE1">
      <w:pPr>
        <w:rPr>
          <w:b/>
          <w:bCs/>
        </w:rPr>
      </w:pPr>
      <w:r w:rsidRPr="00B70FE1">
        <w:rPr>
          <w:b/>
          <w:bCs/>
        </w:rPr>
        <w:t>1. Motivation and Research Question</w:t>
      </w:r>
    </w:p>
    <w:p w14:paraId="11F839CB" w14:textId="77777777" w:rsidR="00B70FE1" w:rsidRPr="00B70FE1" w:rsidRDefault="00B70FE1" w:rsidP="00B70FE1">
      <w:r w:rsidRPr="00B70FE1">
        <w:t>Credit risk models often rely on multiple predictors that capture overlapping aspects of borrower behavior. In credit card data, financial variables such as credit limits and balances are used alongside behavioral variables such as repayment history. Although these variables are intended to measure different dimensions of creditworthiness, they are not independent signals. Instead, they reflect related manifestations of an underlying risk process governing borrower default.</w:t>
      </w:r>
    </w:p>
    <w:p w14:paraId="7ACDE4DA" w14:textId="77777777" w:rsidR="00B70FE1" w:rsidRPr="00B70FE1" w:rsidRDefault="00B70FE1" w:rsidP="00B70FE1">
      <w:r w:rsidRPr="00B70FE1">
        <w:t>This overlap creates a challenge for regression analysis. When predictors are highly correlated, coefficient estimates can become unstable, and conclusions about variable importance may depend strongly on model specification. A variable that appears important in one model may lose significance once additional covariates are included, not because its relationship with the outcome disappears, but because its explanatory power overlaps with other predictors.</w:t>
      </w:r>
    </w:p>
    <w:p w14:paraId="47D183AB" w14:textId="77777777" w:rsidR="00B70FE1" w:rsidRPr="00B70FE1" w:rsidRDefault="00B70FE1" w:rsidP="00B70FE1">
      <w:r w:rsidRPr="00B70FE1">
        <w:t xml:space="preserve">This project examines how conclusions about variable importance change in the presence of correlated predictors. </w:t>
      </w:r>
      <w:proofErr w:type="gramStart"/>
      <w:r w:rsidRPr="00B70FE1">
        <w:t>In particular, it</w:t>
      </w:r>
      <w:proofErr w:type="gramEnd"/>
      <w:r w:rsidRPr="00B70FE1">
        <w:t xml:space="preserve"> investigates whether financial variables retain explanatory power after </w:t>
      </w:r>
      <w:proofErr w:type="gramStart"/>
      <w:r w:rsidRPr="00B70FE1">
        <w:t>controlling for</w:t>
      </w:r>
      <w:proofErr w:type="gramEnd"/>
      <w:r w:rsidRPr="00B70FE1">
        <w:t xml:space="preserve"> repayment behavior, whether repayment history can be represented using lower-dimensional summary features without loss of information, and how coefficient estimates vary across model specifications. The primary goal is not to construct the most accurate predictive model, but to evaluate the reliability and interpretability of regression coefficients when predictors encode overlapping information.</w:t>
      </w:r>
    </w:p>
    <w:p w14:paraId="4BB5165B" w14:textId="77777777" w:rsidR="00B70FE1" w:rsidRPr="00B70FE1" w:rsidRDefault="00B70FE1" w:rsidP="00B70FE1">
      <w:pPr>
        <w:rPr>
          <w:b/>
          <w:bCs/>
        </w:rPr>
      </w:pPr>
      <w:r w:rsidRPr="00B70FE1">
        <w:rPr>
          <w:b/>
          <w:bCs/>
        </w:rPr>
        <w:pict w14:anchorId="45A8258E">
          <v:rect id="_x0000_i1435" style="width:0;height:1.5pt" o:hralign="center" o:hrstd="t" o:hr="t" fillcolor="#a0a0a0" stroked="f"/>
        </w:pict>
      </w:r>
    </w:p>
    <w:p w14:paraId="7D2775B9" w14:textId="77777777" w:rsidR="00B70FE1" w:rsidRPr="00B70FE1" w:rsidRDefault="00B70FE1" w:rsidP="00B70FE1">
      <w:pPr>
        <w:rPr>
          <w:b/>
          <w:bCs/>
        </w:rPr>
      </w:pPr>
      <w:r w:rsidRPr="00B70FE1">
        <w:rPr>
          <w:b/>
          <w:bCs/>
        </w:rPr>
        <w:t>2. Data</w:t>
      </w:r>
    </w:p>
    <w:p w14:paraId="6DDC4426" w14:textId="77777777" w:rsidR="00B70FE1" w:rsidRPr="00B70FE1" w:rsidRDefault="00B70FE1" w:rsidP="00B70FE1">
      <w:r w:rsidRPr="00B70FE1">
        <w:t>The analysis uses the UCI Default of Credit Card Clients dataset, which contains 30,000 observations of credit card holders. The dataset includes a binary outcome indicating whether a client defaults in the following month, along with financial variables such as credit limits, bill amounts, and payment amounts, behavioral variables capturing repayment status over the previous six months, and demographic characteristics including age, education, marital status, and sex.</w:t>
      </w:r>
    </w:p>
    <w:p w14:paraId="362F4F14" w14:textId="77777777" w:rsidR="00B70FE1" w:rsidRPr="00B70FE1" w:rsidRDefault="00B70FE1" w:rsidP="00B70FE1">
      <w:r w:rsidRPr="00B70FE1">
        <w:t xml:space="preserve">Minor preprocessing steps are required to ensure consistency and interpretability. Undocumented categorical values in variables such as education and marital status are grouped into </w:t>
      </w:r>
      <w:proofErr w:type="gramStart"/>
      <w:r w:rsidRPr="00B70FE1">
        <w:t>an “other”</w:t>
      </w:r>
      <w:proofErr w:type="gramEnd"/>
      <w:r w:rsidRPr="00B70FE1">
        <w:t xml:space="preserve"> category to avoid imposing arbitrary distinctions. Repayment </w:t>
      </w:r>
      <w:r w:rsidRPr="00B70FE1">
        <w:lastRenderedPageBreak/>
        <w:t xml:space="preserve">status values are retained without additional assumptions about undocumented codes </w:t>
      </w:r>
      <w:proofErr w:type="gramStart"/>
      <w:r w:rsidRPr="00B70FE1">
        <w:t>in order to</w:t>
      </w:r>
      <w:proofErr w:type="gramEnd"/>
      <w:r w:rsidRPr="00B70FE1">
        <w:t xml:space="preserve"> preserve the full sample and avoid introducing selection bias.</w:t>
      </w:r>
    </w:p>
    <w:p w14:paraId="4FF9940C" w14:textId="77777777" w:rsidR="00B70FE1" w:rsidRPr="00B70FE1" w:rsidRDefault="00B70FE1" w:rsidP="00B70FE1">
      <w:r w:rsidRPr="00B70FE1">
        <w:t>To study the structure of repayment behavior, additional summary features are constructed. These include an indicator for whether any repayment delay occurred, the maximum observed delay, and the number of months with delayed payments. These variables allow for a direct comparison between high-dimensional representations of repayment history and simpler, lower-dimensional summaries.</w:t>
      </w:r>
    </w:p>
    <w:p w14:paraId="34B16BC6" w14:textId="77777777" w:rsidR="00B70FE1" w:rsidRPr="00B70FE1" w:rsidRDefault="00B70FE1" w:rsidP="00B70FE1">
      <w:pPr>
        <w:rPr>
          <w:b/>
          <w:bCs/>
        </w:rPr>
      </w:pPr>
      <w:r w:rsidRPr="00B70FE1">
        <w:rPr>
          <w:b/>
          <w:bCs/>
        </w:rPr>
        <w:pict w14:anchorId="5EB5A275">
          <v:rect id="_x0000_i1436" style="width:0;height:1.5pt" o:hralign="center" o:hrstd="t" o:hr="t" fillcolor="#a0a0a0" stroked="f"/>
        </w:pict>
      </w:r>
    </w:p>
    <w:p w14:paraId="1580557C" w14:textId="77777777" w:rsidR="00B70FE1" w:rsidRPr="00B70FE1" w:rsidRDefault="00B70FE1" w:rsidP="00B70FE1">
      <w:pPr>
        <w:rPr>
          <w:b/>
          <w:bCs/>
        </w:rPr>
      </w:pPr>
      <w:r w:rsidRPr="00B70FE1">
        <w:rPr>
          <w:b/>
          <w:bCs/>
        </w:rPr>
        <w:t>3. Methodology</w:t>
      </w:r>
    </w:p>
    <w:p w14:paraId="775C459E" w14:textId="77777777" w:rsidR="00B70FE1" w:rsidRPr="00B70FE1" w:rsidRDefault="00B70FE1" w:rsidP="00B70FE1">
      <w:pPr>
        <w:rPr>
          <w:b/>
          <w:bCs/>
        </w:rPr>
      </w:pPr>
      <w:r w:rsidRPr="00B70FE1">
        <w:rPr>
          <w:b/>
          <w:bCs/>
        </w:rPr>
        <w:t>3.1 Exploratory Analysis</w:t>
      </w:r>
    </w:p>
    <w:p w14:paraId="29E7BADB" w14:textId="77777777" w:rsidR="00B70FE1" w:rsidRPr="00B70FE1" w:rsidRDefault="00B70FE1" w:rsidP="00B70FE1">
      <w:r w:rsidRPr="00B70FE1">
        <w:t>The exploratory analysis focuses on understanding the relationship between predictors and default outcomes and identifying potential redundancy among variables. Default rates are examined across repayment status levels and across credit limit categories to establish baseline relationships. The correlation structure among predictors is also analyzed to assess the extent of multicollinearity within financial variables and within behavioral variables.</w:t>
      </w:r>
    </w:p>
    <w:p w14:paraId="39F83229" w14:textId="77777777" w:rsidR="00B70FE1" w:rsidRPr="00B70FE1" w:rsidRDefault="00B70FE1" w:rsidP="00B70FE1">
      <w:pPr>
        <w:rPr>
          <w:b/>
          <w:bCs/>
        </w:rPr>
      </w:pPr>
      <w:r w:rsidRPr="00B70FE1">
        <w:rPr>
          <w:b/>
          <w:bCs/>
        </w:rPr>
        <w:t>[Default rate by PAY_0]</w:t>
      </w:r>
      <w:r w:rsidRPr="00B70FE1">
        <w:rPr>
          <w:b/>
          <w:bCs/>
        </w:rPr>
        <w:br/>
        <w:t>[Default rate by LIMIT_BAL decile]</w:t>
      </w:r>
      <w:r w:rsidRPr="00B70FE1">
        <w:rPr>
          <w:b/>
          <w:bCs/>
        </w:rPr>
        <w:br/>
        <w:t>[Grouped correlation heatmap]</w:t>
      </w:r>
    </w:p>
    <w:p w14:paraId="01A91721" w14:textId="77777777" w:rsidR="00B70FE1" w:rsidRPr="00B70FE1" w:rsidRDefault="00B70FE1" w:rsidP="00B70FE1">
      <w:r w:rsidRPr="00B70FE1">
        <w:t xml:space="preserve">These analyses are intended to inform model </w:t>
      </w:r>
      <w:proofErr w:type="gramStart"/>
      <w:r w:rsidRPr="00B70FE1">
        <w:t>specification</w:t>
      </w:r>
      <w:proofErr w:type="gramEnd"/>
      <w:r w:rsidRPr="00B70FE1">
        <w:t xml:space="preserve"> by identifying which variables contain meaningful </w:t>
      </w:r>
      <w:proofErr w:type="gramStart"/>
      <w:r w:rsidRPr="00B70FE1">
        <w:t>signal</w:t>
      </w:r>
      <w:proofErr w:type="gramEnd"/>
      <w:r w:rsidRPr="00B70FE1">
        <w:t xml:space="preserve"> and where redundancy may create challenges for interpretation.</w:t>
      </w:r>
    </w:p>
    <w:p w14:paraId="4EE9045C" w14:textId="77777777" w:rsidR="00B70FE1" w:rsidRPr="00B70FE1" w:rsidRDefault="00B70FE1" w:rsidP="00B70FE1">
      <w:pPr>
        <w:rPr>
          <w:b/>
          <w:bCs/>
        </w:rPr>
      </w:pPr>
      <w:r w:rsidRPr="00B70FE1">
        <w:rPr>
          <w:b/>
          <w:bCs/>
        </w:rPr>
        <w:pict w14:anchorId="79265597">
          <v:rect id="_x0000_i1437" style="width:0;height:1.5pt" o:hralign="center" o:hrstd="t" o:hr="t" fillcolor="#a0a0a0" stroked="f"/>
        </w:pict>
      </w:r>
    </w:p>
    <w:p w14:paraId="5C59202D" w14:textId="77777777" w:rsidR="00B70FE1" w:rsidRPr="00B70FE1" w:rsidRDefault="00B70FE1" w:rsidP="00B70FE1">
      <w:pPr>
        <w:rPr>
          <w:b/>
          <w:bCs/>
        </w:rPr>
      </w:pPr>
      <w:r w:rsidRPr="00B70FE1">
        <w:rPr>
          <w:b/>
          <w:bCs/>
        </w:rPr>
        <w:t>3.2 Model Specification</w:t>
      </w:r>
    </w:p>
    <w:p w14:paraId="62345316" w14:textId="77777777" w:rsidR="00B70FE1" w:rsidRPr="00B70FE1" w:rsidRDefault="00B70FE1" w:rsidP="00B70FE1">
      <w:r w:rsidRPr="00B70FE1">
        <w:t>The empirical strategy is based on comparing models with different sets of predictors. Financial-only models include credit limits, bill amounts, and payment amounts. Behavioral-only models include repayment status variables. Combined models include both financial and behavioral predictors.</w:t>
      </w:r>
    </w:p>
    <w:p w14:paraId="0C644CAF" w14:textId="77777777" w:rsidR="00B70FE1" w:rsidRPr="00B70FE1" w:rsidRDefault="00B70FE1" w:rsidP="00B70FE1">
      <w:r w:rsidRPr="00B70FE1">
        <w:t>In addition, models are constructed using summary behavioral features such as whether any delay occurred, the maximum delay, and the number of delayed months. These models are used to evaluate whether repayment behavior can be effectively captured using a lower-dimensional representation.</w:t>
      </w:r>
    </w:p>
    <w:p w14:paraId="7EDE994E" w14:textId="77777777" w:rsidR="00B70FE1" w:rsidRPr="00B70FE1" w:rsidRDefault="00B70FE1" w:rsidP="00B70FE1">
      <w:pPr>
        <w:rPr>
          <w:b/>
          <w:bCs/>
        </w:rPr>
      </w:pPr>
      <w:r w:rsidRPr="00B70FE1">
        <w:rPr>
          <w:b/>
          <w:bCs/>
        </w:rPr>
        <w:pict w14:anchorId="4EAE820F">
          <v:rect id="_x0000_i1438" style="width:0;height:1.5pt" o:hralign="center" o:hrstd="t" o:hr="t" fillcolor="#a0a0a0" stroked="f"/>
        </w:pict>
      </w:r>
    </w:p>
    <w:p w14:paraId="3CAC4D55" w14:textId="77777777" w:rsidR="00B70FE1" w:rsidRPr="00B70FE1" w:rsidRDefault="00B70FE1" w:rsidP="00B70FE1">
      <w:pPr>
        <w:rPr>
          <w:b/>
          <w:bCs/>
        </w:rPr>
      </w:pPr>
      <w:r w:rsidRPr="00B70FE1">
        <w:rPr>
          <w:b/>
          <w:bCs/>
        </w:rPr>
        <w:lastRenderedPageBreak/>
        <w:t>3.3 Estimation Approach</w:t>
      </w:r>
    </w:p>
    <w:p w14:paraId="391F836E" w14:textId="77777777" w:rsidR="00B70FE1" w:rsidRPr="00B70FE1" w:rsidRDefault="00B70FE1" w:rsidP="00B70FE1">
      <w:r w:rsidRPr="00B70FE1">
        <w:t>Estimation is carried out using both linear probability models and logistic regression. Linear probability models are used to provide a transparent view of how coefficient estimates change across specifications. Logistic regression serves as the primary model for inference, as it is appropriate for binary outcomes and provides interpretable estimates of changes in default probability.</w:t>
      </w:r>
    </w:p>
    <w:p w14:paraId="0901ECBB" w14:textId="77777777" w:rsidR="00B70FE1" w:rsidRPr="00B70FE1" w:rsidRDefault="00B70FE1" w:rsidP="00B70FE1">
      <w:r w:rsidRPr="00B70FE1">
        <w:t>Regularized logistic regression using ridge and lasso penalties is included as a robustness check. These methods help assess whether multicollinearity affects predictive performance and whether simpler representations of predictors yield more stable results.</w:t>
      </w:r>
    </w:p>
    <w:p w14:paraId="29E36647" w14:textId="77777777" w:rsidR="00B70FE1" w:rsidRPr="00B70FE1" w:rsidRDefault="00B70FE1" w:rsidP="00B70FE1">
      <w:pPr>
        <w:rPr>
          <w:b/>
          <w:bCs/>
        </w:rPr>
      </w:pPr>
      <w:r w:rsidRPr="00B70FE1">
        <w:rPr>
          <w:b/>
          <w:bCs/>
        </w:rPr>
        <w:pict w14:anchorId="17C04B33">
          <v:rect id="_x0000_i1439" style="width:0;height:1.5pt" o:hralign="center" o:hrstd="t" o:hr="t" fillcolor="#a0a0a0" stroked="f"/>
        </w:pict>
      </w:r>
    </w:p>
    <w:p w14:paraId="13D768F1" w14:textId="0352458C" w:rsidR="00B70FE1" w:rsidRPr="00B70FE1" w:rsidRDefault="00B70FE1" w:rsidP="00B70FE1">
      <w:pPr>
        <w:rPr>
          <w:b/>
          <w:bCs/>
        </w:rPr>
      </w:pPr>
      <w:r w:rsidRPr="00B70FE1">
        <w:rPr>
          <w:b/>
          <w:bCs/>
        </w:rPr>
        <w:t xml:space="preserve">3.4 </w:t>
      </w:r>
      <w:r w:rsidR="00DA36FE">
        <w:rPr>
          <w:b/>
          <w:bCs/>
        </w:rPr>
        <w:t xml:space="preserve">Model </w:t>
      </w:r>
      <w:r w:rsidRPr="00B70FE1">
        <w:rPr>
          <w:b/>
          <w:bCs/>
        </w:rPr>
        <w:t>Identification Strategy</w:t>
      </w:r>
    </w:p>
    <w:p w14:paraId="49E1B367" w14:textId="77777777" w:rsidR="00B70FE1" w:rsidRPr="00B70FE1" w:rsidRDefault="00B70FE1" w:rsidP="00B70FE1">
      <w:r w:rsidRPr="00B70FE1">
        <w:t>The identification strategy relies on comparing nested models to evaluate how coefficient estimates change when additional correlated variables are introduced. By comparing financial-only models to combined models, the analysis assesses whether financial variables capture independent effects or whether they act as proxies for repayment behavior.</w:t>
      </w:r>
    </w:p>
    <w:p w14:paraId="72AC45B0" w14:textId="77777777" w:rsidR="00B70FE1" w:rsidRPr="00B70FE1" w:rsidRDefault="00B70FE1" w:rsidP="00B70FE1">
      <w:r w:rsidRPr="00B70FE1">
        <w:t>This approach isolates how shared variation between predictors affects coefficient estimates. When predictors are highly correlated, adding or removing variables can substantially change estimated effects. The analysis uses these shifts to evaluate the stability and interpretability of regression coefficients under different specifications.</w:t>
      </w:r>
    </w:p>
    <w:p w14:paraId="55FA77E2" w14:textId="77777777" w:rsidR="00B70FE1" w:rsidRPr="00B70FE1" w:rsidRDefault="00B70FE1" w:rsidP="00B70FE1">
      <w:pPr>
        <w:rPr>
          <w:b/>
          <w:bCs/>
        </w:rPr>
      </w:pPr>
      <w:r w:rsidRPr="00B70FE1">
        <w:rPr>
          <w:b/>
          <w:bCs/>
        </w:rPr>
        <w:pict w14:anchorId="47119D86">
          <v:rect id="_x0000_i1440" style="width:0;height:1.5pt" o:hralign="center" o:hrstd="t" o:hr="t" fillcolor="#a0a0a0" stroked="f"/>
        </w:pict>
      </w:r>
    </w:p>
    <w:p w14:paraId="04D5F831" w14:textId="77777777" w:rsidR="00B70FE1" w:rsidRPr="00B70FE1" w:rsidRDefault="00B70FE1" w:rsidP="00B70FE1">
      <w:pPr>
        <w:rPr>
          <w:b/>
          <w:bCs/>
        </w:rPr>
      </w:pPr>
      <w:r w:rsidRPr="00B70FE1">
        <w:rPr>
          <w:b/>
          <w:bCs/>
        </w:rPr>
        <w:t>4. Expected Contributions</w:t>
      </w:r>
    </w:p>
    <w:p w14:paraId="1F9F102C" w14:textId="77777777" w:rsidR="00B70FE1" w:rsidRPr="00B70FE1" w:rsidRDefault="00B70FE1" w:rsidP="00B70FE1">
      <w:r w:rsidRPr="00B70FE1">
        <w:t>The project is expected to show that repayment behavior is the dominant predictor of default risk, while financial variables provide more limited independent information once behavioral variables are included. It also aims to demonstrate that coefficient estimates are sensitive to model specification in the presence of multicollinearity, making naive interpretations of variable importance unreliable.</w:t>
      </w:r>
    </w:p>
    <w:p w14:paraId="343C2D72" w14:textId="77777777" w:rsidR="00B70FE1" w:rsidRPr="00B70FE1" w:rsidRDefault="00B70FE1" w:rsidP="00B70FE1">
      <w:r w:rsidRPr="00B70FE1">
        <w:t>A key expected result is that repayment behavior can be effectively summarized using low-dimensional features such as the number of delayed months or maximum delay, without significant loss of predictive power. This would suggest that the full set of repayment variables contains substantial redundancy and that simpler representations can improve both model stability and interpretability.</w:t>
      </w:r>
    </w:p>
    <w:p w14:paraId="03A83081" w14:textId="77777777" w:rsidR="00B70FE1" w:rsidRPr="00B70FE1" w:rsidRDefault="00B70FE1" w:rsidP="00B70FE1">
      <w:pPr>
        <w:rPr>
          <w:b/>
          <w:bCs/>
        </w:rPr>
      </w:pPr>
      <w:r w:rsidRPr="00B70FE1">
        <w:rPr>
          <w:b/>
          <w:bCs/>
        </w:rPr>
        <w:lastRenderedPageBreak/>
        <w:t>[Model performance comparison table]</w:t>
      </w:r>
      <w:r w:rsidRPr="00B70FE1">
        <w:rPr>
          <w:b/>
          <w:bCs/>
        </w:rPr>
        <w:br/>
        <w:t>[AUC comparison across model specifications]</w:t>
      </w:r>
      <w:r w:rsidRPr="00B70FE1">
        <w:rPr>
          <w:b/>
          <w:bCs/>
        </w:rPr>
        <w:br/>
        <w:t>[Coefficient comparison across model specifications]</w:t>
      </w:r>
    </w:p>
    <w:p w14:paraId="66598048" w14:textId="77777777" w:rsidR="00B70FE1" w:rsidRPr="00B70FE1" w:rsidRDefault="00B70FE1" w:rsidP="00B70FE1">
      <w:pPr>
        <w:rPr>
          <w:b/>
          <w:bCs/>
        </w:rPr>
      </w:pPr>
      <w:r w:rsidRPr="00B70FE1">
        <w:rPr>
          <w:b/>
          <w:bCs/>
        </w:rPr>
        <w:pict w14:anchorId="09D4E7CA">
          <v:rect id="_x0000_i1441" style="width:0;height:1.5pt" o:hralign="center" o:hrstd="t" o:hr="t" fillcolor="#a0a0a0" stroked="f"/>
        </w:pict>
      </w:r>
    </w:p>
    <w:p w14:paraId="129B2592" w14:textId="77777777" w:rsidR="00B70FE1" w:rsidRPr="00B70FE1" w:rsidRDefault="00B70FE1" w:rsidP="00B70FE1">
      <w:pPr>
        <w:rPr>
          <w:b/>
          <w:bCs/>
        </w:rPr>
      </w:pPr>
      <w:r w:rsidRPr="00B70FE1">
        <w:rPr>
          <w:b/>
          <w:bCs/>
        </w:rPr>
        <w:t>5. Feasibility</w:t>
      </w:r>
    </w:p>
    <w:p w14:paraId="64FD1C97" w14:textId="77777777" w:rsidR="00B70FE1" w:rsidRPr="00B70FE1" w:rsidRDefault="00B70FE1" w:rsidP="00B70FE1">
      <w:r w:rsidRPr="00B70FE1">
        <w:t xml:space="preserve">The dataset is well-structured and contains no major missing data issues, making it suitable for regression analysis without extensive preprocessing. All proposed methods can be implemented using standard Python libraries, including pandas, </w:t>
      </w:r>
      <w:proofErr w:type="spellStart"/>
      <w:r w:rsidRPr="00B70FE1">
        <w:t>statsmodels</w:t>
      </w:r>
      <w:proofErr w:type="spellEnd"/>
      <w:r w:rsidRPr="00B70FE1">
        <w:t>, and scikit-learn.</w:t>
      </w:r>
    </w:p>
    <w:p w14:paraId="5D3EC2CB" w14:textId="77777777" w:rsidR="00B70FE1" w:rsidRPr="00B70FE1" w:rsidRDefault="00B70FE1" w:rsidP="00B70FE1">
      <w:r w:rsidRPr="00B70FE1">
        <w:t>The scope of the project is manageable within the available timeframe. The analysis can be scaled depending on findings, with the option to focus more deeply on coefficient interpretation or feature representation if needed. The combination of clear data structure, established methods, and a focused research question ensures that the project is feasible and can produce meaningful results.</w:t>
      </w:r>
    </w:p>
    <w:p w14:paraId="1A49D225" w14:textId="77777777" w:rsidR="003E4C04" w:rsidRPr="00B70FE1" w:rsidRDefault="003E4C04" w:rsidP="00B70FE1"/>
    <w:sectPr w:rsidR="003E4C04" w:rsidRPr="00B70FE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043FB"/>
    <w:multiLevelType w:val="multilevel"/>
    <w:tmpl w:val="8E38A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D20B45"/>
    <w:multiLevelType w:val="multilevel"/>
    <w:tmpl w:val="0756B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993EE4"/>
    <w:multiLevelType w:val="multilevel"/>
    <w:tmpl w:val="D04C9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F47B86"/>
    <w:multiLevelType w:val="multilevel"/>
    <w:tmpl w:val="31329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E80395"/>
    <w:multiLevelType w:val="multilevel"/>
    <w:tmpl w:val="407E7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376BAB"/>
    <w:multiLevelType w:val="multilevel"/>
    <w:tmpl w:val="AAD2B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844E39"/>
    <w:multiLevelType w:val="multilevel"/>
    <w:tmpl w:val="72268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174767"/>
    <w:multiLevelType w:val="multilevel"/>
    <w:tmpl w:val="D8B2A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93474E"/>
    <w:multiLevelType w:val="multilevel"/>
    <w:tmpl w:val="613A5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AC6FDE"/>
    <w:multiLevelType w:val="multilevel"/>
    <w:tmpl w:val="D2F24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F65FF1"/>
    <w:multiLevelType w:val="multilevel"/>
    <w:tmpl w:val="E8C8D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3B6C85"/>
    <w:multiLevelType w:val="multilevel"/>
    <w:tmpl w:val="01020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583C17"/>
    <w:multiLevelType w:val="multilevel"/>
    <w:tmpl w:val="0366B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D3B3758"/>
    <w:multiLevelType w:val="multilevel"/>
    <w:tmpl w:val="DE10B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501489"/>
    <w:multiLevelType w:val="multilevel"/>
    <w:tmpl w:val="01AEE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FE90AE9"/>
    <w:multiLevelType w:val="multilevel"/>
    <w:tmpl w:val="A008D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925B1D"/>
    <w:multiLevelType w:val="multilevel"/>
    <w:tmpl w:val="678AB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15821B2"/>
    <w:multiLevelType w:val="multilevel"/>
    <w:tmpl w:val="E9C00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28C454E"/>
    <w:multiLevelType w:val="multilevel"/>
    <w:tmpl w:val="057846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C3F5844"/>
    <w:multiLevelType w:val="multilevel"/>
    <w:tmpl w:val="FEC09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F0414F9"/>
    <w:multiLevelType w:val="multilevel"/>
    <w:tmpl w:val="97980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25A01A5"/>
    <w:multiLevelType w:val="multilevel"/>
    <w:tmpl w:val="9A8EA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3E708DA"/>
    <w:multiLevelType w:val="multilevel"/>
    <w:tmpl w:val="97783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4F74E7A"/>
    <w:multiLevelType w:val="multilevel"/>
    <w:tmpl w:val="AD1A5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72853D8"/>
    <w:multiLevelType w:val="multilevel"/>
    <w:tmpl w:val="89E22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ADD1482"/>
    <w:multiLevelType w:val="multilevel"/>
    <w:tmpl w:val="E3E2F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D66503D"/>
    <w:multiLevelType w:val="multilevel"/>
    <w:tmpl w:val="EF08C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ED42634"/>
    <w:multiLevelType w:val="multilevel"/>
    <w:tmpl w:val="83A0F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18A2634"/>
    <w:multiLevelType w:val="multilevel"/>
    <w:tmpl w:val="94C25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2E06486"/>
    <w:multiLevelType w:val="multilevel"/>
    <w:tmpl w:val="4F8AE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78C21FE"/>
    <w:multiLevelType w:val="multilevel"/>
    <w:tmpl w:val="878ED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7B134B4"/>
    <w:multiLevelType w:val="multilevel"/>
    <w:tmpl w:val="2774D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9AC4515"/>
    <w:multiLevelType w:val="multilevel"/>
    <w:tmpl w:val="F98AA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3263667"/>
    <w:multiLevelType w:val="multilevel"/>
    <w:tmpl w:val="B2702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C825191"/>
    <w:multiLevelType w:val="multilevel"/>
    <w:tmpl w:val="F968B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8272309">
    <w:abstractNumId w:val="0"/>
  </w:num>
  <w:num w:numId="2" w16cid:durableId="1172641748">
    <w:abstractNumId w:val="13"/>
  </w:num>
  <w:num w:numId="3" w16cid:durableId="1002198112">
    <w:abstractNumId w:val="30"/>
  </w:num>
  <w:num w:numId="4" w16cid:durableId="275718649">
    <w:abstractNumId w:val="9"/>
  </w:num>
  <w:num w:numId="5" w16cid:durableId="1923682826">
    <w:abstractNumId w:val="27"/>
  </w:num>
  <w:num w:numId="6" w16cid:durableId="729613473">
    <w:abstractNumId w:val="12"/>
  </w:num>
  <w:num w:numId="7" w16cid:durableId="339164081">
    <w:abstractNumId w:val="23"/>
  </w:num>
  <w:num w:numId="8" w16cid:durableId="1168784878">
    <w:abstractNumId w:val="14"/>
  </w:num>
  <w:num w:numId="9" w16cid:durableId="125054051">
    <w:abstractNumId w:val="1"/>
  </w:num>
  <w:num w:numId="10" w16cid:durableId="1251744116">
    <w:abstractNumId w:val="25"/>
  </w:num>
  <w:num w:numId="11" w16cid:durableId="1527600603">
    <w:abstractNumId w:val="3"/>
  </w:num>
  <w:num w:numId="12" w16cid:durableId="238632972">
    <w:abstractNumId w:val="32"/>
  </w:num>
  <w:num w:numId="13" w16cid:durableId="844174616">
    <w:abstractNumId w:val="26"/>
  </w:num>
  <w:num w:numId="14" w16cid:durableId="1193425104">
    <w:abstractNumId w:val="29"/>
  </w:num>
  <w:num w:numId="15" w16cid:durableId="1626807848">
    <w:abstractNumId w:val="10"/>
  </w:num>
  <w:num w:numId="16" w16cid:durableId="1203787216">
    <w:abstractNumId w:val="7"/>
  </w:num>
  <w:num w:numId="17" w16cid:durableId="900946403">
    <w:abstractNumId w:val="19"/>
  </w:num>
  <w:num w:numId="18" w16cid:durableId="195048086">
    <w:abstractNumId w:val="21"/>
  </w:num>
  <w:num w:numId="19" w16cid:durableId="925574100">
    <w:abstractNumId w:val="28"/>
  </w:num>
  <w:num w:numId="20" w16cid:durableId="972835359">
    <w:abstractNumId w:val="5"/>
  </w:num>
  <w:num w:numId="21" w16cid:durableId="1883401492">
    <w:abstractNumId w:val="16"/>
  </w:num>
  <w:num w:numId="22" w16cid:durableId="460536476">
    <w:abstractNumId w:val="24"/>
  </w:num>
  <w:num w:numId="23" w16cid:durableId="1927884937">
    <w:abstractNumId w:val="11"/>
  </w:num>
  <w:num w:numId="24" w16cid:durableId="320617727">
    <w:abstractNumId w:val="18"/>
  </w:num>
  <w:num w:numId="25" w16cid:durableId="179315566">
    <w:abstractNumId w:val="4"/>
  </w:num>
  <w:num w:numId="26" w16cid:durableId="1637182945">
    <w:abstractNumId w:val="33"/>
  </w:num>
  <w:num w:numId="27" w16cid:durableId="2074811234">
    <w:abstractNumId w:val="8"/>
  </w:num>
  <w:num w:numId="28" w16cid:durableId="1717923666">
    <w:abstractNumId w:val="2"/>
  </w:num>
  <w:num w:numId="29" w16cid:durableId="1757282643">
    <w:abstractNumId w:val="15"/>
  </w:num>
  <w:num w:numId="30" w16cid:durableId="289938299">
    <w:abstractNumId w:val="34"/>
  </w:num>
  <w:num w:numId="31" w16cid:durableId="838273383">
    <w:abstractNumId w:val="31"/>
  </w:num>
  <w:num w:numId="32" w16cid:durableId="309870791">
    <w:abstractNumId w:val="22"/>
  </w:num>
  <w:num w:numId="33" w16cid:durableId="118380427">
    <w:abstractNumId w:val="20"/>
  </w:num>
  <w:num w:numId="34" w16cid:durableId="1193878010">
    <w:abstractNumId w:val="17"/>
  </w:num>
  <w:num w:numId="35" w16cid:durableId="94064954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5D76"/>
    <w:rsid w:val="00024E0C"/>
    <w:rsid w:val="00176EC6"/>
    <w:rsid w:val="001C6518"/>
    <w:rsid w:val="00335AAD"/>
    <w:rsid w:val="003E4C04"/>
    <w:rsid w:val="00536AA7"/>
    <w:rsid w:val="005C4447"/>
    <w:rsid w:val="00774D7A"/>
    <w:rsid w:val="00955D76"/>
    <w:rsid w:val="009E5CA7"/>
    <w:rsid w:val="00B70FE1"/>
    <w:rsid w:val="00DA36FE"/>
    <w:rsid w:val="00FB6D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42684B"/>
  <w15:chartTrackingRefBased/>
  <w15:docId w15:val="{4B602A29-305B-4666-8143-9591967FD2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55D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55D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55D7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55D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55D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55D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5D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5D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5D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5D7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55D7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55D7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55D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55D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55D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5D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5D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5D76"/>
    <w:rPr>
      <w:rFonts w:eastAsiaTheme="majorEastAsia" w:cstheme="majorBidi"/>
      <w:color w:val="272727" w:themeColor="text1" w:themeTint="D8"/>
    </w:rPr>
  </w:style>
  <w:style w:type="paragraph" w:styleId="Title">
    <w:name w:val="Title"/>
    <w:basedOn w:val="Normal"/>
    <w:next w:val="Normal"/>
    <w:link w:val="TitleChar"/>
    <w:uiPriority w:val="10"/>
    <w:qFormat/>
    <w:rsid w:val="00955D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5D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5D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5D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5D76"/>
    <w:pPr>
      <w:spacing w:before="160"/>
      <w:jc w:val="center"/>
    </w:pPr>
    <w:rPr>
      <w:i/>
      <w:iCs/>
      <w:color w:val="404040" w:themeColor="text1" w:themeTint="BF"/>
    </w:rPr>
  </w:style>
  <w:style w:type="character" w:customStyle="1" w:styleId="QuoteChar">
    <w:name w:val="Quote Char"/>
    <w:basedOn w:val="DefaultParagraphFont"/>
    <w:link w:val="Quote"/>
    <w:uiPriority w:val="29"/>
    <w:rsid w:val="00955D76"/>
    <w:rPr>
      <w:i/>
      <w:iCs/>
      <w:color w:val="404040" w:themeColor="text1" w:themeTint="BF"/>
    </w:rPr>
  </w:style>
  <w:style w:type="paragraph" w:styleId="ListParagraph">
    <w:name w:val="List Paragraph"/>
    <w:basedOn w:val="Normal"/>
    <w:uiPriority w:val="34"/>
    <w:qFormat/>
    <w:rsid w:val="00955D76"/>
    <w:pPr>
      <w:ind w:left="720"/>
      <w:contextualSpacing/>
    </w:pPr>
  </w:style>
  <w:style w:type="character" w:styleId="IntenseEmphasis">
    <w:name w:val="Intense Emphasis"/>
    <w:basedOn w:val="DefaultParagraphFont"/>
    <w:uiPriority w:val="21"/>
    <w:qFormat/>
    <w:rsid w:val="00955D76"/>
    <w:rPr>
      <w:i/>
      <w:iCs/>
      <w:color w:val="0F4761" w:themeColor="accent1" w:themeShade="BF"/>
    </w:rPr>
  </w:style>
  <w:style w:type="paragraph" w:styleId="IntenseQuote">
    <w:name w:val="Intense Quote"/>
    <w:basedOn w:val="Normal"/>
    <w:next w:val="Normal"/>
    <w:link w:val="IntenseQuoteChar"/>
    <w:uiPriority w:val="30"/>
    <w:qFormat/>
    <w:rsid w:val="00955D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55D76"/>
    <w:rPr>
      <w:i/>
      <w:iCs/>
      <w:color w:val="0F4761" w:themeColor="accent1" w:themeShade="BF"/>
    </w:rPr>
  </w:style>
  <w:style w:type="character" w:styleId="IntenseReference">
    <w:name w:val="Intense Reference"/>
    <w:basedOn w:val="DefaultParagraphFont"/>
    <w:uiPriority w:val="32"/>
    <w:qFormat/>
    <w:rsid w:val="00955D7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486</TotalTime>
  <Pages>4</Pages>
  <Words>933</Words>
  <Characters>6448</Characters>
  <Application>Microsoft Office Word</Application>
  <DocSecurity>0</DocSecurity>
  <Lines>115</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Xu</dc:creator>
  <cp:keywords/>
  <dc:description/>
  <cp:lastModifiedBy>Kevin Xu</cp:lastModifiedBy>
  <cp:revision>4</cp:revision>
  <dcterms:created xsi:type="dcterms:W3CDTF">2026-04-06T02:55:00Z</dcterms:created>
  <dcterms:modified xsi:type="dcterms:W3CDTF">2026-04-07T22:43:00Z</dcterms:modified>
</cp:coreProperties>
</file>