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t6ijo8z6ucm7" w:id="0"/>
      <w:bookmarkEnd w:id="0"/>
      <w:r w:rsidDel="00000000" w:rsidR="00000000" w:rsidRPr="00000000">
        <w:rPr>
          <w:rtl w:val="0"/>
        </w:rPr>
        <w:t xml:space="preserve"> Arquitectura de Software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p3uqiycq0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arquitectura seleccionada para el desarrollo del </w:t>
      </w:r>
      <w:r w:rsidDel="00000000" w:rsidR="00000000" w:rsidRPr="00000000">
        <w:rPr>
          <w:i w:val="1"/>
          <w:rtl w:val="0"/>
        </w:rPr>
        <w:t xml:space="preserve">Sistema de Biblioteca Dirección General de Aeronáutica Civil(DGAC)</w:t>
      </w:r>
      <w:r w:rsidDel="00000000" w:rsidR="00000000" w:rsidRPr="00000000">
        <w:rPr>
          <w:rtl w:val="0"/>
        </w:rPr>
        <w:t xml:space="preserve"> corresponde a una </w:t>
      </w:r>
      <w:r w:rsidDel="00000000" w:rsidR="00000000" w:rsidRPr="00000000">
        <w:rPr>
          <w:b w:val="1"/>
          <w:rtl w:val="0"/>
        </w:rPr>
        <w:t xml:space="preserve">arquitectura de microservicios</w:t>
      </w:r>
      <w:r w:rsidDel="00000000" w:rsidR="00000000" w:rsidRPr="00000000">
        <w:rPr>
          <w:rtl w:val="0"/>
        </w:rPr>
        <w:t xml:space="preserve">. Esta decisión se fundamenta en la necesidad de contar con un sistema modular, escalable y fácil de mantener, en el que cada funcionalidad crítica (usuarios, catálogo, préstamos y reportes) pueda desarrollarse, desplegarse y mantenerse de manera independiente.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p7zhg7cr7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Diagrama de Arquitectura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 se presenta el diagrama de componentes UML que refleja la distribución de microservicios y la interacción con el usuario final: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442915" cy="17366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2915" cy="1736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microservicios definidos son: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: Gestión de registro, login, roles y perfiles.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Catálogo</w:t>
      </w:r>
      <w:r w:rsidDel="00000000" w:rsidR="00000000" w:rsidRPr="00000000">
        <w:rPr>
          <w:rtl w:val="0"/>
        </w:rPr>
        <w:t xml:space="preserve">: Administración de libros y materiales bibliográficos.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Préstamos</w:t>
      </w:r>
      <w:r w:rsidDel="00000000" w:rsidR="00000000" w:rsidRPr="00000000">
        <w:rPr>
          <w:rtl w:val="0"/>
        </w:rPr>
        <w:t xml:space="preserve">: Control de préstamos, devoluciones y renovaciones.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Reportes</w:t>
      </w:r>
      <w:r w:rsidDel="00000000" w:rsidR="00000000" w:rsidRPr="00000000">
        <w:rPr>
          <w:rtl w:val="0"/>
        </w:rPr>
        <w:t xml:space="preserve">: Generación de reportes estadísticos de uso y circulación.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t5463cp8f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Definición de APIs REST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 Usuarios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/usuarios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Registrar usuario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/login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Iniciar sesión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/usuarios/{id}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Consultar usuario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/usuarios/{id}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Actualizar usuario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/usuarios/{id}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Eliminar usuario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 Catálogo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/libros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Registrar libro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/libros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Listar libros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/libros/{id}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Ver detalle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/libros/{id}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Modificar libro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/libros/{id}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Eliminar libro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 Préstamos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/prestamos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Registrar préstamo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/prestamos/{id}/devolucion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Registrar devolución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/prestamos/{id}/renovacion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Renovar préstamo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/prestamos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Listar préstamos activos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 Reportes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/reportes/usuarios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Reporte de usuarios activos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/reportes/materiales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Reporte de circulación de materiales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d2m3nuqq9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Modelo de Datos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microservicio cuenta con su propio modelo de datos en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con el fin de mantener independencia y escalabilidad.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Usuario (</w:t>
      </w:r>
      <w:r w:rsidDel="00000000" w:rsidR="00000000" w:rsidRPr="00000000">
        <w:rPr>
          <w:i w:val="1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, nombre, email, contraseña, rol, fecha_creacion)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Catálogo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Libro (</w:t>
      </w:r>
      <w:r w:rsidDel="00000000" w:rsidR="00000000" w:rsidRPr="00000000">
        <w:rPr>
          <w:i w:val="1"/>
          <w:rtl w:val="0"/>
        </w:rPr>
        <w:t xml:space="preserve">id_libro</w:t>
      </w:r>
      <w:r w:rsidDel="00000000" w:rsidR="00000000" w:rsidRPr="00000000">
        <w:rPr>
          <w:rtl w:val="0"/>
        </w:rPr>
        <w:t xml:space="preserve">, título, autor, año, categoría, estado)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Préstamos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Prestamo (</w:t>
      </w:r>
      <w:r w:rsidDel="00000000" w:rsidR="00000000" w:rsidRPr="00000000">
        <w:rPr>
          <w:i w:val="1"/>
          <w:rtl w:val="0"/>
        </w:rPr>
        <w:t xml:space="preserve">id_prestamo</w:t>
      </w:r>
      <w:r w:rsidDel="00000000" w:rsidR="00000000" w:rsidRPr="00000000">
        <w:rPr>
          <w:rtl w:val="0"/>
        </w:rPr>
        <w:t xml:space="preserve">, usuario_id, libro_id, fecha_prestamo, fecha_devolucion, estado)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generan a partir de las tablas anteriores, sin necesidad de entidades adicionales.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(Aquí se recomienda incluir un diagrama ER sencillo con estas entidades y relaciones).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r97nz4vuo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Tecnologías y Herramientas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Lenguaje y Framework Backend:</w:t>
      </w:r>
      <w:r w:rsidDel="00000000" w:rsidR="00000000" w:rsidRPr="00000000">
        <w:rPr>
          <w:rtl w:val="0"/>
        </w:rPr>
        <w:t xml:space="preserve"> Python – Django Rest Framework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MySQL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Comunicación:</w:t>
      </w:r>
      <w:r w:rsidDel="00000000" w:rsidR="00000000" w:rsidRPr="00000000">
        <w:rPr>
          <w:rtl w:val="0"/>
        </w:rPr>
        <w:t xml:space="preserve"> APIs REST (JSON sobre HTTP)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versiones:</w:t>
      </w:r>
      <w:r w:rsidDel="00000000" w:rsidR="00000000" w:rsidRPr="00000000">
        <w:rPr>
          <w:rtl w:val="0"/>
        </w:rPr>
        <w:t xml:space="preserve"> Git/GitHub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 de despliegue inicial:</w:t>
      </w:r>
      <w:r w:rsidDel="00000000" w:rsidR="00000000" w:rsidRPr="00000000">
        <w:rPr>
          <w:rtl w:val="0"/>
        </w:rPr>
        <w:t xml:space="preserve"> Localhost (MVP), con proyección a contenedores Docker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11k5fohbm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Seguridad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Autenticación mediante </w:t>
      </w:r>
      <w:r w:rsidDel="00000000" w:rsidR="00000000" w:rsidRPr="00000000">
        <w:rPr>
          <w:b w:val="1"/>
          <w:rtl w:val="0"/>
        </w:rPr>
        <w:t xml:space="preserve">tokens JWT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Contraseñas encriptadas en la base de datos.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roles (Administrador / Usuario lector).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Restricción de acceso a endpoints según permisos.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fgzuq5d2k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Escalabilidad futura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modular de microservicios permite: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Incorporar nuevas funcionalidades sin afectar los módulos existentes.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Migrar a entornos de despliegue con </w:t>
      </w:r>
      <w:r w:rsidDel="00000000" w:rsidR="00000000" w:rsidRPr="00000000">
        <w:rPr>
          <w:b w:val="1"/>
          <w:rtl w:val="0"/>
        </w:rPr>
        <w:t xml:space="preserve">contenedores (Docker)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un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 para centralizar accesos y balancear carga.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Extender la solución a otras bibliotecas de la DGAC u otras instituciones.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