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05D7A5" w14:paraId="59E42E6E" wp14:textId="31F83FED">
      <w:pPr>
        <w:pStyle w:val="Normal"/>
        <w:ind w:left="708"/>
        <w:jc w:val="center"/>
      </w:pPr>
      <w:r w:rsidR="74A9C168">
        <w:drawing>
          <wp:inline xmlns:wp14="http://schemas.microsoft.com/office/word/2010/wordprocessingDrawing" wp14:editId="1B05D7A5" wp14:anchorId="719B3B65">
            <wp:extent cx="2797423" cy="2695575"/>
            <wp:effectExtent l="0" t="0" r="0" b="0"/>
            <wp:docPr id="91219338" name="" descr="Universidad Distrital Francisco José de Caldas | Bogotá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52808618f9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23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05D7A5" w14:paraId="5C1A07E2" wp14:textId="12916763">
      <w:pPr>
        <w:pStyle w:val="Normal"/>
        <w:ind w:left="708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B05D7A5" w:rsidR="5A538AE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Seminario de Ingeniería de Software </w:t>
      </w:r>
    </w:p>
    <w:p w:rsidR="1B05D7A5" w:rsidP="1B05D7A5" w:rsidRDefault="1B05D7A5" w14:paraId="031055B9" w14:textId="0988A04A">
      <w:pPr>
        <w:pStyle w:val="Normal"/>
        <w:ind w:left="708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A538AE1" w:rsidP="1B05D7A5" w:rsidRDefault="5A538AE1" w14:paraId="48AF98F6" w14:textId="3EF3217E">
      <w:pPr>
        <w:pStyle w:val="Normal"/>
        <w:ind w:left="708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B05D7A5" w:rsidR="5A538AE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Docente </w:t>
      </w:r>
    </w:p>
    <w:p w:rsidR="5A538AE1" w:rsidP="1B05D7A5" w:rsidRDefault="5A538AE1" w14:paraId="643CB01E" w14:textId="169DB3A2">
      <w:pPr>
        <w:pStyle w:val="Normal"/>
        <w:ind w:left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B05D7A5" w:rsidR="5A538AE1">
        <w:rPr>
          <w:rFonts w:ascii="Times New Roman" w:hAnsi="Times New Roman" w:eastAsia="Times New Roman" w:cs="Times New Roman"/>
          <w:sz w:val="24"/>
          <w:szCs w:val="24"/>
        </w:rPr>
        <w:t xml:space="preserve">Santiago Salazar Fajardo </w:t>
      </w:r>
    </w:p>
    <w:p w:rsidR="1B05D7A5" w:rsidP="1B05D7A5" w:rsidRDefault="1B05D7A5" w14:paraId="3866B86E" w14:textId="582C3C46">
      <w:pPr>
        <w:pStyle w:val="Normal"/>
        <w:ind w:left="708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A538AE1" w:rsidP="1B05D7A5" w:rsidRDefault="5A538AE1" w14:paraId="397952BE" w14:textId="1C6C345A">
      <w:pPr>
        <w:pStyle w:val="Normal"/>
        <w:ind w:left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B05D7A5" w:rsidR="5A538AE1">
        <w:rPr>
          <w:rFonts w:ascii="Times New Roman" w:hAnsi="Times New Roman" w:eastAsia="Times New Roman" w:cs="Times New Roman"/>
          <w:sz w:val="24"/>
          <w:szCs w:val="24"/>
        </w:rPr>
        <w:t>2023, Marzo</w:t>
      </w:r>
      <w:r w:rsidRPr="1B05D7A5" w:rsidR="5A538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A538AE1" w:rsidP="1B05D7A5" w:rsidRDefault="5A538AE1" w14:paraId="5FEA4060" w14:textId="56317C2A">
      <w:pPr>
        <w:pStyle w:val="Normal"/>
        <w:ind w:left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B05D7A5" w:rsidR="5A538AE1">
        <w:rPr>
          <w:rFonts w:ascii="Times New Roman" w:hAnsi="Times New Roman" w:eastAsia="Times New Roman" w:cs="Times New Roman"/>
          <w:sz w:val="24"/>
          <w:szCs w:val="24"/>
        </w:rPr>
        <w:t>Bogotá</w:t>
      </w:r>
    </w:p>
    <w:p w:rsidR="1B05D7A5" w:rsidP="1B05D7A5" w:rsidRDefault="1B05D7A5" w14:paraId="515F8B75" w14:textId="50D444B2">
      <w:pPr>
        <w:pStyle w:val="Normal"/>
        <w:ind w:left="708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B05D7A5" w:rsidP="1B05D7A5" w:rsidRDefault="1B05D7A5" w14:paraId="4E624B8D" w14:textId="64AA5538">
      <w:pPr>
        <w:pStyle w:val="Normal"/>
        <w:ind w:left="708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A538AE1" w:rsidP="1B05D7A5" w:rsidRDefault="5A538AE1" w14:paraId="6ACD3477" w14:textId="11D82DEF">
      <w:pPr>
        <w:pStyle w:val="Normal"/>
        <w:ind w:left="708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B05D7A5" w:rsidR="5A538AE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Tema:</w:t>
      </w:r>
    </w:p>
    <w:p w:rsidR="5A538AE1" w:rsidP="1B05D7A5" w:rsidRDefault="5A538AE1" w14:paraId="64BDF9E6" w14:textId="46B6D782">
      <w:pPr>
        <w:pStyle w:val="Normal"/>
        <w:ind w:left="708"/>
        <w:jc w:val="center"/>
      </w:pPr>
      <w:r w:rsidRPr="1B05D7A5" w:rsidR="5A538AE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Modelos prometidos en la arquitectura</w:t>
      </w:r>
    </w:p>
    <w:p w:rsidR="1B05D7A5" w:rsidP="1B05D7A5" w:rsidRDefault="1B05D7A5" w14:paraId="0B8D81EC" w14:textId="26FF0FA0">
      <w:pPr>
        <w:pStyle w:val="Normal"/>
        <w:ind w:left="708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B05D7A5" w:rsidP="1B05D7A5" w:rsidRDefault="1B05D7A5" w14:paraId="3C619547" w14:textId="00A77212">
      <w:pPr>
        <w:pStyle w:val="Normal"/>
        <w:ind w:left="708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A538AE1" w:rsidP="1B05D7A5" w:rsidRDefault="5A538AE1" w14:paraId="24D94E18" w14:textId="3E66EF56">
      <w:pPr>
        <w:pStyle w:val="Normal"/>
        <w:ind w:left="708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B05D7A5" w:rsidR="5A538AE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Grupo:</w:t>
      </w:r>
    </w:p>
    <w:p w:rsidR="5A538AE1" w:rsidP="1B05D7A5" w:rsidRDefault="5A538AE1" w14:paraId="04AB9220" w14:textId="22CA40E1">
      <w:pPr>
        <w:pStyle w:val="Normal"/>
        <w:ind w:left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B05D7A5" w:rsidR="5A538AE1">
        <w:rPr>
          <w:rFonts w:ascii="Times New Roman" w:hAnsi="Times New Roman" w:eastAsia="Times New Roman" w:cs="Times New Roman"/>
          <w:sz w:val="24"/>
          <w:szCs w:val="24"/>
        </w:rPr>
        <w:t>Franchesco</w:t>
      </w:r>
      <w:proofErr w:type="spellEnd"/>
      <w:r w:rsidRPr="1B05D7A5" w:rsidR="5A538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B05D7A5" w:rsidR="5A538AE1">
        <w:rPr>
          <w:rFonts w:ascii="Times New Roman" w:hAnsi="Times New Roman" w:eastAsia="Times New Roman" w:cs="Times New Roman"/>
          <w:sz w:val="24"/>
          <w:szCs w:val="24"/>
        </w:rPr>
        <w:t>Virgolini</w:t>
      </w:r>
      <w:proofErr w:type="spellEnd"/>
      <w:r w:rsidRPr="1B05D7A5" w:rsidR="5A538AE1">
        <w:rPr>
          <w:rFonts w:ascii="Times New Roman" w:hAnsi="Times New Roman" w:eastAsia="Times New Roman" w:cs="Times New Roman"/>
          <w:sz w:val="24"/>
          <w:szCs w:val="24"/>
        </w:rPr>
        <w:t xml:space="preserve"> Fiuun!</w:t>
      </w:r>
    </w:p>
    <w:p w:rsidR="1B05D7A5" w:rsidP="1B05D7A5" w:rsidRDefault="1B05D7A5" w14:paraId="1BE5267B" w14:textId="209C1F2F">
      <w:pPr>
        <w:pStyle w:val="Normal"/>
        <w:ind w:left="708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A538AE1" w:rsidP="1B05D7A5" w:rsidRDefault="5A538AE1" w14:paraId="4C0B561D" w14:textId="7EACD01A">
      <w:pPr>
        <w:pStyle w:val="Normal"/>
        <w:ind w:left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B05D7A5" w:rsidR="5A538AE1">
        <w:rPr>
          <w:rFonts w:ascii="Times New Roman" w:hAnsi="Times New Roman" w:eastAsia="Times New Roman" w:cs="Times New Roman"/>
          <w:sz w:val="24"/>
          <w:szCs w:val="24"/>
        </w:rPr>
        <w:t>Marcela del Pilar Porras Quevedo- 20191020131</w:t>
      </w:r>
    </w:p>
    <w:p w:rsidR="5A538AE1" w:rsidP="1B05D7A5" w:rsidRDefault="5A538AE1" w14:paraId="6A7D0B1D" w14:textId="3D698E7E">
      <w:pPr>
        <w:pStyle w:val="Normal"/>
        <w:ind w:left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B05D7A5" w:rsidR="5A538AE1">
        <w:rPr>
          <w:rFonts w:ascii="Times New Roman" w:hAnsi="Times New Roman" w:eastAsia="Times New Roman" w:cs="Times New Roman"/>
          <w:sz w:val="24"/>
          <w:szCs w:val="24"/>
        </w:rPr>
        <w:t xml:space="preserve">Juan Sebastián González Forero- </w:t>
      </w:r>
      <w:r w:rsidRPr="1B05D7A5" w:rsidR="22AD8E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20181020029</w:t>
      </w:r>
    </w:p>
    <w:p w:rsidR="22AD8E3D" w:rsidP="1B05D7A5" w:rsidRDefault="22AD8E3D" w14:paraId="7D0DF43F" w14:textId="5A90CBAA">
      <w:pPr>
        <w:pStyle w:val="Normal"/>
        <w:ind w:left="708"/>
        <w:jc w:val="center"/>
      </w:pPr>
      <w:r w:rsidRPr="1B05D7A5" w:rsidR="22AD8E3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Mateo Bohórquez Rodríguez – 20162021299</w:t>
      </w:r>
    </w:p>
    <w:p w:rsidR="1B05D7A5" w:rsidP="1B05D7A5" w:rsidRDefault="1B05D7A5" w14:paraId="7BFB2293" w14:textId="16A1CE80">
      <w:pPr>
        <w:pStyle w:val="Normal"/>
        <w:ind w:left="708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1B05D7A5" w:rsidP="1B05D7A5" w:rsidRDefault="1B05D7A5" w14:paraId="14B0727C" w14:textId="23E7908F">
      <w:pPr>
        <w:pStyle w:val="Normal"/>
        <w:ind w:left="708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1B05D7A5" w:rsidP="1B05D7A5" w:rsidRDefault="1B05D7A5" w14:paraId="2E51AC8C" w14:textId="21973EC0">
      <w:pPr>
        <w:pStyle w:val="Normal"/>
        <w:ind w:left="708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1B05D7A5" w:rsidP="1B05D7A5" w:rsidRDefault="1B05D7A5" w14:paraId="1B9FBD7F" w14:textId="0CF41ED4">
      <w:pPr>
        <w:pStyle w:val="Normal"/>
        <w:ind w:left="708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4672341" w:rsidP="1B05D7A5" w:rsidRDefault="24672341" w14:paraId="12E17F14" w14:textId="1F133681">
      <w:pPr>
        <w:pStyle w:val="Normal"/>
        <w:ind w:left="708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1B05D7A5" w:rsidR="246723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Índice </w:t>
      </w:r>
    </w:p>
    <w:p w:rsidR="1B05D7A5" w:rsidP="5900A6FB" w:rsidRDefault="1B05D7A5" w14:paraId="2ACAEE4D" w14:textId="10130D05">
      <w:pPr>
        <w:pStyle w:val="Normal"/>
        <w:ind w:left="708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 el mundo actual las grandes ciudades han evolucionado hacia el crecimiento de los centros comerciales,</w:t>
      </w:r>
    </w:p>
    <w:p w:rsidR="1B05D7A5" w:rsidP="1B05D7A5" w:rsidRDefault="1B05D7A5" w14:paraId="77463197" w14:textId="0FB9BDBE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 los cuales las personas encuentran soluciones de compras, entretenimiento, servicios y comidas. De</w:t>
      </w:r>
    </w:p>
    <w:p w:rsidR="1B05D7A5" w:rsidP="1B05D7A5" w:rsidRDefault="1B05D7A5" w14:paraId="0C70CBE4" w14:textId="7887289B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alguna forma, la sociedad ha remplazado los parques y los establecimientos aislados por estas grandes</w:t>
      </w:r>
    </w:p>
    <w:p w:rsidR="1B05D7A5" w:rsidP="1B05D7A5" w:rsidRDefault="1B05D7A5" w14:paraId="4A659FBA" w14:textId="12AE8838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concentraciones en las cuales toda la familia encuentra en un solo lugar soluciones a sus necesidades. Uno</w:t>
      </w:r>
    </w:p>
    <w:p w:rsidR="1B05D7A5" w:rsidP="1B05D7A5" w:rsidRDefault="1B05D7A5" w14:paraId="685FFBAE" w14:textId="27FE2531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 los grandes motores de impacto y efectividad se da alrededor de las rotondas de comidas, presentes en</w:t>
      </w:r>
    </w:p>
    <w:p w:rsidR="1B05D7A5" w:rsidP="1B05D7A5" w:rsidRDefault="1B05D7A5" w14:paraId="591F1893" w14:textId="3E60CEF0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todos ellos. La rotonda de comidas permite que cada uno de los miembros de un grupo encuentre aquella</w:t>
      </w:r>
    </w:p>
    <w:p w:rsidR="1B05D7A5" w:rsidP="1B05D7A5" w:rsidRDefault="1B05D7A5" w14:paraId="723A83CE" w14:textId="5E99800C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comida que se acomoda a sus gustos o presupuestos individuales, sin necesidad de hacer mayores acuerdos</w:t>
      </w:r>
    </w:p>
    <w:p w:rsidR="1B05D7A5" w:rsidP="1B05D7A5" w:rsidRDefault="1B05D7A5" w14:paraId="0BB2123A" w14:textId="1C298633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sobre dónde ir o qué tipo de comida buscar, como puede suceder con el mismo escenario en locales de</w:t>
      </w:r>
    </w:p>
    <w:p w:rsidR="1B05D7A5" w:rsidP="1B05D7A5" w:rsidRDefault="1B05D7A5" w14:paraId="0FA1F083" w14:textId="30628AA0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restaurantes tradicionales.</w:t>
      </w:r>
    </w:p>
    <w:p w:rsidR="1B05D7A5" w:rsidP="1B05D7A5" w:rsidRDefault="1B05D7A5" w14:paraId="11C76038" w14:textId="389F64EE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Un modelo de rotonda flexible fue implementado en una rotonda en un Centro Comercial de Bogotá en</w:t>
      </w:r>
    </w:p>
    <w:p w:rsidR="1B05D7A5" w:rsidP="1B05D7A5" w:rsidRDefault="1B05D7A5" w14:paraId="38F07C8E" w14:textId="5244C462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años pasados, generando un gran interés en el público. Un comensal podía, por ejemplo, seleccionar la</w:t>
      </w:r>
    </w:p>
    <w:p w:rsidR="1B05D7A5" w:rsidP="1B05D7A5" w:rsidRDefault="1B05D7A5" w14:paraId="0E950CCB" w14:textId="5A63524D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entrada en el restaurante típico, el plato fuerte en la oferta del restaurante italiano y el postre en la oferta</w:t>
      </w:r>
    </w:p>
    <w:p w:rsidR="1B05D7A5" w:rsidP="1B05D7A5" w:rsidRDefault="1B05D7A5" w14:paraId="2F6239B2" w14:textId="2B345D21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del restaurante especializado en estos productos. Esto, por supuesto, para cada uno de los comensales de</w:t>
      </w:r>
    </w:p>
    <w:p w:rsidR="1B05D7A5" w:rsidP="1B05D7A5" w:rsidRDefault="1B05D7A5" w14:paraId="27486C3A" w14:textId="04A07599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una mesa. El grupo de comensales era atendido en la mesa por un único mesero que tomaba un pedido</w:t>
      </w:r>
    </w:p>
    <w:p w:rsidR="1B05D7A5" w:rsidP="1B05D7A5" w:rsidRDefault="1B05D7A5" w14:paraId="4F3FDC09" w14:textId="547BE4D4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unificado y se generaba una única cuenta para el cliente. La contabilidad subyacente para cada uno de los</w:t>
      </w:r>
    </w:p>
    <w:p w:rsidR="1B05D7A5" w:rsidP="1B05D7A5" w:rsidRDefault="1B05D7A5" w14:paraId="09B08D51" w14:textId="7C3C2067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restaurantes era invisible para los comensales.</w:t>
      </w:r>
    </w:p>
    <w:p w:rsidR="1B05D7A5" w:rsidP="1B05D7A5" w:rsidRDefault="1B05D7A5" w14:paraId="042E9AB5" w14:textId="4C00A8F2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 partir de esta idea se concibe el objeto del Consorcio Comidas a Domicilio, CCD, en el cual varias empresas</w:t>
      </w:r>
    </w:p>
    <w:p w:rsidR="1B05D7A5" w:rsidP="1B05D7A5" w:rsidRDefault="1B05D7A5" w14:paraId="1CF31920" w14:textId="29515A52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 comidas rápidas conciben un negocio de una rotonda de comidas basada en internet. Su mercado</w:t>
      </w:r>
    </w:p>
    <w:p w:rsidR="1B05D7A5" w:rsidP="1B05D7A5" w:rsidRDefault="1B05D7A5" w14:paraId="2B2EF335" w14:textId="127755A9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objetivo es el público que está acostumbrado al modelo de rotondas de comidas, pero no se puede</w:t>
      </w:r>
    </w:p>
    <w:p w:rsidR="1B05D7A5" w:rsidP="1B05D7A5" w:rsidRDefault="1B05D7A5" w14:paraId="0A9ACD79" w14:textId="1AC67FC4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desplazar al centro comercial. Esto es muy frecuente en el caso de ciudades congestionadas, horas pico o</w:t>
      </w:r>
    </w:p>
    <w:p w:rsidR="1B05D7A5" w:rsidP="1B05D7A5" w:rsidRDefault="1B05D7A5" w14:paraId="10FBE31E" w14:textId="0CA1A84C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reuniones de trabajo. En ese contexto, CCD ofrece una solución en la cual los clientes encuentran una</w:t>
      </w:r>
    </w:p>
    <w:p w:rsidR="1B05D7A5" w:rsidP="1B05D7A5" w:rsidRDefault="1B05D7A5" w14:paraId="60A43CE0" w14:textId="555CA959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Rotonda Virtual, en la cual pueden hacer pedidos a cualquiera de los restaurantes participantes, generando</w:t>
      </w:r>
    </w:p>
    <w:p w:rsidR="1B05D7A5" w:rsidP="1B05D7A5" w:rsidRDefault="1B05D7A5" w14:paraId="1081043C" w14:textId="2CA022D7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un solo pago, un solo envío a domicilio y un único punto de contacto y atención al público. La Rotonda</w:t>
      </w:r>
    </w:p>
    <w:p w:rsidR="1B05D7A5" w:rsidP="1B05D7A5" w:rsidRDefault="1B05D7A5" w14:paraId="5CDECB38" w14:textId="595303E4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Virtual de CCD ofrece la oportunidad de seleccionar menús, productos individuales estándar o productos</w:t>
      </w:r>
    </w:p>
    <w:p w:rsidR="1B05D7A5" w:rsidP="1B05D7A5" w:rsidRDefault="1B05D7A5" w14:paraId="7863882F" w14:textId="1ED22969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personalizados, según lo que cada uno de los restaurantes permita.</w:t>
      </w:r>
    </w:p>
    <w:p w:rsidR="1B05D7A5" w:rsidP="1B05D7A5" w:rsidRDefault="1B05D7A5" w14:paraId="5E6B7422" w14:textId="2860F1F8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 objetivo de este trabajo es generar un producto de software que permita a CCD ofrecer sus servicios por</w:t>
      </w:r>
    </w:p>
    <w:p w:rsidR="1B05D7A5" w:rsidP="1B05D7A5" w:rsidRDefault="1B05D7A5" w14:paraId="7D69EFD3" w14:textId="6D7FBEF9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internet, de manera confiable y efectiva para los clientes y para los restaurantes participantes en el</w:t>
      </w:r>
    </w:p>
    <w:p w:rsidR="1B05D7A5" w:rsidP="1B05D7A5" w:rsidRDefault="1B05D7A5" w14:paraId="6F07AF70" w14:textId="4810953E">
      <w:pPr>
        <w:pStyle w:val="Normal"/>
        <w:ind w:left="708"/>
        <w:jc w:val="center"/>
      </w:pPr>
      <w:r w:rsidRPr="5900A6FB" w:rsidR="76FF01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consorcio.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591FDF"/>
    <w:rsid w:val="016F1C14"/>
    <w:rsid w:val="1328FDC5"/>
    <w:rsid w:val="1B05D7A5"/>
    <w:rsid w:val="22AD8E3D"/>
    <w:rsid w:val="24672341"/>
    <w:rsid w:val="2885F719"/>
    <w:rsid w:val="49591FDF"/>
    <w:rsid w:val="56340CF2"/>
    <w:rsid w:val="5900A6FB"/>
    <w:rsid w:val="5A538AE1"/>
    <w:rsid w:val="5D8B2BA3"/>
    <w:rsid w:val="60C2CC65"/>
    <w:rsid w:val="625E9CC6"/>
    <w:rsid w:val="6A0F1C2F"/>
    <w:rsid w:val="70E0DDB5"/>
    <w:rsid w:val="74187E77"/>
    <w:rsid w:val="74A9C168"/>
    <w:rsid w:val="76FF014C"/>
    <w:rsid w:val="7C9DA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1FDF"/>
  <w15:chartTrackingRefBased/>
  <w15:docId w15:val="{569F6E57-4E8F-4D74-A8B0-379D34A5BB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52808618f94f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2023-03-29T01:52:00.1618197Z</dcterms:created>
  <dcterms:modified xsi:type="dcterms:W3CDTF">2023-03-29T03:09:33.1132240Z</dcterms:modified>
  <dc:creator>PORRASQUEVEDOMARCELADELPILAR</dc:creator>
  <lastModifiedBy>PORRASQUEVEDOMARCELADELPILAR</lastModifiedBy>
</coreProperties>
</file>