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Sure, here’s a proposal for brand partnerships to sponsor players of Dojo Pool: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Proposal for Brand Partnerships: Sponsoring Dojo Pool Players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Dojo Pool is an innovative and engaging platform that nurtures pool players as they progress through various levels, enhancing their skills and visibility. We are seeking brand partnerships to sponsor our players, providing mutual benefits through increased exposure and engagement.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07">
      <w:pPr>
        <w:spacing w:after="240" w:before="240" w:lineRule="auto"/>
        <w:rPr/>
      </w:pPr>
      <w:r w:rsidDel="00000000" w:rsidR="00000000" w:rsidRPr="00000000">
        <w:rPr>
          <w:rtl w:val="0"/>
        </w:rPr>
        <w:t xml:space="preserve">To establish strategic partnerships with brands that align with the values and goals of Dojo Pool, thereby supporting our players as they advance in their careers and increasing the visibility and viewership of both the players and the sponsoring brands.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Benefits for Sponsors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Increased Brand Visibility</w:t>
      </w:r>
      <w:r w:rsidDel="00000000" w:rsidR="00000000" w:rsidRPr="00000000">
        <w:rPr>
          <w:rtl w:val="0"/>
        </w:rPr>
        <w:t xml:space="preserve">: As players progress through the levels of Dojo Pool, they gain more followers and viewers. Sponsors will benefit from this increased exposure.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Targeted Marketing</w:t>
      </w:r>
      <w:r w:rsidDel="00000000" w:rsidR="00000000" w:rsidRPr="00000000">
        <w:rPr>
          <w:rtl w:val="0"/>
        </w:rPr>
        <w:t xml:space="preserve">: Reach a dedicated and engaged audience of pool enthusiasts and sports fans.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Brand Association</w:t>
      </w:r>
      <w:r w:rsidDel="00000000" w:rsidR="00000000" w:rsidRPr="00000000">
        <w:rPr>
          <w:rtl w:val="0"/>
        </w:rPr>
        <w:t xml:space="preserve">: Align your brand with the positive values of skill development, sportsmanship, and community.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Exclusive Content</w:t>
      </w:r>
      <w:r w:rsidDel="00000000" w:rsidR="00000000" w:rsidRPr="00000000">
        <w:rPr>
          <w:rtl w:val="0"/>
        </w:rPr>
        <w:t xml:space="preserve">: Access to exclusive content featuring sponsored players, including interviews, behind-the-scenes footage, and special events.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Event Participation</w:t>
      </w:r>
      <w:r w:rsidDel="00000000" w:rsidR="00000000" w:rsidRPr="00000000">
        <w:rPr>
          <w:rtl w:val="0"/>
        </w:rPr>
        <w:t xml:space="preserve">: Opportunities to participate in and sponsor Dojo Pool events, tournaments, and live streams.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Sponsorship Tiers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Bronze Level</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Logo placement on player profiles and Dojo Pool website.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Mention in social media posts and newsletters.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Access to exclusive content.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Silver Level</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All Bronze Level benefits.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Logo placement on player apparel and equipment.</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Featured in player interviews and highlight reels.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Gold Level</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All Silver Level benefits.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Prominent logo placement during live streams and events.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Co-branded merchandise opportunities.</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Invitations to exclusive Dojo Pool events.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Implementation Plan</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Player Selection</w:t>
      </w:r>
      <w:r w:rsidDel="00000000" w:rsidR="00000000" w:rsidRPr="00000000">
        <w:rPr>
          <w:rtl w:val="0"/>
        </w:rPr>
        <w:t xml:space="preserve">: Identify and select players who align with the sponsor’s brand values and have a growing following.</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Brand Integration</w:t>
      </w:r>
      <w:r w:rsidDel="00000000" w:rsidR="00000000" w:rsidRPr="00000000">
        <w:rPr>
          <w:rtl w:val="0"/>
        </w:rPr>
        <w:t xml:space="preserve">: Integrate sponsor branding into player profiles, apparel, equipment, and Dojo Pool’s digital platforms.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Content Creation</w:t>
      </w:r>
      <w:r w:rsidDel="00000000" w:rsidR="00000000" w:rsidRPr="00000000">
        <w:rPr>
          <w:rtl w:val="0"/>
        </w:rPr>
        <w:t xml:space="preserve">: Develop and share exclusive content featuring sponsored players, highlighting their journey and achievements.</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Event Collaboration</w:t>
      </w:r>
      <w:r w:rsidDel="00000000" w:rsidR="00000000" w:rsidRPr="00000000">
        <w:rPr>
          <w:rtl w:val="0"/>
        </w:rPr>
        <w:t xml:space="preserve">: Collaborate on events and live streams to maximize exposure and engagement.</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Partnering with Dojo Pool offers brands a unique opportunity to support emerging talent while gaining significant visibility and engagement within the pool and billiards community. We look forward to discussing how we can create a successful partnership that benefits both your brand and our players.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