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2pz4nlcpdvp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2800239" cy="2795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239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Dojo Pool: Revolutionising Social Gaming in Pubs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Dojo Pool is an innovative gaming platform that reimagines the traditional pub pool experience by integrating cutting-edge technology, competitive gameplay, and a unique kung fu anime aesthetic. Our solution addresses the hospitality industry's need for increased customer engagement and revenue generation while providing players with an immersive, social gaming experience.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AI-powered gameplay monitoring and scoring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Geographic expansion system with unlockable areas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Narrative-driven progression with customizable avatars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Kung fu anime-inspired visual style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Integration of physical pool tables with digital platform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Financial Highlights: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Initial Investment Required: $750,000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Projected First Year Revenue: $450,000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Projected Break-Even Point: 18 months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Projected Franchise Growth: 200+ locations by Year 7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1. Introduction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1.1 The Problem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Pubs and bars face challenges in attracting and retaining customers, particularly younger demographics. Traditional games like pool, while popular, lack the engagement and revenue-generating potential of modern digital entertainment.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1.2 Our Solution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Dojo Pool transforms the standard pool table into a hub of competitive, social gaming. By blending physical gameplay with digital elements, we create an experience that keeps patrons engaged longer, increases beverage sales, and provides a unique attraction for venues.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Technology Overview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2.1 AI-Powered Umpire System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Overhead cameras monitor gameplay in real-time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Proprietary AI algorithms enforce rules and track scores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Eliminates disputes and ensures fair play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2.2 Mobile Application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User-friendly interface for game management and social interaction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Real-time leaderboards and achievements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In-app purchases for virtual currency (Dojo Coins)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2.3 Geographic Expansion System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GPS-integrated gameplay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Unlockable areas and dojos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Encourages exploration and loyalty to multiple venues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2.4 Narrative and Avatar System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AI-generated personalised avatars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Story-driven gameplay progression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Enhances player investment and long-term engagement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2.5 Kung Fu Anime Aesthetic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Unique visual style sets Dojo Pool apart from competitors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Appealing to a broad demographic, including anime and martial arts enthusiasts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 Market Opportunity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3.1 Target Market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Primary: Adults aged 21-45 who enjoy social gaming and pub environments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Secondary: Pubs, bars, and entertainment venues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3.2 Market Size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Global pub market value: $200 billion (2021), CAGR of 3.5%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Mobile gaming market value: $98 billion (2020), CAGR of 12.3% (2021-2026)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Social gaming market value: $17 billion (2020), CAGR of 16.1% (2021-2026)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3.3 Competitive Landscape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Direct Competitors: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Traditional pool tables in pubs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Mobile pool game apps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Indirect Competitors: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Other pub games (darts, quiz machines)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Social gaming apps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Dojo Pool's unique combination of physical gameplay, digital integration, and thematic elements positions it in a relatively uncontested market space.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4. Business Model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4.1 Revenue Streams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In-app purchases (Dojo Coins)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Licensing fees from participating venues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Sponsorships and in-app advertising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Premium features for players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Franchise fees and royalties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4.2 Cost Structure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Technology development and maintenance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Marketing and user acquisition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Venue partnership management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Customer support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4.3 Scalability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digital nature of Dojo Pool allows for rapid scaling across multiple venues and geographic locations with minimal additional infrastructure costs.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5. Go-to-Market Strategy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5.1 Phase 1: Website and First Dojo Launch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Develop and launch Dojo Pool website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Establish first official Dojo in a leased commercial property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Beta test with invited players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5.2 Phase 2: Expansion and App Development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Partner with local pubs to expand the Dojo network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Develop and launch mobile app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Transition users from website to app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5.3 Phase 3: Scaling and Feature Enhancement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Implement geographic expansion system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Introduce narrative and avatar creation features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Expand to multiple cities and regions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5.4 Phase 4: Franchise Expansion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Develop franchise model and support systems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Begin offering franchises in key markets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Expand nationally and internationally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6. Financial Projections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6.1 Initial Investment Required: $750,000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Website and app development: $150,000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First Dojo setup: $200,000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Marketing and launch: $100,000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Legal and administrative: $50,000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Operating expenses and expansion: $250,000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6.2 Five-Year Revenue Projections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1: $450,000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2: $1,200,000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3: $3,000,000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4: $6,000,000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5: $10,000,000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6.3 Projected Break-Even Point: 18 months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7. Team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management team combines expertise in technology development, gaming, hospitality, and marketing: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CEO: [Name] - Oversees overall strategy and operations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CTO: [Name] - Leads technology development and implementation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Creative Director: [Name] - Manages aesthetic design and narrative elements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Marketing Director: [Name] - Handles branding and promotional strategies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Operations Manager: [Name] - Manages venue partnerships and logistics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8. Investment Opportunity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seeking $750,000 in seed funding to bring Dojo Pool to market. This investment will be used for: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Technology development and infrastructure setup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Establishment of the first Dojo location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Marketing and user acquisition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Working capital for the first 12 months of operation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Investors will receive equity in Dojo Pool, with the potential for significant returns as we scale across multiple venues and regions.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9. Franchising Opportunities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Dojo Pool offers two franchising options: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Dedicated Dojo Pool Halls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Dojo Pool Integration for existing pubs and bars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Projected franchise growth: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Year 3: 10 franchised locations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Year 5: 50 franchised locations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Year 7: 200+ franchised locations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10. Risk Mitigation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Partnering with legal experts on gaming regulations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Rigorous testing of all technology components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Strong marketing push and incentives for early adopters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Continuous improvement of AI umpire system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Adaptable business model to comply with local regulations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11. Exit Strategy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anticipate several potential exit opportunities within 5-7 years: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Acquisition by a major gaming or hospitality company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Initial Public Offering (IPO)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Private equity buyout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12. Conclusion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Dojo Pool represents a unique opportunity to revolutionise the pub gaming experience and capture a significant share of both the hospitality and mobile gaming markets. With our innovative technology, engaging gameplay, and clear path to market, we are well-positioned to deliver substantial returns to our investors while creating value for venues and players alike.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