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Article 4 - Rights of the Data Subject</w:t>
      </w:r>
    </w:p>
    <w:p>
      <w:r>
        <w:t>The data subject has the right to be informed, to access, to request correction and to request destruction of personal data.</w:t>
      </w:r>
    </w:p>
    <w:p>
      <w:pPr>
        <w:pStyle w:val="Heading1"/>
      </w:pPr>
      <w:r>
        <w:t>Article 5 - Consent</w:t>
      </w:r>
    </w:p>
    <w:p>
      <w:r>
        <w:t>Personal data may not be processed without the consent of the data subject, who may withdraw consent at any time.</w:t>
      </w:r>
    </w:p>
    <w:p>
      <w:pPr>
        <w:pStyle w:val="Heading1"/>
      </w:pPr>
      <w:r>
        <w:t>Article 10 - Collection</w:t>
      </w:r>
    </w:p>
    <w:p>
      <w:r>
        <w:t>Collection shall be limited to the minimum data necessary for the stated purpose.</w:t>
      </w:r>
    </w:p>
    <w:p>
      <w:pPr>
        <w:pStyle w:val="Heading1"/>
      </w:pPr>
      <w:r>
        <w:t>Article 19 - Security</w:t>
      </w:r>
    </w:p>
    <w:p>
      <w:r>
        <w:t>The controller shall take organisational, administrative and technical measures to protect personal data.</w:t>
      </w:r>
    </w:p>
    <w:p>
      <w:pPr>
        <w:pStyle w:val="Heading1"/>
      </w:pPr>
      <w:r>
        <w:t>Article 20 - Breach notification</w:t>
      </w:r>
    </w:p>
    <w:p>
      <w:r>
        <w:t>The controller shall notify the competent authority when a leak of personal data occurs.</w:t>
      </w:r>
    </w:p>
    <w:p>
      <w:pPr>
        <w:pStyle w:val="Heading1"/>
      </w:pPr>
      <w:r>
        <w:t>Article 29 - Transfers</w:t>
      </w:r>
    </w:p>
    <w:p>
      <w:r>
        <w:t>Personal data may not be transferred outside the Kingdom except under the conditions of the regulation.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