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 to this policy</w:t>
      </w:r>
    </w:p>
    <w:p>
      <w:r>
        <w:t>This privacy policy explains how we collect and use your personal data.</w:t>
      </w:r>
    </w:p>
    <w:p>
      <w:pPr>
        <w:pStyle w:val="Heading1"/>
      </w:pPr>
      <w:r>
        <w:t>Your rights</w:t>
      </w:r>
    </w:p>
    <w:p>
      <w:r>
        <w:t>You may access, correct or delete your data by contacting us. You can object to processing.</w:t>
      </w:r>
    </w:p>
    <w:p>
      <w:pPr>
        <w:pStyle w:val="Heading1"/>
      </w:pPr>
      <w:r>
        <w:t>الأمان</w:t>
      </w:r>
    </w:p>
    <w:p>
      <w:r>
        <w:t>نحن نتخذ إجراءات تقنية لحماية بياناتك الشخصية.</w:t>
      </w:r>
    </w:p>
    <w:p>
      <w:pPr>
        <w:pStyle w:val="Heading1"/>
      </w:pPr>
      <w:r>
        <w:t>Retention</w:t>
      </w:r>
    </w:p>
    <w:p>
      <w:r>
        <w:t>We keep data only as long as necessary for the purposes described.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