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ADDD" w14:textId="77777777" w:rsidR="001D2B54" w:rsidRDefault="001D2B54" w:rsidP="001D2B54">
      <w:pPr>
        <w:pStyle w:val="Heading1"/>
      </w:pPr>
      <w:r>
        <w:t>Privacy Policy</w:t>
      </w:r>
    </w:p>
    <w:p w14:paraId="1CCBB57A" w14:textId="7B450F52" w:rsidR="001D2B54" w:rsidRDefault="001D2B54" w:rsidP="001D2B54">
      <w:r>
        <w:t>The purpose of the disclosure and transparency policy:</w:t>
      </w:r>
      <w:r>
        <w:t xml:space="preserve"> </w:t>
      </w:r>
      <w:r>
        <w:t>The purpose of this policy is to enshrine the principle of disclosure and transparency among fund managers listed on the returns platform, to ensure the rights of investors to be informed of all disclosures and developments of the invested funds.</w:t>
      </w:r>
    </w:p>
    <w:p w14:paraId="4DFDDA04" w14:textId="1DE29B68" w:rsidR="001D2B54" w:rsidRDefault="001D2B54" w:rsidP="001D2B54">
      <w:pPr>
        <w:pStyle w:val="Heading1"/>
      </w:pPr>
      <w:r w:rsidRPr="001D2B54">
        <w:t>Disclosure of material developments</w:t>
      </w:r>
    </w:p>
    <w:p w14:paraId="72723710" w14:textId="77DB18CE" w:rsidR="00FF25DD" w:rsidRDefault="001D2B54" w:rsidP="001D2B54">
      <w:r>
        <w:t>The fund manager must disclose to the Authority and to the owners of the investment units without delay any fundamental developments that fall within the framework of its activities and whose knowledge is not available to all investors, and that may affect the fund’s financial position and performance:</w:t>
      </w:r>
      <w:r>
        <w:t xml:space="preserve"> </w:t>
      </w:r>
      <w:r>
        <w:t>•</w:t>
      </w:r>
      <w:r>
        <w:t xml:space="preserve"> </w:t>
      </w:r>
      <w:r>
        <w:t>Lead to a change in the price of the listed unit, or;</w:t>
      </w:r>
      <w:r>
        <w:t xml:space="preserve"> </w:t>
      </w:r>
      <w:r>
        <w:t>•</w:t>
      </w:r>
      <w:r>
        <w:t xml:space="preserve"> </w:t>
      </w:r>
      <w:r>
        <w:t>Create a noticeable impact on the fund's ability to meet its obligations towards investors.</w:t>
      </w:r>
      <w:r>
        <w:t xml:space="preserve"> </w:t>
      </w:r>
      <w:r>
        <w:t xml:space="preserve">To determine the development that falls within the scope of this paragraph, the fund manager must </w:t>
      </w:r>
      <w:proofErr w:type="gramStart"/>
      <w:r>
        <w:t>estimate,</w:t>
      </w:r>
      <w:proofErr w:type="gramEnd"/>
      <w:r>
        <w:t xml:space="preserve"> whether it is possible: that any of the investment unit owners </w:t>
      </w:r>
      <w:proofErr w:type="gramStart"/>
      <w:r>
        <w:t>take into account</w:t>
      </w:r>
      <w:proofErr w:type="gramEnd"/>
      <w:r>
        <w:t xml:space="preserve"> that development when making his investment decision</w:t>
      </w:r>
      <w:r>
        <w:t>.</w:t>
      </w:r>
    </w:p>
    <w:p w14:paraId="217E1C35" w14:textId="4FA667F8" w:rsidR="001D2B54" w:rsidRDefault="001D2B54" w:rsidP="001D2B54">
      <w:pPr>
        <w:pStyle w:val="Heading1"/>
      </w:pPr>
      <w:r w:rsidRPr="001D2B54">
        <w:t>Disclosure of Specific Events</w:t>
      </w:r>
      <w:r>
        <w:t xml:space="preserve"> </w:t>
      </w:r>
    </w:p>
    <w:p w14:paraId="7E0CE256" w14:textId="64C4CE5D" w:rsidR="001D2B54" w:rsidRDefault="001D2B54" w:rsidP="001D2B54">
      <w:r w:rsidRPr="001D2B54">
        <w:t xml:space="preserve">The fund manager must disclose to the Authority and the unit holders without delay any of the following developments whether material or not, in accordance with paragraph (1) of this policy: • Any transaction to buy, sell, mortgage or rent an asset at a price equal to or more than (10%) of the net assets of the Fund according to the latest audited (unaudited) interim financial statements or audited annual financial statements, whichever is more recent. • Any losses equal to or more than (10%) of the fund's net assets according to the latest audited (unaudited) interim financial statements or audited annual financial statements, whichever is later. • Any change in the composition of the members of the fund's board of directors. • Any dispute, including any lawsuit, arbitration or mediation </w:t>
      </w:r>
      <w:proofErr w:type="gramStart"/>
      <w:r w:rsidRPr="001D2B54">
        <w:t>if</w:t>
      </w:r>
      <w:proofErr w:type="gramEnd"/>
      <w:r w:rsidRPr="001D2B54">
        <w:t xml:space="preserve"> the amount of the dispute or claim is equal to or greater than (5%) of the net assets of the Fund according to the latest audited (unaudited) interim financial statements or audited annual financial statements, whichever is later. • The increase or decrease in the fund's net assets equal to or more than (10%) and according to the latest audited (unaudited) interim financial statements or audited annual financial statements, whichever is later. • The increase or decrease in the fund's total profits equal to or more than (10%) according to the latest audited (unaudited) interim financial statements or audited annual financial statements, whichever is later. • Any transaction between the Fund and a related party or </w:t>
      </w:r>
      <w:r w:rsidRPr="001D2B54">
        <w:lastRenderedPageBreak/>
        <w:t xml:space="preserve">any arrangement whereby each of the Fund and a related party invests in any project or asset or provides financing for it if such transaction or arrangement is equal to or greater than (1%) of the total income and financial returns of the Fund according to a review (unaudited) or audited annual financial statements, whichever is later. • Any interruption in any of the main activities of the Fund equals the resulting effect or more than (5%) of the total revenues of the Fund according to the latest audited (unaudited) interim financial statements or audited annual financial statements, whichever is later. • Any change in the external auditor of the Fund. • Any change </w:t>
      </w:r>
      <w:proofErr w:type="gramStart"/>
      <w:r w:rsidRPr="001D2B54">
        <w:t>in</w:t>
      </w:r>
      <w:proofErr w:type="gramEnd"/>
      <w:r w:rsidRPr="001D2B54">
        <w:t xml:space="preserve"> the Fund Manager or the Investment Manager. • Any change in the fees charged to the Fund by the Fund Manager or the Investment Manager. • Any significant amendment to the Fund's investment strategy. • Any change in the distribution policy of the Fund. • Any other event that may have a significant impact on the Fund and its investors, as determined by the Authority</w:t>
      </w:r>
      <w:r>
        <w:t>.</w:t>
      </w:r>
    </w:p>
    <w:p w14:paraId="4F53E937" w14:textId="2AF822CA" w:rsidR="001D2B54" w:rsidRDefault="001D2B54" w:rsidP="001D2B54">
      <w:pPr>
        <w:pStyle w:val="Heading1"/>
      </w:pPr>
      <w:r w:rsidRPr="001D2B54">
        <w:t>Time and method of disclosure</w:t>
      </w:r>
    </w:p>
    <w:p w14:paraId="6126B314" w14:textId="29BB6036" w:rsidR="001D2B54" w:rsidRDefault="001D2B54" w:rsidP="001D2B54">
      <w:r w:rsidRPr="001D2B54">
        <w:t>The fund manager must disclose the information mentioned in paragraphs (1) and (2) of this policy through the Authority's electronic systems, in accordance with the following rules: • The disclosure must be made as soon as possible and, in any case, within a maximum period of (24) hours from the time the fund manager becomes aware of the relevant development. • The disclosure must be made using the standard templates provided by the Authority. • The fund manager must provide a copy of the disclosure to the owners of the investment units within a maximum period of (24) hours from the time the disclosure is submitted to the Authority</w:t>
      </w:r>
      <w:r>
        <w:t>.</w:t>
      </w:r>
    </w:p>
    <w:p w14:paraId="24B0E6C6" w14:textId="3B5BB4D0" w:rsidR="001D2B54" w:rsidRDefault="001D2B54" w:rsidP="001D2B54">
      <w:pPr>
        <w:pStyle w:val="Heading1"/>
      </w:pPr>
      <w:r w:rsidRPr="001D2B54">
        <w:t>Responsibility and accountability</w:t>
      </w:r>
    </w:p>
    <w:p w14:paraId="319211F9" w14:textId="6A283AF2" w:rsidR="001D2B54" w:rsidRDefault="001D2B54" w:rsidP="001D2B54">
      <w:r w:rsidRPr="001D2B54">
        <w:t xml:space="preserve">The fund manager shall bear the responsibility and accountability for the accuracy and completeness of the information disclosed in accordance with this </w:t>
      </w:r>
      <w:proofErr w:type="gramStart"/>
      <w:r w:rsidRPr="001D2B54">
        <w:t>policy, and</w:t>
      </w:r>
      <w:proofErr w:type="gramEnd"/>
      <w:r w:rsidRPr="001D2B54">
        <w:t xml:space="preserve"> shall ensure that the disclosed information is not misleading, and does not contain any material omissions or misrepresentations</w:t>
      </w:r>
      <w:r>
        <w:t>.</w:t>
      </w:r>
    </w:p>
    <w:p w14:paraId="4BC84157" w14:textId="4C03CA61" w:rsidR="001D2B54" w:rsidRDefault="001D2B54" w:rsidP="001D2B54">
      <w:pPr>
        <w:pStyle w:val="Heading1"/>
      </w:pPr>
      <w:r w:rsidRPr="001D2B54">
        <w:t>Amendments to the policy</w:t>
      </w:r>
    </w:p>
    <w:p w14:paraId="5C7F962C" w14:textId="2530CDD8" w:rsidR="001D2B54" w:rsidRDefault="001D2B54" w:rsidP="001D2B54">
      <w:r w:rsidRPr="001D2B54">
        <w:t>The Authority reserves the right to amend this policy at any time, and the fund manager shall be responsible for keeping up to date with any changes to the policy and ensuring compliance with the most recent version</w:t>
      </w:r>
      <w:r>
        <w:t>.</w:t>
      </w:r>
    </w:p>
    <w:p w14:paraId="25B10195" w14:textId="77777777" w:rsidR="001D2B54" w:rsidRDefault="001D2B54" w:rsidP="001D2B54">
      <w:pPr>
        <w:pStyle w:val="Heading1"/>
      </w:pPr>
      <w:r>
        <w:lastRenderedPageBreak/>
        <w:t>Privacy Policy</w:t>
      </w:r>
    </w:p>
    <w:p w14:paraId="129684AD" w14:textId="77777777" w:rsidR="001D2B54" w:rsidRDefault="001D2B54" w:rsidP="001D2B54">
      <w:r>
        <w:t>The purpose of the disclosure and transparency policy: The purpose of this policy is to enshrine the principle of disclosure and transparency among fund managers listed on the returns platform, to ensure the rights of investors to be informed of all disclosures and developments of the invested funds.</w:t>
      </w:r>
    </w:p>
    <w:p w14:paraId="336CA8A1" w14:textId="77777777" w:rsidR="001D2B54" w:rsidRDefault="001D2B54" w:rsidP="001D2B54">
      <w:pPr>
        <w:pStyle w:val="Heading1"/>
      </w:pPr>
      <w:r>
        <w:t>Privacy Policy</w:t>
      </w:r>
    </w:p>
    <w:p w14:paraId="6A8E02C6" w14:textId="77777777" w:rsidR="001D2B54" w:rsidRDefault="001D2B54" w:rsidP="001D2B54">
      <w:r>
        <w:t>The purpose of the disclosure and transparency policy: The purpose of this policy is to enshrine the principle of disclosure and transparency among fund managers listed on the returns platform, to ensure the rights of investors to be informed of all disclosures and developments of the invested funds.</w:t>
      </w:r>
    </w:p>
    <w:p w14:paraId="650D6169" w14:textId="77777777" w:rsidR="001D2B54" w:rsidRDefault="001D2B54" w:rsidP="001D2B54">
      <w:pPr>
        <w:pStyle w:val="Heading1"/>
      </w:pPr>
      <w:r>
        <w:t>Privacy Policy</w:t>
      </w:r>
    </w:p>
    <w:p w14:paraId="4D5EE02C" w14:textId="77777777" w:rsidR="001D2B54" w:rsidRDefault="001D2B54" w:rsidP="001D2B54">
      <w:r>
        <w:t>The purpose of the disclosure and transparency policy: The purpose of this policy is to enshrine the principle of disclosure and transparency among fund managers listed on the returns platform, to ensure the rights of investors to be informed of all disclosures and developments of the invested funds.</w:t>
      </w:r>
    </w:p>
    <w:p w14:paraId="4BCAC875" w14:textId="77777777" w:rsidR="001D2B54" w:rsidRDefault="001D2B54" w:rsidP="001D2B54">
      <w:pPr>
        <w:pStyle w:val="Heading1"/>
      </w:pPr>
      <w:r>
        <w:t>Privacy Policy</w:t>
      </w:r>
    </w:p>
    <w:p w14:paraId="3D790D7E" w14:textId="77777777" w:rsidR="001D2B54" w:rsidRDefault="001D2B54" w:rsidP="001D2B54">
      <w:r>
        <w:t>The purpose of the disclosure and transparency policy: The purpose of this policy is to enshrine the principle of disclosure and transparency among fund managers listed on the returns platform, to ensure the rights of investors to be informed of all disclosures and developments of the invested funds.</w:t>
      </w:r>
    </w:p>
    <w:p w14:paraId="2BC78D22" w14:textId="77777777" w:rsidR="001D2B54" w:rsidRDefault="001D2B54" w:rsidP="001D2B54"/>
    <w:sectPr w:rsidR="001D2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54"/>
    <w:rsid w:val="001D2B54"/>
    <w:rsid w:val="008B31C8"/>
    <w:rsid w:val="00946EF0"/>
    <w:rsid w:val="00BD3567"/>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1A4F"/>
  <w15:chartTrackingRefBased/>
  <w15:docId w15:val="{220207AA-3C1E-45D5-93E7-C487410C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B54"/>
  </w:style>
  <w:style w:type="paragraph" w:styleId="Heading1">
    <w:name w:val="heading 1"/>
    <w:basedOn w:val="Normal"/>
    <w:next w:val="Normal"/>
    <w:link w:val="Heading1Char"/>
    <w:uiPriority w:val="9"/>
    <w:qFormat/>
    <w:rsid w:val="001D2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B54"/>
    <w:rPr>
      <w:rFonts w:eastAsiaTheme="majorEastAsia" w:cstheme="majorBidi"/>
      <w:color w:val="272727" w:themeColor="text1" w:themeTint="D8"/>
    </w:rPr>
  </w:style>
  <w:style w:type="paragraph" w:styleId="Title">
    <w:name w:val="Title"/>
    <w:basedOn w:val="Normal"/>
    <w:next w:val="Normal"/>
    <w:link w:val="TitleChar"/>
    <w:uiPriority w:val="10"/>
    <w:qFormat/>
    <w:rsid w:val="001D2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B54"/>
    <w:pPr>
      <w:spacing w:before="160"/>
      <w:jc w:val="center"/>
    </w:pPr>
    <w:rPr>
      <w:i/>
      <w:iCs/>
      <w:color w:val="404040" w:themeColor="text1" w:themeTint="BF"/>
    </w:rPr>
  </w:style>
  <w:style w:type="character" w:customStyle="1" w:styleId="QuoteChar">
    <w:name w:val="Quote Char"/>
    <w:basedOn w:val="DefaultParagraphFont"/>
    <w:link w:val="Quote"/>
    <w:uiPriority w:val="29"/>
    <w:rsid w:val="001D2B54"/>
    <w:rPr>
      <w:i/>
      <w:iCs/>
      <w:color w:val="404040" w:themeColor="text1" w:themeTint="BF"/>
    </w:rPr>
  </w:style>
  <w:style w:type="paragraph" w:styleId="ListParagraph">
    <w:name w:val="List Paragraph"/>
    <w:basedOn w:val="Normal"/>
    <w:uiPriority w:val="34"/>
    <w:qFormat/>
    <w:rsid w:val="001D2B54"/>
    <w:pPr>
      <w:ind w:left="720"/>
      <w:contextualSpacing/>
    </w:pPr>
  </w:style>
  <w:style w:type="character" w:styleId="IntenseEmphasis">
    <w:name w:val="Intense Emphasis"/>
    <w:basedOn w:val="DefaultParagraphFont"/>
    <w:uiPriority w:val="21"/>
    <w:qFormat/>
    <w:rsid w:val="001D2B54"/>
    <w:rPr>
      <w:i/>
      <w:iCs/>
      <w:color w:val="0F4761" w:themeColor="accent1" w:themeShade="BF"/>
    </w:rPr>
  </w:style>
  <w:style w:type="paragraph" w:styleId="IntenseQuote">
    <w:name w:val="Intense Quote"/>
    <w:basedOn w:val="Normal"/>
    <w:next w:val="Normal"/>
    <w:link w:val="IntenseQuoteChar"/>
    <w:uiPriority w:val="30"/>
    <w:qFormat/>
    <w:rsid w:val="001D2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B54"/>
    <w:rPr>
      <w:i/>
      <w:iCs/>
      <w:color w:val="0F4761" w:themeColor="accent1" w:themeShade="BF"/>
    </w:rPr>
  </w:style>
  <w:style w:type="character" w:styleId="IntenseReference">
    <w:name w:val="Intense Reference"/>
    <w:basedOn w:val="DefaultParagraphFont"/>
    <w:uiPriority w:val="32"/>
    <w:qFormat/>
    <w:rsid w:val="001D2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1</cp:revision>
  <dcterms:created xsi:type="dcterms:W3CDTF">2026-04-10T09:32:00Z</dcterms:created>
  <dcterms:modified xsi:type="dcterms:W3CDTF">2026-04-10T09:37:00Z</dcterms:modified>
</cp:coreProperties>
</file>