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Noto Serif Hebrew Black" w:cs="Noto Serif Hebrew Black" w:eastAsia="Noto Serif Hebrew Black" w:hAnsi="Noto Serif Hebrew Black"/>
          <w:sz w:val="22"/>
          <w:szCs w:val="22"/>
        </w:rPr>
      </w:pP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מגישים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שחר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פרץ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עלמה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לידור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איילה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קוולרצ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יק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ליבי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סוקול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ודניאלה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Noto Serif Hebrew Black" w:cs="Noto Serif Hebrew Black" w:eastAsia="Noto Serif Hebrew Black" w:hAnsi="Noto Serif Hebrew Black"/>
          <w:sz w:val="22"/>
          <w:szCs w:val="22"/>
          <w:rtl w:val="1"/>
        </w:rPr>
        <w:t xml:space="preserve">פוקוטינסקי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audpao3osadi" w:id="0"/>
      <w:bookmarkEnd w:id="0"/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וקשיי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pStyle w:val="Heading2"/>
        <w:bidi w:val="1"/>
        <w:rPr/>
      </w:pPr>
      <w:bookmarkStart w:colFirst="0" w:colLast="0" w:name="_yya9fb9gw1mn" w:id="1"/>
      <w:bookmarkEnd w:id="1"/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וסיבותיהם</w:t>
      </w:r>
    </w:p>
    <w:p w:rsidR="00000000" w:rsidDel="00000000" w:rsidP="00000000" w:rsidRDefault="00000000" w:rsidRPr="00000000" w14:paraId="00000004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־1881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־1881-1903, </w:t>
      </w:r>
      <w:r w:rsidDel="00000000" w:rsidR="00000000" w:rsidRPr="00000000">
        <w:rPr>
          <w:rtl w:val="1"/>
        </w:rPr>
        <w:t xml:space="preserve">והשניה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־1904-1914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־25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ובשניה</w:t>
      </w:r>
      <w:r w:rsidDel="00000000" w:rsidR="00000000" w:rsidRPr="00000000">
        <w:rPr>
          <w:rtl w:val="1"/>
        </w:rPr>
        <w:t xml:space="preserve">, 35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</w:t>
      </w:r>
      <w:r w:rsidDel="00000000" w:rsidR="00000000" w:rsidRPr="00000000">
        <w:rPr>
          <w:rtl w:val="1"/>
        </w:rPr>
        <w:t xml:space="preserve">־25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הפוגרומים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בנגב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קישינב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אידיאולוגיים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ציונות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pStyle w:val="Heading2"/>
        <w:bidi w:val="1"/>
        <w:rPr/>
      </w:pPr>
      <w:bookmarkStart w:colFirst="0" w:colLast="0" w:name="_9sgh0npez9ah" w:id="2"/>
      <w:bookmarkEnd w:id="2"/>
      <w:r w:rsidDel="00000000" w:rsidR="00000000" w:rsidRPr="00000000">
        <w:rPr>
          <w:rtl w:val="1"/>
        </w:rPr>
        <w:t xml:space="preserve">קשיי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תמני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אדמונד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רוטשילד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היהודים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לאידיה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התבוללות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התערובת</w:t>
      </w:r>
      <w:r w:rsidDel="00000000" w:rsidR="00000000" w:rsidRPr="00000000">
        <w:rPr>
          <w:rtl w:val="1"/>
        </w:rPr>
        <w:t xml:space="preserve"> [...]" (</w:t>
      </w:r>
      <w:r w:rsidDel="00000000" w:rsidR="00000000" w:rsidRPr="00000000">
        <w:rPr>
          <w:rtl w:val="1"/>
        </w:rPr>
        <w:t xml:space="preserve">הלאומיות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151). </w:t>
      </w:r>
      <w:r w:rsidDel="00000000" w:rsidR="00000000" w:rsidRPr="00000000">
        <w:rPr>
          <w:rtl w:val="1"/>
        </w:rPr>
        <w:t xml:space="preserve">רוטשילד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־90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19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בתמיכתו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הכינוי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הנדיב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החלוציים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סוציאליזם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bidi w:val="1"/>
        <w:rPr/>
      </w:pPr>
      <w:bookmarkStart w:colFirst="0" w:colLast="0" w:name="_ivnaaa2v44q4" w:id="3"/>
      <w:bookmarkEnd w:id="3"/>
      <w:r w:rsidDel="00000000" w:rsidR="00000000" w:rsidRPr="00000000">
        <w:rPr>
          <w:rtl w:val="1"/>
        </w:rPr>
        <w:t xml:space="preserve">מיקודנו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1914</w:t>
      </w:r>
    </w:p>
    <w:p w:rsidR="00000000" w:rsidDel="00000000" w:rsidP="00000000" w:rsidRDefault="00000000" w:rsidRPr="00000000" w14:paraId="0000000D">
      <w:pPr>
        <w:pStyle w:val="Heading2"/>
        <w:bidi w:val="1"/>
        <w:rPr/>
      </w:pPr>
      <w:bookmarkStart w:colFirst="0" w:colLast="0" w:name="_ln8mtbm41nm8" w:id="4"/>
      <w:bookmarkEnd w:id="4"/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באיכרים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העו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תמנים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ההתשייבות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רקסיים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בישוביים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ערבים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לגנבים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תקוה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ולפקודתו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־ </w:t>
      </w:r>
      <w:r w:rsidDel="00000000" w:rsidR="00000000" w:rsidRPr="00000000">
        <w:rPr>
          <w:rtl w:val="1"/>
        </w:rPr>
        <w:t xml:space="preserve">תקוה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מרוצים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תקוה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גרידא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הפיאודלית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התנגדות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רגשות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איבה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המתיישבים</w:t>
      </w:r>
      <w:r w:rsidDel="00000000" w:rsidR="00000000" w:rsidRPr="00000000">
        <w:rPr>
          <w:rtl w:val="1"/>
        </w:rPr>
        <w:t xml:space="preserve">.".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יישובים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wzrzgoniofcw" w:id="5"/>
      <w:bookmarkEnd w:id="5"/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2zc2f8j7kzpu" w:id="6"/>
      <w:bookmarkEnd w:id="6"/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החשאי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גיורא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־1909,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־1907, </w:t>
      </w:r>
      <w:r w:rsidDel="00000000" w:rsidR="00000000" w:rsidRPr="00000000">
        <w:rPr>
          <w:rtl w:val="1"/>
        </w:rPr>
        <w:t xml:space="preserve">בחדרו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צבי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בשיאו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המאוחרות</w:t>
      </w:r>
      <w:r w:rsidDel="00000000" w:rsidR="00000000" w:rsidRPr="00000000">
        <w:rPr>
          <w:rtl w:val="1"/>
        </w:rPr>
        <w:t xml:space="preserve">. [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]. </w:t>
      </w:r>
    </w:p>
    <w:p w:rsidR="00000000" w:rsidDel="00000000" w:rsidP="00000000" w:rsidRDefault="00000000" w:rsidRPr="00000000" w14:paraId="00000013">
      <w:pPr>
        <w:pStyle w:val="Heading3"/>
        <w:bidi w:val="1"/>
        <w:rPr/>
      </w:pPr>
      <w:bookmarkStart w:colFirst="0" w:colLast="0" w:name="_9nqqqglud3k9" w:id="7"/>
      <w:bookmarkEnd w:id="7"/>
      <w:r w:rsidDel="00000000" w:rsidR="00000000" w:rsidRPr="00000000">
        <w:rPr>
          <w:rtl w:val="1"/>
        </w:rPr>
        <w:t xml:space="preserve">השפעתו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שוחט</w:t>
      </w:r>
      <w:r w:rsidDel="00000000" w:rsidR="00000000" w:rsidRPr="00000000">
        <w:rPr>
          <w:rtl w:val="1"/>
        </w:rPr>
        <w:t xml:space="preserve">, ״"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הליגאלית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החשאי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גיורא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והגשים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וחזונו</w:t>
      </w:r>
      <w:r w:rsidDel="00000000" w:rsidR="00000000" w:rsidRPr="00000000">
        <w:rPr>
          <w:rtl w:val="1"/>
        </w:rPr>
        <w:t xml:space="preserve">״.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התפרסם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כדוגמת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הצעיר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בעקבותיו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גיורא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הסודי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וערכיים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-1913, </w:t>
      </w: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בריאותי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ודימוראליזאציה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מורל</w:t>
      </w:r>
      <w:r w:rsidDel="00000000" w:rsidR="00000000" w:rsidRPr="00000000">
        <w:rPr>
          <w:rtl w:val="1"/>
        </w:rPr>
        <w:t xml:space="preserve">]" </w:t>
      </w:r>
      <w:r w:rsidDel="00000000" w:rsidR="00000000" w:rsidRPr="00000000">
        <w:rPr>
          <w:rtl w:val="1"/>
        </w:rPr>
        <w:t xml:space="preserve">ושרוב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ואכן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הוחלף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ישוביהם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־1915 </w:t>
      </w:r>
      <w:r w:rsidDel="00000000" w:rsidR="00000000" w:rsidRPr="00000000">
        <w:rPr>
          <w:rtl w:val="1"/>
        </w:rPr>
        <w:t xml:space="preserve">והקמתו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שלימים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  [</w:t>
      </w:r>
      <w:r w:rsidDel="00000000" w:rsidR="00000000" w:rsidRPr="00000000">
        <w:rPr>
          <w:rtl w:val="1"/>
        </w:rPr>
        <w:t xml:space="preserve">הציטוטים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].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–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מנהיגיו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מנהיגי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ההתיישבות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pStyle w:val="Heading3"/>
        <w:bidi w:val="1"/>
        <w:rPr/>
      </w:pPr>
      <w:bookmarkStart w:colFirst="0" w:colLast="0" w:name="_8mk60c2vsg6f" w:id="8"/>
      <w:bookmarkEnd w:id="8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162,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הלאומיות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ובעמים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־1909. </w:t>
      </w:r>
      <w:r w:rsidDel="00000000" w:rsidR="00000000" w:rsidRPr="00000000">
        <w:rPr>
          <w:rtl w:val="1"/>
        </w:rPr>
        <w:t xml:space="preserve">לבושיהם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רקסים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pStyle w:val="Heading2"/>
        <w:bidi w:val="1"/>
        <w:rPr/>
      </w:pPr>
      <w:bookmarkStart w:colFirst="0" w:colLast="0" w:name="_d4whvolke7pn" w:id="9"/>
      <w:bookmarkEnd w:id="9"/>
      <w:r w:rsidDel="00000000" w:rsidR="00000000" w:rsidRPr="00000000">
        <w:rPr>
          <w:rtl w:val="1"/>
        </w:rPr>
        <w:t xml:space="preserve">השפעותיהם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במושבות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־1914, </w:t>
      </w:r>
      <w:r w:rsidDel="00000000" w:rsidR="00000000" w:rsidRPr="00000000">
        <w:rPr>
          <w:rtl w:val="1"/>
        </w:rPr>
        <w:t xml:space="preserve">האימפריה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פעילותו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־1920.</w:t>
      </w:r>
    </w:p>
    <w:p w:rsidR="00000000" w:rsidDel="00000000" w:rsidP="00000000" w:rsidRDefault="00000000" w:rsidRPr="00000000" w14:paraId="0000001A">
      <w:pPr>
        <w:pStyle w:val="Heading1"/>
        <w:bidi w:val="1"/>
        <w:rPr/>
      </w:pPr>
      <w:bookmarkStart w:colFirst="0" w:colLast="0" w:name="_towogk2pk0ul" w:id="10"/>
      <w:bookmarkEnd w:id="10"/>
      <w:r w:rsidDel="00000000" w:rsidR="00000000" w:rsidRPr="00000000">
        <w:rPr>
          <w:rtl w:val="1"/>
        </w:rPr>
        <w:t xml:space="preserve">ביבליוגרפיה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פרויקט</w:t>
        </w:r>
      </w:hyperlink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בן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־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יהודה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מט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"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ח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Hebrew Black">
    <w:embedBold w:fontKey="{00000000-0000-0000-0000-000000000000}" r:id="rId1" w:subsetted="0"/>
  </w:font>
  <w:font w:name="Rubi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ubik" w:cs="Rubik" w:eastAsia="Rubik" w:hAnsi="Rubik"/>
        <w:sz w:val="22"/>
        <w:szCs w:val="22"/>
        <w:lang w:val="iw"/>
      </w:rPr>
    </w:rPrDefault>
    <w:pPrDefault>
      <w:pPr>
        <w:bidi w:val="1"/>
        <w:spacing w:after="80" w:before="1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afanakar1.wordpress.com/2009/11/23/25/" TargetMode="External"/><Relationship Id="rId10" Type="http://schemas.openxmlformats.org/officeDocument/2006/relationships/hyperlink" Target="https://benyehuda.org/read/14481" TargetMode="External"/><Relationship Id="rId13" Type="http://schemas.openxmlformats.org/officeDocument/2006/relationships/hyperlink" Target="https://yafanakar1.wordpress.com/2009/11/23/25/" TargetMode="External"/><Relationship Id="rId12" Type="http://schemas.openxmlformats.org/officeDocument/2006/relationships/hyperlink" Target="https://yafanakar1.wordpress.com/2009/11/23/2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nyehuda.org/read/14481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benyehuda.org/read/14481" TargetMode="External"/><Relationship Id="rId7" Type="http://schemas.openxmlformats.org/officeDocument/2006/relationships/hyperlink" Target="https://benyehuda.org/read/14481" TargetMode="External"/><Relationship Id="rId8" Type="http://schemas.openxmlformats.org/officeDocument/2006/relationships/hyperlink" Target="https://benyehuda.org/read/144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HebrewBlack-bold.ttf"/><Relationship Id="rId2" Type="http://schemas.openxmlformats.org/officeDocument/2006/relationships/font" Target="fonts/Rubik-regular.ttf"/><Relationship Id="rId3" Type="http://schemas.openxmlformats.org/officeDocument/2006/relationships/font" Target="fonts/Rubik-bold.ttf"/><Relationship Id="rId4" Type="http://schemas.openxmlformats.org/officeDocument/2006/relationships/font" Target="fonts/Rubik-italic.ttf"/><Relationship Id="rId5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