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HIPAA Privacy Policy</w:t>
      </w:r>
    </w:p>
    <w:p>
      <w:pPr>
        <w:spacing w:after="80" w:before="0"/>
        <w:jc w:val="center"/>
      </w:pPr>
      <w:r>
        <w:rPr>
          <w:rFonts w:ascii="Arial" w:cs="Arial" w:eastAsia="Arial" w:hAnsi="Arial"/>
          <w:color w:val="2E75B6"/>
          <w:sz w:val="30"/>
          <w:szCs w:val="30"/>
        </w:rPr>
        <w:t xml:space="preserve">Protecting Patient Health Information</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PRIV-001</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Compliance / Administration</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Privacy Officer</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establishes [Organization Name]'s ("the Organization") commitment to protecting the privacy of Protected Health Information (PHI) as required by the Health Insurance Portability and Accountability Act of 1996 (HIPAA) Privacy Rule, 45 CFR Part 164, Subparts A and E. It defines how the Organization creates, receives, uses, maintains, and discloses PHI, and ensures that patients' rights to their health information are respected and upheld.</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workforce members — employees, contractors, volunteers, students, and trainees — who handle PHI in any form (oral, written, or electronic) in the course of their work for the Organization. It applies to all departments and all locations where the Organization operates.</w:t>
      </w:r>
    </w:p>
    <w:p>
      <w:pPr>
        <w:pStyle w:val="Heading1"/>
        <w:spacing w:after="120" w:before="360"/>
      </w:pPr>
      <w:r>
        <w:rPr>
          <w:rFonts w:ascii="Arial" w:cs="Arial" w:eastAsia="Arial" w:hAnsi="Arial"/>
          <w:b/>
          <w:bCs/>
          <w:color w:val="1F4E79"/>
          <w:sz w:val="32"/>
          <w:szCs w:val="3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PHI (Protected Health Information)</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Individually identifiable health information created, received, maintained, or transmitted by a covered entity relating to the past, present, or future physical or mental health of an individual, or the provision or payment for healthcare.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Covered Entity</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health plan, health care clearinghouse, or health care provider that transmits health information electronically in connection with a HIPAA-covered transaction.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Minimum Necessary</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The HIPAA principle requiring that only the minimum amount of PHI needed to accomplish a task is used, disclosed, or requested.</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Notice of Privacy Practices (NPP)</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written document provided to patients that describes how the Organization may use and disclose their PHI and their rights regarding that information.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Treatment, Payment, Operations (TPO)</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The primary purposes for which PHI may be used or disclosed without specific patient authorization under HIPAA.</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signed patient permission allowing the Organization to use or disclose PHI for purposes beyond TPO.</w:t>
            </w:r>
          </w:p>
        </w:tc>
      </w:tr>
    </w:tbl>
    <w:p>
      <w:pPr>
        <w:pStyle w:val="Heading1"/>
        <w:spacing w:after="120" w:before="360"/>
      </w:pPr>
      <w:r>
        <w:rPr>
          <w:rFonts w:ascii="Arial" w:cs="Arial" w:eastAsia="Arial" w:hAnsi="Arial"/>
          <w:b/>
          <w:bCs/>
          <w:color w:val="1F4E79"/>
          <w:sz w:val="32"/>
          <w:szCs w:val="32"/>
        </w:rPr>
        <w:t xml:space="preserve">4. Notice of Privacy Practices</w:t>
      </w:r>
    </w:p>
    <w:p>
      <w:pPr>
        <w:pStyle w:val="Heading2"/>
        <w:spacing w:after="80" w:before="240"/>
      </w:pPr>
      <w:r>
        <w:rPr>
          <w:rFonts w:ascii="Arial" w:cs="Arial" w:eastAsia="Arial" w:hAnsi="Arial"/>
          <w:b/>
          <w:bCs/>
          <w:color w:val="2E75B6"/>
          <w:sz w:val="26"/>
          <w:szCs w:val="26"/>
        </w:rPr>
        <w:t xml:space="preserve">4.1  Distribution Requirements</w:t>
      </w:r>
    </w:p>
    <w:p>
      <w:pPr>
        <w:spacing w:after="100" w:before="60"/>
      </w:pPr>
      <w:r>
        <w:rPr>
          <w:rFonts w:ascii="Arial" w:cs="Arial" w:eastAsia="Arial" w:hAnsi="Arial"/>
          <w:sz w:val="22"/>
          <w:szCs w:val="22"/>
        </w:rPr>
        <w:t xml:space="preserve">The Organization must provide patients with its Notice of Privacy Practices (NPP) at the first point of service delivery and make it available upon request. The NPP must describe all categories of uses and disclosures of PHI, patient rights, and the Organization's duties.</w:t>
      </w:r>
    </w:p>
    <w:p>
      <w:pPr>
        <w:pStyle w:val="ListParagraph"/>
        <w:numPr>
          <w:ilvl w:val="0"/>
          <w:numId w:val="2"/>
        </w:numPr>
        <w:spacing w:after="40" w:before="40"/>
      </w:pPr>
      <w:r>
        <w:rPr>
          <w:rFonts w:ascii="Arial" w:cs="Arial" w:eastAsia="Arial" w:hAnsi="Arial"/>
          <w:b w:val="false"/>
          <w:bCs w:val="false"/>
          <w:sz w:val="22"/>
          <w:szCs w:val="22"/>
        </w:rPr>
        <w:t xml:space="preserve">NPP must be posted prominently at each physical location where patients are treated;</w:t>
      </w:r>
    </w:p>
    <w:p>
      <w:pPr>
        <w:pStyle w:val="ListParagraph"/>
        <w:numPr>
          <w:ilvl w:val="0"/>
          <w:numId w:val="2"/>
        </w:numPr>
        <w:spacing w:after="40" w:before="40"/>
      </w:pPr>
      <w:r>
        <w:rPr>
          <w:rFonts w:ascii="Arial" w:cs="Arial" w:eastAsia="Arial" w:hAnsi="Arial"/>
          <w:b w:val="false"/>
          <w:bCs w:val="false"/>
          <w:sz w:val="22"/>
          <w:szCs w:val="22"/>
        </w:rPr>
        <w:t xml:space="preserve">NPP must be available on the Organization's public-facing website;</w:t>
      </w:r>
    </w:p>
    <w:p>
      <w:pPr>
        <w:pStyle w:val="ListParagraph"/>
        <w:numPr>
          <w:ilvl w:val="0"/>
          <w:numId w:val="2"/>
        </w:numPr>
        <w:spacing w:after="40" w:before="40"/>
      </w:pPr>
      <w:r>
        <w:rPr>
          <w:rFonts w:ascii="Arial" w:cs="Arial" w:eastAsia="Arial" w:hAnsi="Arial"/>
          <w:b w:val="false"/>
          <w:bCs w:val="false"/>
          <w:sz w:val="22"/>
          <w:szCs w:val="22"/>
        </w:rPr>
        <w:t xml:space="preserve">Patients must be asked to acknowledge receipt of the NPP; refusal to sign must be documented;</w:t>
      </w:r>
    </w:p>
    <w:p>
      <w:pPr>
        <w:pStyle w:val="ListParagraph"/>
        <w:numPr>
          <w:ilvl w:val="0"/>
          <w:numId w:val="2"/>
        </w:numPr>
        <w:spacing w:after="40" w:before="40"/>
      </w:pPr>
      <w:r>
        <w:rPr>
          <w:rFonts w:ascii="Arial" w:cs="Arial" w:eastAsia="Arial" w:hAnsi="Arial"/>
          <w:b w:val="false"/>
          <w:bCs w:val="false"/>
          <w:sz w:val="22"/>
          <w:szCs w:val="22"/>
        </w:rPr>
        <w:t xml:space="preserve">The NPP must be reviewed and updated whenever there is a material change in privacy practices.</w:t>
      </w:r>
    </w:p>
    <w:p>
      <w:pPr>
        <w:pStyle w:val="Heading2"/>
        <w:spacing w:after="80" w:before="240"/>
      </w:pPr>
      <w:r>
        <w:rPr>
          <w:rFonts w:ascii="Arial" w:cs="Arial" w:eastAsia="Arial" w:hAnsi="Arial"/>
          <w:b/>
          <w:bCs/>
          <w:color w:val="2E75B6"/>
          <w:sz w:val="26"/>
          <w:szCs w:val="26"/>
        </w:rPr>
        <w:t xml:space="preserve">4.2  NPP Content Requirements</w:t>
      </w:r>
    </w:p>
    <w:p>
      <w:pPr>
        <w:spacing w:after="100" w:before="60"/>
      </w:pPr>
      <w:r>
        <w:rPr>
          <w:rFonts w:ascii="Arial" w:cs="Arial" w:eastAsia="Arial" w:hAnsi="Arial"/>
          <w:sz w:val="22"/>
          <w:szCs w:val="22"/>
        </w:rPr>
        <w:t xml:space="preserve">The NPP must include, at minimum: permissible uses and disclosures, patient rights, the Organization's legal duties, how to file a complaint, the effective date, and contact information for the Privacy Officer.</w:t>
      </w:r>
    </w:p>
    <w:p>
      <w:pPr>
        <w:pStyle w:val="Heading1"/>
        <w:spacing w:after="120" w:before="360"/>
      </w:pPr>
      <w:r>
        <w:rPr>
          <w:rFonts w:ascii="Arial" w:cs="Arial" w:eastAsia="Arial" w:hAnsi="Arial"/>
          <w:b/>
          <w:bCs/>
          <w:color w:val="1F4E79"/>
          <w:sz w:val="32"/>
          <w:szCs w:val="32"/>
        </w:rPr>
        <w:t xml:space="preserve">5. Permitted Uses and Disclosures of PHI</w:t>
      </w:r>
    </w:p>
    <w:p>
      <w:pPr>
        <w:pStyle w:val="Heading2"/>
        <w:spacing w:after="80" w:before="240"/>
      </w:pPr>
      <w:r>
        <w:rPr>
          <w:rFonts w:ascii="Arial" w:cs="Arial" w:eastAsia="Arial" w:hAnsi="Arial"/>
          <w:b/>
          <w:bCs/>
          <w:color w:val="2E75B6"/>
          <w:sz w:val="26"/>
          <w:szCs w:val="26"/>
        </w:rPr>
        <w:t xml:space="preserve">5.1  Without Authorization (Treatment, Payment, Operations)</w:t>
      </w:r>
    </w:p>
    <w:p>
      <w:pPr>
        <w:spacing w:after="100" w:before="60"/>
      </w:pPr>
      <w:r>
        <w:rPr>
          <w:rFonts w:ascii="Arial" w:cs="Arial" w:eastAsia="Arial" w:hAnsi="Arial"/>
          <w:sz w:val="22"/>
          <w:szCs w:val="22"/>
        </w:rPr>
        <w:t xml:space="preserve">The Organization may use and disclose PHI without patient authorization for:</w:t>
      </w:r>
    </w:p>
    <w:p>
      <w:pPr>
        <w:pStyle w:val="ListParagraph"/>
        <w:numPr>
          <w:ilvl w:val="0"/>
          <w:numId w:val="2"/>
        </w:numPr>
        <w:spacing w:after="40" w:before="40"/>
      </w:pPr>
      <w:r>
        <w:rPr>
          <w:rFonts w:ascii="Arial" w:cs="Arial" w:eastAsia="Arial" w:hAnsi="Arial"/>
          <w:b w:val="false"/>
          <w:bCs w:val="false"/>
          <w:sz w:val="22"/>
          <w:szCs w:val="22"/>
        </w:rPr>
        <w:t xml:space="preserve">Treatment: Providing, coordinating, or managing healthcare and related services;</w:t>
      </w:r>
    </w:p>
    <w:p>
      <w:pPr>
        <w:pStyle w:val="ListParagraph"/>
        <w:numPr>
          <w:ilvl w:val="0"/>
          <w:numId w:val="2"/>
        </w:numPr>
        <w:spacing w:after="40" w:before="40"/>
      </w:pPr>
      <w:r>
        <w:rPr>
          <w:rFonts w:ascii="Arial" w:cs="Arial" w:eastAsia="Arial" w:hAnsi="Arial"/>
          <w:b w:val="false"/>
          <w:bCs w:val="false"/>
          <w:sz w:val="22"/>
          <w:szCs w:val="22"/>
        </w:rPr>
        <w:t xml:space="preserve">Payment: Billing and collection activities, claims processing, and coverage determinations;</w:t>
      </w:r>
    </w:p>
    <w:p>
      <w:pPr>
        <w:pStyle w:val="ListParagraph"/>
        <w:numPr>
          <w:ilvl w:val="0"/>
          <w:numId w:val="2"/>
        </w:numPr>
        <w:spacing w:after="40" w:before="40"/>
      </w:pPr>
      <w:r>
        <w:rPr>
          <w:rFonts w:ascii="Arial" w:cs="Arial" w:eastAsia="Arial" w:hAnsi="Arial"/>
          <w:b w:val="false"/>
          <w:bCs w:val="false"/>
          <w:sz w:val="22"/>
          <w:szCs w:val="22"/>
        </w:rPr>
        <w:t xml:space="preserve">Healthcare Operations: Quality assessment, case management, training, audits, and business planning activities directly related to care delivery.</w:t>
      </w:r>
    </w:p>
    <w:p>
      <w:pPr>
        <w:pStyle w:val="Heading2"/>
        <w:spacing w:after="80" w:before="240"/>
      </w:pPr>
      <w:r>
        <w:rPr>
          <w:rFonts w:ascii="Arial" w:cs="Arial" w:eastAsia="Arial" w:hAnsi="Arial"/>
          <w:b/>
          <w:bCs/>
          <w:color w:val="2E75B6"/>
          <w:sz w:val="26"/>
          <w:szCs w:val="26"/>
        </w:rPr>
        <w:t xml:space="preserve">5.2  Required Disclosures</w:t>
      </w:r>
    </w:p>
    <w:p>
      <w:pPr>
        <w:spacing w:after="100" w:before="60"/>
      </w:pPr>
      <w:r>
        <w:rPr>
          <w:rFonts w:ascii="Arial" w:cs="Arial" w:eastAsia="Arial" w:hAnsi="Arial"/>
          <w:sz w:val="22"/>
          <w:szCs w:val="22"/>
        </w:rPr>
        <w:t xml:space="preserve">The Organization must disclose PHI in the following circumstances:</w:t>
      </w:r>
    </w:p>
    <w:p>
      <w:pPr>
        <w:pStyle w:val="ListParagraph"/>
        <w:numPr>
          <w:ilvl w:val="0"/>
          <w:numId w:val="2"/>
        </w:numPr>
        <w:spacing w:after="40" w:before="40"/>
      </w:pPr>
      <w:r>
        <w:rPr>
          <w:rFonts w:ascii="Arial" w:cs="Arial" w:eastAsia="Arial" w:hAnsi="Arial"/>
          <w:b w:val="false"/>
          <w:bCs w:val="false"/>
          <w:sz w:val="22"/>
          <w:szCs w:val="22"/>
        </w:rPr>
        <w:t xml:space="preserve">To the individual (or personal representative) upon request for access to their records;</w:t>
      </w:r>
    </w:p>
    <w:p>
      <w:pPr>
        <w:pStyle w:val="ListParagraph"/>
        <w:numPr>
          <w:ilvl w:val="0"/>
          <w:numId w:val="2"/>
        </w:numPr>
        <w:spacing w:after="40" w:before="40"/>
      </w:pPr>
      <w:r>
        <w:rPr>
          <w:rFonts w:ascii="Arial" w:cs="Arial" w:eastAsia="Arial" w:hAnsi="Arial"/>
          <w:b w:val="false"/>
          <w:bCs w:val="false"/>
          <w:sz w:val="22"/>
          <w:szCs w:val="22"/>
        </w:rPr>
        <w:t xml:space="preserve">To HHS during a compliance investigation, review, or enforcement action.</w:t>
      </w:r>
    </w:p>
    <w:p>
      <w:pPr>
        <w:pStyle w:val="Heading2"/>
        <w:spacing w:after="80" w:before="240"/>
      </w:pPr>
      <w:r>
        <w:rPr>
          <w:rFonts w:ascii="Arial" w:cs="Arial" w:eastAsia="Arial" w:hAnsi="Arial"/>
          <w:b/>
          <w:bCs/>
          <w:color w:val="2E75B6"/>
          <w:sz w:val="26"/>
          <w:szCs w:val="26"/>
        </w:rPr>
        <w:t xml:space="preserve">5.3  Permitted Disclosures Without Authorization</w:t>
      </w:r>
    </w:p>
    <w:p>
      <w:pPr>
        <w:spacing w:after="100" w:before="60"/>
      </w:pPr>
      <w:r>
        <w:rPr>
          <w:rFonts w:ascii="Arial" w:cs="Arial" w:eastAsia="Arial" w:hAnsi="Arial"/>
          <w:sz w:val="22"/>
          <w:szCs w:val="22"/>
        </w:rPr>
        <w:t xml:space="preserve">PHI may also be disclosed without authorization for:</w:t>
      </w:r>
    </w:p>
    <w:p>
      <w:pPr>
        <w:pStyle w:val="ListParagraph"/>
        <w:numPr>
          <w:ilvl w:val="0"/>
          <w:numId w:val="2"/>
        </w:numPr>
        <w:spacing w:after="40" w:before="40"/>
      </w:pPr>
      <w:r>
        <w:rPr>
          <w:rFonts w:ascii="Arial" w:cs="Arial" w:eastAsia="Arial" w:hAnsi="Arial"/>
          <w:b w:val="false"/>
          <w:bCs w:val="false"/>
          <w:sz w:val="22"/>
          <w:szCs w:val="22"/>
        </w:rPr>
        <w:t xml:space="preserve">Public health activities (disease reporting, vital statistics);</w:t>
      </w:r>
    </w:p>
    <w:p>
      <w:pPr>
        <w:pStyle w:val="ListParagraph"/>
        <w:numPr>
          <w:ilvl w:val="0"/>
          <w:numId w:val="2"/>
        </w:numPr>
        <w:spacing w:after="40" w:before="40"/>
      </w:pPr>
      <w:r>
        <w:rPr>
          <w:rFonts w:ascii="Arial" w:cs="Arial" w:eastAsia="Arial" w:hAnsi="Arial"/>
          <w:b w:val="false"/>
          <w:bCs w:val="false"/>
          <w:sz w:val="22"/>
          <w:szCs w:val="22"/>
        </w:rPr>
        <w:t xml:space="preserve">Reporting abuse, neglect, or domestic violence as required by law;</w:t>
      </w:r>
    </w:p>
    <w:p>
      <w:pPr>
        <w:pStyle w:val="ListParagraph"/>
        <w:numPr>
          <w:ilvl w:val="0"/>
          <w:numId w:val="2"/>
        </w:numPr>
        <w:spacing w:after="40" w:before="40"/>
      </w:pPr>
      <w:r>
        <w:rPr>
          <w:rFonts w:ascii="Arial" w:cs="Arial" w:eastAsia="Arial" w:hAnsi="Arial"/>
          <w:b w:val="false"/>
          <w:bCs w:val="false"/>
          <w:sz w:val="22"/>
          <w:szCs w:val="22"/>
        </w:rPr>
        <w:t xml:space="preserve">Health oversight activities (audits, investigations, licensure);</w:t>
      </w:r>
    </w:p>
    <w:p>
      <w:pPr>
        <w:pStyle w:val="ListParagraph"/>
        <w:numPr>
          <w:ilvl w:val="0"/>
          <w:numId w:val="2"/>
        </w:numPr>
        <w:spacing w:after="40" w:before="40"/>
      </w:pPr>
      <w:r>
        <w:rPr>
          <w:rFonts w:ascii="Arial" w:cs="Arial" w:eastAsia="Arial" w:hAnsi="Arial"/>
          <w:b w:val="false"/>
          <w:bCs w:val="false"/>
          <w:sz w:val="22"/>
          <w:szCs w:val="22"/>
        </w:rPr>
        <w:t xml:space="preserve">Judicial and administrative proceedings under appropriate legal process;</w:t>
      </w:r>
    </w:p>
    <w:p>
      <w:pPr>
        <w:pStyle w:val="ListParagraph"/>
        <w:numPr>
          <w:ilvl w:val="0"/>
          <w:numId w:val="2"/>
        </w:numPr>
        <w:spacing w:after="40" w:before="40"/>
      </w:pPr>
      <w:r>
        <w:rPr>
          <w:rFonts w:ascii="Arial" w:cs="Arial" w:eastAsia="Arial" w:hAnsi="Arial"/>
          <w:b w:val="false"/>
          <w:bCs w:val="false"/>
          <w:sz w:val="22"/>
          <w:szCs w:val="22"/>
        </w:rPr>
        <w:t xml:space="preserve">Law enforcement purposes as specifically authorized under 45 CFR §164.512(f);</w:t>
      </w:r>
    </w:p>
    <w:p>
      <w:pPr>
        <w:pStyle w:val="ListParagraph"/>
        <w:numPr>
          <w:ilvl w:val="0"/>
          <w:numId w:val="2"/>
        </w:numPr>
        <w:spacing w:after="40" w:before="40"/>
      </w:pPr>
      <w:r>
        <w:rPr>
          <w:rFonts w:ascii="Arial" w:cs="Arial" w:eastAsia="Arial" w:hAnsi="Arial"/>
          <w:b w:val="false"/>
          <w:bCs w:val="false"/>
          <w:sz w:val="22"/>
          <w:szCs w:val="22"/>
        </w:rPr>
        <w:t xml:space="preserve">Decedents' information to coroners, medical examiners, and funeral directors;</w:t>
      </w:r>
    </w:p>
    <w:p>
      <w:pPr>
        <w:pStyle w:val="ListParagraph"/>
        <w:numPr>
          <w:ilvl w:val="0"/>
          <w:numId w:val="2"/>
        </w:numPr>
        <w:spacing w:after="40" w:before="40"/>
      </w:pPr>
      <w:r>
        <w:rPr>
          <w:rFonts w:ascii="Arial" w:cs="Arial" w:eastAsia="Arial" w:hAnsi="Arial"/>
          <w:b w:val="false"/>
          <w:bCs w:val="false"/>
          <w:sz w:val="22"/>
          <w:szCs w:val="22"/>
        </w:rPr>
        <w:t xml:space="preserve">Organ procurement and transplant purposes;</w:t>
      </w:r>
    </w:p>
    <w:p>
      <w:pPr>
        <w:pStyle w:val="ListParagraph"/>
        <w:numPr>
          <w:ilvl w:val="0"/>
          <w:numId w:val="2"/>
        </w:numPr>
        <w:spacing w:after="40" w:before="40"/>
      </w:pPr>
      <w:r>
        <w:rPr>
          <w:rFonts w:ascii="Arial" w:cs="Arial" w:eastAsia="Arial" w:hAnsi="Arial"/>
          <w:b w:val="false"/>
          <w:bCs w:val="false"/>
          <w:sz w:val="22"/>
          <w:szCs w:val="22"/>
        </w:rPr>
        <w:t xml:space="preserve">Research with appropriate waiver or de-identification;</w:t>
      </w:r>
    </w:p>
    <w:p>
      <w:pPr>
        <w:pStyle w:val="ListParagraph"/>
        <w:numPr>
          <w:ilvl w:val="0"/>
          <w:numId w:val="2"/>
        </w:numPr>
        <w:spacing w:after="40" w:before="40"/>
      </w:pPr>
      <w:r>
        <w:rPr>
          <w:rFonts w:ascii="Arial" w:cs="Arial" w:eastAsia="Arial" w:hAnsi="Arial"/>
          <w:b w:val="false"/>
          <w:bCs w:val="false"/>
          <w:sz w:val="22"/>
          <w:szCs w:val="22"/>
        </w:rPr>
        <w:t xml:space="preserve">Serious threats to health or safety;</w:t>
      </w:r>
    </w:p>
    <w:p>
      <w:pPr>
        <w:pStyle w:val="ListParagraph"/>
        <w:numPr>
          <w:ilvl w:val="0"/>
          <w:numId w:val="2"/>
        </w:numPr>
        <w:spacing w:after="40" w:before="40"/>
      </w:pPr>
      <w:r>
        <w:rPr>
          <w:rFonts w:ascii="Arial" w:cs="Arial" w:eastAsia="Arial" w:hAnsi="Arial"/>
          <w:b w:val="false"/>
          <w:bCs w:val="false"/>
          <w:sz w:val="22"/>
          <w:szCs w:val="22"/>
        </w:rPr>
        <w:t xml:space="preserve">Workers' compensation as required by law.</w:t>
      </w:r>
    </w:p>
    <w:p>
      <w:pPr>
        <w:pStyle w:val="Heading2"/>
        <w:spacing w:after="80" w:before="240"/>
      </w:pPr>
      <w:r>
        <w:rPr>
          <w:rFonts w:ascii="Arial" w:cs="Arial" w:eastAsia="Arial" w:hAnsi="Arial"/>
          <w:b/>
          <w:bCs/>
          <w:color w:val="2E75B6"/>
          <w:sz w:val="26"/>
          <w:szCs w:val="26"/>
        </w:rPr>
        <w:t xml:space="preserve">5.4  Disclosures Requiring Authorization</w:t>
      </w:r>
    </w:p>
    <w:p>
      <w:pPr>
        <w:spacing w:after="100" w:before="60"/>
      </w:pPr>
      <w:r>
        <w:rPr>
          <w:rFonts w:ascii="Arial" w:cs="Arial" w:eastAsia="Arial" w:hAnsi="Arial"/>
          <w:sz w:val="22"/>
          <w:szCs w:val="22"/>
        </w:rPr>
        <w:t xml:space="preserve">The following disclosures require a valid, signed patient authorization:</w:t>
      </w:r>
    </w:p>
    <w:p>
      <w:pPr>
        <w:pStyle w:val="ListParagraph"/>
        <w:numPr>
          <w:ilvl w:val="0"/>
          <w:numId w:val="2"/>
        </w:numPr>
        <w:spacing w:after="40" w:before="40"/>
      </w:pPr>
      <w:r>
        <w:rPr>
          <w:rFonts w:ascii="Arial" w:cs="Arial" w:eastAsia="Arial" w:hAnsi="Arial"/>
          <w:b w:val="false"/>
          <w:bCs w:val="false"/>
          <w:sz w:val="22"/>
          <w:szCs w:val="22"/>
        </w:rPr>
        <w:t xml:space="preserve">Marketing activities involving third-party products or services;</w:t>
      </w:r>
    </w:p>
    <w:p>
      <w:pPr>
        <w:pStyle w:val="ListParagraph"/>
        <w:numPr>
          <w:ilvl w:val="0"/>
          <w:numId w:val="2"/>
        </w:numPr>
        <w:spacing w:after="40" w:before="40"/>
      </w:pPr>
      <w:r>
        <w:rPr>
          <w:rFonts w:ascii="Arial" w:cs="Arial" w:eastAsia="Arial" w:hAnsi="Arial"/>
          <w:b w:val="false"/>
          <w:bCs w:val="false"/>
          <w:sz w:val="22"/>
          <w:szCs w:val="22"/>
        </w:rPr>
        <w:t xml:space="preserve">Sale of PHI;</w:t>
      </w:r>
    </w:p>
    <w:p>
      <w:pPr>
        <w:pStyle w:val="ListParagraph"/>
        <w:numPr>
          <w:ilvl w:val="0"/>
          <w:numId w:val="2"/>
        </w:numPr>
        <w:spacing w:after="40" w:before="40"/>
      </w:pPr>
      <w:r>
        <w:rPr>
          <w:rFonts w:ascii="Arial" w:cs="Arial" w:eastAsia="Arial" w:hAnsi="Arial"/>
          <w:b w:val="false"/>
          <w:bCs w:val="false"/>
          <w:sz w:val="22"/>
          <w:szCs w:val="22"/>
        </w:rPr>
        <w:t xml:space="preserve">Psychotherapy notes (separate authorization required);</w:t>
      </w:r>
    </w:p>
    <w:p>
      <w:pPr>
        <w:pStyle w:val="ListParagraph"/>
        <w:numPr>
          <w:ilvl w:val="0"/>
          <w:numId w:val="2"/>
        </w:numPr>
        <w:spacing w:after="40" w:before="40"/>
      </w:pPr>
      <w:r>
        <w:rPr>
          <w:rFonts w:ascii="Arial" w:cs="Arial" w:eastAsia="Arial" w:hAnsi="Arial"/>
          <w:b w:val="false"/>
          <w:bCs w:val="false"/>
          <w:sz w:val="22"/>
          <w:szCs w:val="22"/>
        </w:rPr>
        <w:t xml:space="preserve">Uses and disclosures not otherwise permitted or required by law.</w:t>
      </w:r>
    </w:p>
    <w:p>
      <w:pPr>
        <w:pStyle w:val="Heading1"/>
        <w:spacing w:after="120" w:before="360"/>
      </w:pPr>
      <w:r>
        <w:rPr>
          <w:rFonts w:ascii="Arial" w:cs="Arial" w:eastAsia="Arial" w:hAnsi="Arial"/>
          <w:b/>
          <w:bCs/>
          <w:color w:val="1F4E79"/>
          <w:sz w:val="32"/>
          <w:szCs w:val="32"/>
        </w:rPr>
        <w:t xml:space="preserve">6. Minimum Necessary Standard</w:t>
      </w:r>
    </w:p>
    <w:p>
      <w:pPr>
        <w:spacing w:after="100" w:before="60"/>
      </w:pPr>
      <w:r>
        <w:rPr>
          <w:rFonts w:ascii="Arial" w:cs="Arial" w:eastAsia="Arial" w:hAnsi="Arial"/>
          <w:sz w:val="22"/>
          <w:szCs w:val="22"/>
        </w:rPr>
        <w:t xml:space="preserve">All workforce members must apply the minimum necessary standard when using or disclosing PHI. Workforce members must access only the PHI required to perform their job functions and must not access patient records without a legitimate treatment, payment, or operations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i</w:t>
            </w:r>
          </w:p>
        </w:tc>
        <w:tc>
          <w:tcPr>
            <w:tcW w:type="dxa" w:w="86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20"/>
            </w:tcMar>
          </w:tcPr>
          <w:p>
            <w:r>
              <w:rPr>
                <w:rFonts w:ascii="Arial" w:cs="Arial" w:eastAsia="Arial" w:hAnsi="Arial"/>
                <w:b/>
                <w:bCs/>
                <w:color w:val="1F4E79"/>
                <w:sz w:val="22"/>
                <w:szCs w:val="22"/>
              </w:rPr>
              <w:t xml:space="preserve">Role-Based Access</w:t>
            </w:r>
          </w:p>
          <w:p>
            <w:pPr>
              <w:spacing w:before="40"/>
            </w:pPr>
            <w:r>
              <w:rPr>
                <w:rFonts w:ascii="Arial" w:cs="Arial" w:eastAsia="Arial" w:hAnsi="Arial"/>
                <w:sz w:val="20"/>
                <w:szCs w:val="20"/>
              </w:rPr>
              <w:t xml:space="preserve">Access to PHI in the EHR and other systems is limited by role-based permissions. Accessing records for which you have no current care relationship — including family members, coworkers, or public figures — is a HIPAA violation subject to discipline.</w:t>
            </w:r>
          </w:p>
        </w:tc>
      </w:tr>
    </w:tbl>
    <w:p>
      <w:pPr>
        <w:pStyle w:val="Heading1"/>
        <w:spacing w:after="120" w:before="360"/>
      </w:pPr>
      <w:r>
        <w:rPr>
          <w:rFonts w:ascii="Arial" w:cs="Arial" w:eastAsia="Arial" w:hAnsi="Arial"/>
          <w:b/>
          <w:bCs/>
          <w:color w:val="1F4E79"/>
          <w:sz w:val="32"/>
          <w:szCs w:val="32"/>
        </w:rPr>
        <w:t xml:space="preserve">7. Patient Rights</w:t>
      </w:r>
    </w:p>
    <w:p>
      <w:pPr>
        <w:pStyle w:val="Heading2"/>
        <w:spacing w:after="80" w:before="240"/>
      </w:pPr>
      <w:r>
        <w:rPr>
          <w:rFonts w:ascii="Arial" w:cs="Arial" w:eastAsia="Arial" w:hAnsi="Arial"/>
          <w:b/>
          <w:bCs/>
          <w:color w:val="2E75B6"/>
          <w:sz w:val="26"/>
          <w:szCs w:val="26"/>
        </w:rPr>
        <w:t xml:space="preserve">7.1  Right of Access</w:t>
      </w:r>
    </w:p>
    <w:p>
      <w:pPr>
        <w:spacing w:after="100" w:before="60"/>
      </w:pPr>
      <w:r>
        <w:rPr>
          <w:rFonts w:ascii="Arial" w:cs="Arial" w:eastAsia="Arial" w:hAnsi="Arial"/>
          <w:sz w:val="22"/>
          <w:szCs w:val="22"/>
        </w:rPr>
        <w:t xml:space="preserve">Patients have the right to inspect and obtain a copy of their PHI in a designated record set. The Organization must respond within 30 calendar days of the request (one 30-day extension allowed with written notice). Fees, if charged, must reflect actual copying costs only.</w:t>
      </w:r>
    </w:p>
    <w:p>
      <w:pPr>
        <w:pStyle w:val="Heading2"/>
        <w:spacing w:after="80" w:before="240"/>
      </w:pPr>
      <w:r>
        <w:rPr>
          <w:rFonts w:ascii="Arial" w:cs="Arial" w:eastAsia="Arial" w:hAnsi="Arial"/>
          <w:b/>
          <w:bCs/>
          <w:color w:val="2E75B6"/>
          <w:sz w:val="26"/>
          <w:szCs w:val="26"/>
        </w:rPr>
        <w:t xml:space="preserve">7.2  Right to Amend</w:t>
      </w:r>
    </w:p>
    <w:p>
      <w:pPr>
        <w:spacing w:after="100" w:before="60"/>
      </w:pPr>
      <w:r>
        <w:rPr>
          <w:rFonts w:ascii="Arial" w:cs="Arial" w:eastAsia="Arial" w:hAnsi="Arial"/>
          <w:sz w:val="22"/>
          <w:szCs w:val="22"/>
        </w:rPr>
        <w:t xml:space="preserve">Patients may request amendments to their PHI. The Organization has 60 days to act on the request (one 30-day extension allowed). If denied, the patient must be provided a written explanation and the right to submit a written statement of disagreement.</w:t>
      </w:r>
    </w:p>
    <w:p>
      <w:pPr>
        <w:pStyle w:val="Heading2"/>
        <w:spacing w:after="80" w:before="240"/>
      </w:pPr>
      <w:r>
        <w:rPr>
          <w:rFonts w:ascii="Arial" w:cs="Arial" w:eastAsia="Arial" w:hAnsi="Arial"/>
          <w:b/>
          <w:bCs/>
          <w:color w:val="2E75B6"/>
          <w:sz w:val="26"/>
          <w:szCs w:val="26"/>
        </w:rPr>
        <w:t xml:space="preserve">7.3  Right to an Accounting of Disclosures</w:t>
      </w:r>
    </w:p>
    <w:p>
      <w:pPr>
        <w:spacing w:after="100" w:before="60"/>
      </w:pPr>
      <w:r>
        <w:rPr>
          <w:rFonts w:ascii="Arial" w:cs="Arial" w:eastAsia="Arial" w:hAnsi="Arial"/>
          <w:sz w:val="22"/>
          <w:szCs w:val="22"/>
        </w:rPr>
        <w:t xml:space="preserve">Patients may request an accounting of disclosures of their PHI made in the six years prior to the request. Disclosures for TPO, to the individual themselves, or pursuant to an authorization are excluded. Requests must be fulfilled within 60 days.</w:t>
      </w:r>
    </w:p>
    <w:p>
      <w:pPr>
        <w:pStyle w:val="Heading2"/>
        <w:spacing w:after="80" w:before="240"/>
      </w:pPr>
      <w:r>
        <w:rPr>
          <w:rFonts w:ascii="Arial" w:cs="Arial" w:eastAsia="Arial" w:hAnsi="Arial"/>
          <w:b/>
          <w:bCs/>
          <w:color w:val="2E75B6"/>
          <w:sz w:val="26"/>
          <w:szCs w:val="26"/>
        </w:rPr>
        <w:t xml:space="preserve">7.4  Right to Request Restrictions</w:t>
      </w:r>
    </w:p>
    <w:p>
      <w:pPr>
        <w:spacing w:after="100" w:before="60"/>
      </w:pPr>
      <w:r>
        <w:rPr>
          <w:rFonts w:ascii="Arial" w:cs="Arial" w:eastAsia="Arial" w:hAnsi="Arial"/>
          <w:sz w:val="22"/>
          <w:szCs w:val="22"/>
        </w:rPr>
        <w:t xml:space="preserve">Patients may request restrictions on uses and disclosures of their PHI. The Organization is not required to agree to most restrictions; however, it must agree to restrict disclosure to a health plan when the patient has paid out of pocket in full for a service and requests that the information not be shared with the plan.</w:t>
      </w:r>
    </w:p>
    <w:p>
      <w:pPr>
        <w:pStyle w:val="Heading2"/>
        <w:spacing w:after="80" w:before="240"/>
      </w:pPr>
      <w:r>
        <w:rPr>
          <w:rFonts w:ascii="Arial" w:cs="Arial" w:eastAsia="Arial" w:hAnsi="Arial"/>
          <w:b/>
          <w:bCs/>
          <w:color w:val="2E75B6"/>
          <w:sz w:val="26"/>
          <w:szCs w:val="26"/>
        </w:rPr>
        <w:t xml:space="preserve">7.5  Right to Confidential Communications</w:t>
      </w:r>
    </w:p>
    <w:p>
      <w:pPr>
        <w:spacing w:after="100" w:before="60"/>
      </w:pPr>
      <w:r>
        <w:rPr>
          <w:rFonts w:ascii="Arial" w:cs="Arial" w:eastAsia="Arial" w:hAnsi="Arial"/>
          <w:sz w:val="22"/>
          <w:szCs w:val="22"/>
        </w:rPr>
        <w:t xml:space="preserve">Patients may request that the Organization communicate with them about PHI through alternative means or at alternative locations (e.g., call only a specific phone number, send mail only to a specific address). The Organization must accommodate reasonable requests.</w:t>
      </w:r>
    </w:p>
    <w:p>
      <w:pPr>
        <w:pStyle w:val="Heading2"/>
        <w:spacing w:after="80" w:before="240"/>
      </w:pPr>
      <w:r>
        <w:rPr>
          <w:rFonts w:ascii="Arial" w:cs="Arial" w:eastAsia="Arial" w:hAnsi="Arial"/>
          <w:b/>
          <w:bCs/>
          <w:color w:val="2E75B6"/>
          <w:sz w:val="26"/>
          <w:szCs w:val="26"/>
        </w:rPr>
        <w:t xml:space="preserve">7.6  Right to Notification of Breach</w:t>
      </w:r>
    </w:p>
    <w:p>
      <w:pPr>
        <w:spacing w:after="100" w:before="60"/>
      </w:pPr>
      <w:r>
        <w:rPr>
          <w:rFonts w:ascii="Arial" w:cs="Arial" w:eastAsia="Arial" w:hAnsi="Arial"/>
          <w:sz w:val="22"/>
          <w:szCs w:val="22"/>
        </w:rPr>
        <w:t xml:space="preserve">Patients have the right to be notified following the discovery of a breach of their unsecured PHI, in accordance with the HIPAA Breach Notification Rule and the Organization's Breach Notification Policy (BN-001).</w:t>
      </w:r>
    </w:p>
    <w:p>
      <w:pPr>
        <w:pStyle w:val="Heading1"/>
        <w:spacing w:after="120" w:before="360"/>
      </w:pPr>
      <w:r>
        <w:rPr>
          <w:rFonts w:ascii="Arial" w:cs="Arial" w:eastAsia="Arial" w:hAnsi="Arial"/>
          <w:b/>
          <w:bCs/>
          <w:color w:val="1F4E79"/>
          <w:sz w:val="32"/>
          <w:szCs w:val="32"/>
        </w:rPr>
        <w:t xml:space="preserve">8. Privacy Officer</w:t>
      </w:r>
    </w:p>
    <w:p>
      <w:pPr>
        <w:spacing w:after="100" w:before="60"/>
      </w:pPr>
      <w:r>
        <w:rPr>
          <w:rFonts w:ascii="Arial" w:cs="Arial" w:eastAsia="Arial" w:hAnsi="Arial"/>
          <w:sz w:val="22"/>
          <w:szCs w:val="22"/>
        </w:rPr>
        <w:t xml:space="preserve">The Organization designates a Privacy Officer responsible for:</w:t>
      </w:r>
    </w:p>
    <w:p>
      <w:pPr>
        <w:pStyle w:val="ListParagraph"/>
        <w:numPr>
          <w:ilvl w:val="0"/>
          <w:numId w:val="2"/>
        </w:numPr>
        <w:spacing w:after="40" w:before="40"/>
      </w:pPr>
      <w:r>
        <w:rPr>
          <w:rFonts w:ascii="Arial" w:cs="Arial" w:eastAsia="Arial" w:hAnsi="Arial"/>
          <w:b w:val="false"/>
          <w:bCs w:val="false"/>
          <w:sz w:val="22"/>
          <w:szCs w:val="22"/>
        </w:rPr>
        <w:t xml:space="preserve">Developing, implementing, and maintaining HIPAA privacy policies and procedures;</w:t>
      </w:r>
    </w:p>
    <w:p>
      <w:pPr>
        <w:pStyle w:val="ListParagraph"/>
        <w:numPr>
          <w:ilvl w:val="0"/>
          <w:numId w:val="2"/>
        </w:numPr>
        <w:spacing w:after="40" w:before="40"/>
      </w:pPr>
      <w:r>
        <w:rPr>
          <w:rFonts w:ascii="Arial" w:cs="Arial" w:eastAsia="Arial" w:hAnsi="Arial"/>
          <w:b w:val="false"/>
          <w:bCs w:val="false"/>
          <w:sz w:val="22"/>
          <w:szCs w:val="22"/>
        </w:rPr>
        <w:t xml:space="preserve">Receiving, investigating, and responding to privacy complaints;</w:t>
      </w:r>
    </w:p>
    <w:p>
      <w:pPr>
        <w:pStyle w:val="ListParagraph"/>
        <w:numPr>
          <w:ilvl w:val="0"/>
          <w:numId w:val="2"/>
        </w:numPr>
        <w:spacing w:after="40" w:before="40"/>
      </w:pPr>
      <w:r>
        <w:rPr>
          <w:rFonts w:ascii="Arial" w:cs="Arial" w:eastAsia="Arial" w:hAnsi="Arial"/>
          <w:b w:val="false"/>
          <w:bCs w:val="false"/>
          <w:sz w:val="22"/>
          <w:szCs w:val="22"/>
        </w:rPr>
        <w:t xml:space="preserve">Conducting workforce privacy training;</w:t>
      </w:r>
    </w:p>
    <w:p>
      <w:pPr>
        <w:pStyle w:val="ListParagraph"/>
        <w:numPr>
          <w:ilvl w:val="0"/>
          <w:numId w:val="2"/>
        </w:numPr>
        <w:spacing w:after="40" w:before="40"/>
      </w:pPr>
      <w:r>
        <w:rPr>
          <w:rFonts w:ascii="Arial" w:cs="Arial" w:eastAsia="Arial" w:hAnsi="Arial"/>
          <w:b w:val="false"/>
          <w:bCs w:val="false"/>
          <w:sz w:val="22"/>
          <w:szCs w:val="22"/>
        </w:rPr>
        <w:t xml:space="preserve">Serving as the primary contact for HIPAA compliance questions;</w:t>
      </w:r>
    </w:p>
    <w:p>
      <w:pPr>
        <w:pStyle w:val="ListParagraph"/>
        <w:numPr>
          <w:ilvl w:val="0"/>
          <w:numId w:val="2"/>
        </w:numPr>
        <w:spacing w:after="40" w:before="40"/>
      </w:pPr>
      <w:r>
        <w:rPr>
          <w:rFonts w:ascii="Arial" w:cs="Arial" w:eastAsia="Arial" w:hAnsi="Arial"/>
          <w:b w:val="false"/>
          <w:bCs w:val="false"/>
          <w:sz w:val="22"/>
          <w:szCs w:val="22"/>
        </w:rPr>
        <w:t xml:space="preserve">Overseeing Business Associate Agreement management;</w:t>
      </w:r>
    </w:p>
    <w:p>
      <w:pPr>
        <w:pStyle w:val="ListParagraph"/>
        <w:numPr>
          <w:ilvl w:val="0"/>
          <w:numId w:val="2"/>
        </w:numPr>
        <w:spacing w:after="40" w:before="40"/>
      </w:pPr>
      <w:r>
        <w:rPr>
          <w:rFonts w:ascii="Arial" w:cs="Arial" w:eastAsia="Arial" w:hAnsi="Arial"/>
          <w:b w:val="false"/>
          <w:bCs w:val="false"/>
          <w:sz w:val="22"/>
          <w:szCs w:val="22"/>
        </w:rPr>
        <w:t xml:space="preserve">Reporting material privacy matters to senior leadership.</w:t>
      </w:r>
    </w:p>
    <w:p>
      <w:pPr>
        <w:pStyle w:val="Heading1"/>
        <w:spacing w:after="120" w:before="360"/>
      </w:pPr>
      <w:r>
        <w:rPr>
          <w:rFonts w:ascii="Arial" w:cs="Arial" w:eastAsia="Arial" w:hAnsi="Arial"/>
          <w:b/>
          <w:bCs/>
          <w:color w:val="1F4E79"/>
          <w:sz w:val="32"/>
          <w:szCs w:val="32"/>
        </w:rPr>
        <w:t xml:space="preserve">9. Workforce Training and Sanctions</w:t>
      </w:r>
    </w:p>
    <w:p>
      <w:pPr>
        <w:spacing w:after="100" w:before="60"/>
      </w:pPr>
      <w:r>
        <w:rPr>
          <w:rFonts w:ascii="Arial" w:cs="Arial" w:eastAsia="Arial" w:hAnsi="Arial"/>
          <w:sz w:val="22"/>
          <w:szCs w:val="22"/>
        </w:rPr>
        <w:t xml:space="preserve">All workforce members must complete HIPAA privacy training prior to accessing PHI and annually thereafter. Violations of this policy will result in sanctions up to and including termination, consistent with the Organization's Workforce Sanctions Policy (HR-003). Willful or knowing violations may be referred to HHS Office for Civil Rights.</w:t>
      </w:r>
    </w:p>
    <w:p>
      <w:pPr>
        <w:pStyle w:val="Heading1"/>
        <w:spacing w:after="120" w:before="360"/>
      </w:pPr>
      <w:r>
        <w:rPr>
          <w:rFonts w:ascii="Arial" w:cs="Arial" w:eastAsia="Arial" w:hAnsi="Arial"/>
          <w:b/>
          <w:bCs/>
          <w:color w:val="1F4E79"/>
          <w:sz w:val="32"/>
          <w:szCs w:val="32"/>
        </w:rPr>
        <w:t xml:space="preserve">10. Complaints</w:t>
      </w:r>
    </w:p>
    <w:p>
      <w:pPr>
        <w:spacing w:after="100" w:before="60"/>
      </w:pPr>
      <w:r>
        <w:rPr>
          <w:rFonts w:ascii="Arial" w:cs="Arial" w:eastAsia="Arial" w:hAnsi="Arial"/>
          <w:sz w:val="22"/>
          <w:szCs w:val="22"/>
        </w:rPr>
        <w:t xml:space="preserve">Patients and workforce members may file privacy complaints without fear of retaliation. Complaints should be directed to the Privacy Officer at [Privacy Officer Contact Information]. Patients may also file complaints directly with HHS OCR at www.hhs.gov/ocr.</w:t>
      </w:r>
    </w:p>
    <w:p>
      <w:pPr>
        <w:pStyle w:val="Heading1"/>
        <w:spacing w:after="120" w:before="360"/>
      </w:pPr>
      <w:r>
        <w:rPr>
          <w:rFonts w:ascii="Arial" w:cs="Arial" w:eastAsia="Arial" w:hAnsi="Arial"/>
          <w:b/>
          <w:bCs/>
          <w:color w:val="1F4E79"/>
          <w:sz w:val="32"/>
          <w:szCs w:val="32"/>
        </w:rPr>
        <w:t xml:space="preserve">11. Related Policies</w:t>
      </w:r>
    </w:p>
    <w:p>
      <w:pPr>
        <w:pStyle w:val="ListParagraph"/>
        <w:numPr>
          <w:ilvl w:val="0"/>
          <w:numId w:val="2"/>
        </w:numPr>
        <w:spacing w:after="40" w:before="40"/>
      </w:pPr>
      <w:r>
        <w:rPr>
          <w:rFonts w:ascii="Arial" w:cs="Arial" w:eastAsia="Arial" w:hAnsi="Arial"/>
          <w:b w:val="false"/>
          <w:bCs w:val="false"/>
          <w:sz w:val="22"/>
          <w:szCs w:val="22"/>
        </w:rPr>
        <w:t xml:space="preserve">HIPAA Security Policy (SEC-001)</w:t>
      </w:r>
    </w:p>
    <w:p>
      <w:pPr>
        <w:pStyle w:val="ListParagraph"/>
        <w:numPr>
          <w:ilvl w:val="0"/>
          <w:numId w:val="2"/>
        </w:numPr>
        <w:spacing w:after="40" w:before="40"/>
      </w:pPr>
      <w:r>
        <w:rPr>
          <w:rFonts w:ascii="Arial" w:cs="Arial" w:eastAsia="Arial" w:hAnsi="Arial"/>
          <w:b w:val="false"/>
          <w:bCs w:val="false"/>
          <w:sz w:val="22"/>
          <w:szCs w:val="22"/>
        </w:rPr>
        <w:t xml:space="preserve">Breach Notification Policy (BN-001)</w:t>
      </w:r>
    </w:p>
    <w:p>
      <w:pPr>
        <w:pStyle w:val="ListParagraph"/>
        <w:numPr>
          <w:ilvl w:val="0"/>
          <w:numId w:val="2"/>
        </w:numPr>
        <w:spacing w:after="40" w:before="40"/>
      </w:pPr>
      <w:r>
        <w:rPr>
          <w:rFonts w:ascii="Arial" w:cs="Arial" w:eastAsia="Arial" w:hAnsi="Arial"/>
          <w:b w:val="false"/>
          <w:bCs w:val="false"/>
          <w:sz w:val="22"/>
          <w:szCs w:val="22"/>
        </w:rPr>
        <w:t xml:space="preserve">Workforce Sanctions Policy (HR-003)</w:t>
      </w:r>
    </w:p>
    <w:p>
      <w:pPr>
        <w:pStyle w:val="ListParagraph"/>
        <w:numPr>
          <w:ilvl w:val="0"/>
          <w:numId w:val="2"/>
        </w:numPr>
        <w:spacing w:after="40" w:before="40"/>
      </w:pPr>
      <w:r>
        <w:rPr>
          <w:rFonts w:ascii="Arial" w:cs="Arial" w:eastAsia="Arial" w:hAnsi="Arial"/>
          <w:b w:val="false"/>
          <w:bCs w:val="false"/>
          <w:sz w:val="22"/>
          <w:szCs w:val="22"/>
        </w:rPr>
        <w:t xml:space="preserve">AI Acceptable Use Policy (AI-001)</w:t>
      </w:r>
    </w:p>
    <w:p>
      <w:pPr>
        <w:pStyle w:val="ListParagraph"/>
        <w:numPr>
          <w:ilvl w:val="0"/>
          <w:numId w:val="2"/>
        </w:numPr>
        <w:spacing w:after="40" w:before="40"/>
      </w:pPr>
      <w:r>
        <w:rPr>
          <w:rFonts w:ascii="Arial" w:cs="Arial" w:eastAsia="Arial" w:hAnsi="Arial"/>
          <w:b w:val="false"/>
          <w:bCs w:val="false"/>
          <w:sz w:val="22"/>
          <w:szCs w:val="22"/>
        </w:rPr>
        <w:t xml:space="preserve">Vendor and Business Associate Management Policy (VND-001)</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HIPAA Privacy Policy (PRIV-001)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2026-03-19T17:13:19.661Z</dcterms:created>
  <dcterms:modified xsi:type="dcterms:W3CDTF">2026-03-19T17:13:19.662Z</dcterms:modified>
</cp:coreProperties>
</file>

<file path=docProps/custom.xml><?xml version="1.0" encoding="utf-8"?>
<Properties xmlns="http://schemas.openxmlformats.org/officeDocument/2006/custom-properties" xmlns:vt="http://schemas.openxmlformats.org/officeDocument/2006/docPropsVTypes"/>
</file>