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40" w:before="0"/>
        <w:jc w:val="center"/>
      </w:pPr>
      <w:r>
        <w:rPr>
          <w:rFonts w:ascii="Arial" w:cs="Arial" w:eastAsia="Arial" w:hAnsi="Arial"/>
          <w:b/>
          <w:bCs/>
          <w:color w:val="2E75B6"/>
          <w:sz w:val="22"/>
          <w:szCs w:val="22"/>
        </w:rPr>
        <w:t xml:space="preserve">ORGANIZATIONAL POLICY</w:t>
      </w:r>
    </w:p>
    <w:p>
      <w:pPr>
        <w:spacing w:after="60" w:before="0"/>
        <w:jc w:val="center"/>
      </w:pPr>
      <w:r>
        <w:rPr>
          <w:rFonts w:ascii="Arial" w:cs="Arial" w:eastAsia="Arial" w:hAnsi="Arial"/>
          <w:b/>
          <w:bCs/>
          <w:color w:val="1F4E79"/>
          <w:sz w:val="52"/>
          <w:szCs w:val="52"/>
        </w:rPr>
        <w:t xml:space="preserve">HIPAA Security Policy</w:t>
      </w:r>
    </w:p>
    <w:p>
      <w:pPr>
        <w:spacing w:after="80" w:before="0"/>
        <w:jc w:val="center"/>
      </w:pPr>
      <w:r>
        <w:rPr>
          <w:rFonts w:ascii="Arial" w:cs="Arial" w:eastAsia="Arial" w:hAnsi="Arial"/>
          <w:color w:val="2E75B6"/>
          <w:sz w:val="30"/>
          <w:szCs w:val="30"/>
        </w:rPr>
        <w:t xml:space="preserve">Safeguarding Electronic Protected Health Information</w:t>
      </w:r>
    </w:p>
    <w:p>
      <w:pPr>
        <w:pBdr>
          <w:bottom w:val="single" w:color="2E75B6" w:sz="4"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Policy Number:</w:t>
            </w:r>
          </w:p>
          <w:p>
            <w:r>
              <w:rPr>
                <w:rFonts w:ascii="Arial" w:cs="Arial" w:eastAsia="Arial" w:hAnsi="Arial"/>
                <w:sz w:val="20"/>
                <w:szCs w:val="20"/>
              </w:rPr>
              <w:t xml:space="preserve">SEC-001</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Effective Date:</w:t>
            </w:r>
          </w:p>
          <w:p>
            <w:r>
              <w:rPr>
                <w:rFonts w:ascii="Arial" w:cs="Arial" w:eastAsia="Arial" w:hAnsi="Arial"/>
                <w:sz w:val="20"/>
                <w:szCs w:val="20"/>
              </w:rPr>
              <w:t xml:space="preserve">[INSERT DATE]</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Department:</w:t>
            </w:r>
          </w:p>
          <w:p>
            <w:r>
              <w:rPr>
                <w:rFonts w:ascii="Arial" w:cs="Arial" w:eastAsia="Arial" w:hAnsi="Arial"/>
                <w:sz w:val="20"/>
                <w:szCs w:val="20"/>
              </w:rPr>
              <w:t xml:space="preserve">Information Technology / Compliance</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Policy Owner:</w:t>
            </w:r>
          </w:p>
          <w:p>
            <w:r>
              <w:rPr>
                <w:rFonts w:ascii="Arial" w:cs="Arial" w:eastAsia="Arial" w:hAnsi="Arial"/>
                <w:sz w:val="20"/>
                <w:szCs w:val="20"/>
              </w:rPr>
              <w:t xml:space="preserve">Chief Information Security Officer / Privacy Officer</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Review Cycle:</w:t>
            </w:r>
          </w:p>
          <w:p>
            <w:r>
              <w:rPr>
                <w:rFonts w:ascii="Arial" w:cs="Arial" w:eastAsia="Arial" w:hAnsi="Arial"/>
                <w:sz w:val="20"/>
                <w:szCs w:val="20"/>
              </w:rPr>
              <w:t xml:space="preserve">Annual</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Classification:</w:t>
            </w:r>
          </w:p>
          <w:p>
            <w:r>
              <w:rPr>
                <w:rFonts w:ascii="Arial" w:cs="Arial" w:eastAsia="Arial" w:hAnsi="Arial"/>
                <w:sz w:val="20"/>
                <w:szCs w:val="20"/>
              </w:rPr>
              <w:t xml:space="preserve">Internal — All Staff</w:t>
            </w:r>
          </w:p>
        </w:tc>
      </w:tr>
    </w:tbl>
    <w:p>
      <w:pPr>
        <w:spacing w:after="0" w:before="200"/>
      </w:pPr>
      <w:r>
        <w:t xml:space="preserve"/>
      </w:r>
    </w:p>
    <w:p>
      <w:pPr>
        <w:jc w:val="center"/>
      </w:pPr>
      <w:r>
        <w:rPr>
          <w:rFonts w:ascii="Arial" w:cs="Arial" w:eastAsia="Arial" w:hAnsi="Arial"/>
          <w:b/>
          <w:bCs/>
          <w:color w:val="595959"/>
          <w:sz w:val="22"/>
          <w:szCs w:val="22"/>
        </w:rPr>
        <w:t xml:space="preserve">[Organization Name]</w:t>
      </w:r>
    </w:p>
    <w:p>
      <w:pPr>
        <w:jc w:val="center"/>
      </w:pPr>
      <w:r>
        <w:rPr>
          <w:rFonts w:ascii="Arial" w:cs="Arial" w:eastAsia="Arial" w:hAnsi="Arial"/>
          <w:color w:val="595959"/>
          <w:sz w:val="20"/>
          <w:szCs w:val="20"/>
        </w:rPr>
        <w:t xml:space="preserve">[Address]  |  [City, State ZIP]  |  [Website]</w:t>
      </w:r>
    </w:p>
    <w:p>
      <w:pPr>
        <w:spacing w:after="0" w:before="30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1. Purpose</w:t>
      </w:r>
    </w:p>
    <w:p>
      <w:pPr>
        <w:spacing w:after="100" w:before="60"/>
      </w:pPr>
      <w:r>
        <w:rPr>
          <w:rFonts w:ascii="Arial" w:cs="Arial" w:eastAsia="Arial" w:hAnsi="Arial"/>
          <w:sz w:val="22"/>
          <w:szCs w:val="22"/>
        </w:rPr>
        <w:t xml:space="preserve">This policy establishes the administrative, physical, and technical safeguards required to protect the confidentiality, integrity, and availability of electronic Protected Health Information (ePHI) in accordance with the HIPAA Security Rule, 45 CFR Part 164, Subparts A and C. It applies to all information systems, applications, and infrastructure used to create, receive, maintain, or transmit ePHI on behalf of [Organization Name] ("the Organization").</w:t>
      </w:r>
    </w:p>
    <w:p>
      <w:pPr>
        <w:pStyle w:val="Heading1"/>
        <w:spacing w:after="120" w:before="360"/>
      </w:pPr>
      <w:r>
        <w:rPr>
          <w:rFonts w:ascii="Arial" w:cs="Arial" w:eastAsia="Arial" w:hAnsi="Arial"/>
          <w:b/>
          <w:bCs/>
          <w:color w:val="1F4E79"/>
          <w:sz w:val="32"/>
          <w:szCs w:val="32"/>
        </w:rPr>
        <w:t xml:space="preserve">2. Scope</w:t>
      </w:r>
    </w:p>
    <w:p>
      <w:pPr>
        <w:spacing w:after="100" w:before="60"/>
      </w:pPr>
      <w:r>
        <w:rPr>
          <w:rFonts w:ascii="Arial" w:cs="Arial" w:eastAsia="Arial" w:hAnsi="Arial"/>
          <w:sz w:val="22"/>
          <w:szCs w:val="22"/>
        </w:rPr>
        <w:t xml:space="preserve">This policy applies to all workforce members and third parties with access to Organization systems or ePHI. It covers all electronic systems, devices, networks, cloud services, and third-party platforms that process ePHI, regardless of whether they are on-premises or hosted externally.</w:t>
      </w:r>
    </w:p>
    <w:p>
      <w:pPr>
        <w:pStyle w:val="Heading1"/>
        <w:spacing w:after="120" w:before="360"/>
      </w:pPr>
      <w:r>
        <w:rPr>
          <w:rFonts w:ascii="Arial" w:cs="Arial" w:eastAsia="Arial" w:hAnsi="Arial"/>
          <w:b/>
          <w:bCs/>
          <w:color w:val="1F4E79"/>
          <w:sz w:val="32"/>
          <w:szCs w:val="32"/>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ePHI</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Protected Health Information that is created, received, maintained, or transmitted in electronic form.</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Risk Analysis</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 systematic assessment of potential risks and vulnerabilities to the confidentiality, integrity, and availability of ePHI (required by 45 CFR §164.308(a)(1)).</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Risk Management</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Implementation of security measures sufficient to reduce risks and vulnerabilities to a reasonable and appropriate level.</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Workstation</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Any computing device (desktop, laptop, tablet, mobile device) used to access, process, or store ePHI.</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Workforce Member</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Employees, volunteers, trainees, and other persons whose conduct is under the direct control of the Organization.</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Security Incident</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An attempted or successful unauthorized access, use, disclosure, modification, or destruction of ePHI or information systems.</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20"/>
              <w:bottom w:type="dxa" w:w="80"/>
              <w:right w:type="dxa" w:w="120"/>
            </w:tcMar>
          </w:tcPr>
          <w:p>
            <w:r>
              <w:rPr>
                <w:rFonts w:ascii="Arial" w:cs="Arial" w:eastAsia="Arial" w:hAnsi="Arial"/>
                <w:sz w:val="20"/>
                <w:szCs w:val="20"/>
              </w:rPr>
              <w:t xml:space="preserve">Business Associate</w:t>
            </w:r>
          </w:p>
        </w:tc>
        <w:tc>
          <w:tcPr>
            <w:tcW w:type="dxa" w:w="63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 person or entity that creates, receives, maintains, or transmits ePHI on behalf of the Organization.</w:t>
            </w:r>
          </w:p>
        </w:tc>
      </w:tr>
    </w:tbl>
    <w:p>
      <w:pPr>
        <w:pStyle w:val="Heading1"/>
        <w:spacing w:after="120" w:before="360"/>
      </w:pPr>
      <w:r>
        <w:rPr>
          <w:rFonts w:ascii="Arial" w:cs="Arial" w:eastAsia="Arial" w:hAnsi="Arial"/>
          <w:b/>
          <w:bCs/>
          <w:color w:val="1F4E79"/>
          <w:sz w:val="32"/>
          <w:szCs w:val="32"/>
        </w:rPr>
        <w:t xml:space="preserve">4. Administrative Safeguards</w:t>
      </w:r>
    </w:p>
    <w:p>
      <w:pPr>
        <w:pStyle w:val="Heading2"/>
        <w:spacing w:after="80" w:before="240"/>
      </w:pPr>
      <w:r>
        <w:rPr>
          <w:rFonts w:ascii="Arial" w:cs="Arial" w:eastAsia="Arial" w:hAnsi="Arial"/>
          <w:b/>
          <w:bCs/>
          <w:color w:val="2E75B6"/>
          <w:sz w:val="26"/>
          <w:szCs w:val="26"/>
        </w:rPr>
        <w:t xml:space="preserve">4.1  Security Officer</w:t>
      </w:r>
    </w:p>
    <w:p>
      <w:pPr>
        <w:spacing w:after="100" w:before="60"/>
      </w:pPr>
      <w:r>
        <w:rPr>
          <w:rFonts w:ascii="Arial" w:cs="Arial" w:eastAsia="Arial" w:hAnsi="Arial"/>
          <w:sz w:val="22"/>
          <w:szCs w:val="22"/>
        </w:rPr>
        <w:t xml:space="preserve">The Organization designates a HIPAA Security Officer responsible for developing and implementing the Security Policy and related procedures, conducting and documenting the annual Risk Analysis, overseeing security incident response, managing workforce security training, and ensuring compliance with this policy.</w:t>
      </w:r>
    </w:p>
    <w:p>
      <w:pPr>
        <w:pStyle w:val="Heading2"/>
        <w:spacing w:after="80" w:before="240"/>
      </w:pPr>
      <w:r>
        <w:rPr>
          <w:rFonts w:ascii="Arial" w:cs="Arial" w:eastAsia="Arial" w:hAnsi="Arial"/>
          <w:b/>
          <w:bCs/>
          <w:color w:val="2E75B6"/>
          <w:sz w:val="26"/>
          <w:szCs w:val="26"/>
        </w:rPr>
        <w:t xml:space="preserve">4.2  Risk Analysis and Risk Management</w:t>
      </w:r>
    </w:p>
    <w:p>
      <w:pPr>
        <w:spacing w:after="100" w:before="60"/>
      </w:pPr>
      <w:r>
        <w:rPr>
          <w:rFonts w:ascii="Arial" w:cs="Arial" w:eastAsia="Arial" w:hAnsi="Arial"/>
          <w:sz w:val="22"/>
          <w:szCs w:val="22"/>
        </w:rPr>
        <w:t xml:space="preserve">The Organization must conduct and document a thorough Risk Analysis at least annually and whenever there are significant environmental or operational changes. The Risk Analysis must:</w:t>
      </w:r>
    </w:p>
    <w:p>
      <w:pPr>
        <w:pStyle w:val="ListParagraph"/>
        <w:numPr>
          <w:ilvl w:val="0"/>
          <w:numId w:val="2"/>
        </w:numPr>
        <w:spacing w:after="40" w:before="40"/>
      </w:pPr>
      <w:r>
        <w:rPr>
          <w:rFonts w:ascii="Arial" w:cs="Arial" w:eastAsia="Arial" w:hAnsi="Arial"/>
          <w:b w:val="false"/>
          <w:bCs w:val="false"/>
          <w:sz w:val="22"/>
          <w:szCs w:val="22"/>
        </w:rPr>
        <w:t xml:space="preserve">Identify all ePHI the Organization creates, receives, maintains, or transmits;</w:t>
      </w:r>
    </w:p>
    <w:p>
      <w:pPr>
        <w:pStyle w:val="ListParagraph"/>
        <w:numPr>
          <w:ilvl w:val="0"/>
          <w:numId w:val="2"/>
        </w:numPr>
        <w:spacing w:after="40" w:before="40"/>
      </w:pPr>
      <w:r>
        <w:rPr>
          <w:rFonts w:ascii="Arial" w:cs="Arial" w:eastAsia="Arial" w:hAnsi="Arial"/>
          <w:b w:val="false"/>
          <w:bCs w:val="false"/>
          <w:sz w:val="22"/>
          <w:szCs w:val="22"/>
        </w:rPr>
        <w:t xml:space="preserve">Identify reasonably anticipated threats to ePHI security;</w:t>
      </w:r>
    </w:p>
    <w:p>
      <w:pPr>
        <w:pStyle w:val="ListParagraph"/>
        <w:numPr>
          <w:ilvl w:val="0"/>
          <w:numId w:val="2"/>
        </w:numPr>
        <w:spacing w:after="40" w:before="40"/>
      </w:pPr>
      <w:r>
        <w:rPr>
          <w:rFonts w:ascii="Arial" w:cs="Arial" w:eastAsia="Arial" w:hAnsi="Arial"/>
          <w:b w:val="false"/>
          <w:bCs w:val="false"/>
          <w:sz w:val="22"/>
          <w:szCs w:val="22"/>
        </w:rPr>
        <w:t xml:space="preserve">Assess the likelihood and potential impact of each threat;</w:t>
      </w:r>
    </w:p>
    <w:p>
      <w:pPr>
        <w:pStyle w:val="ListParagraph"/>
        <w:numPr>
          <w:ilvl w:val="0"/>
          <w:numId w:val="2"/>
        </w:numPr>
        <w:spacing w:after="40" w:before="40"/>
      </w:pPr>
      <w:r>
        <w:rPr>
          <w:rFonts w:ascii="Arial" w:cs="Arial" w:eastAsia="Arial" w:hAnsi="Arial"/>
          <w:b w:val="false"/>
          <w:bCs w:val="false"/>
          <w:sz w:val="22"/>
          <w:szCs w:val="22"/>
        </w:rPr>
        <w:t xml:space="preserve">Identify existing controls and their effectiveness;</w:t>
      </w:r>
    </w:p>
    <w:p>
      <w:pPr>
        <w:pStyle w:val="ListParagraph"/>
        <w:numPr>
          <w:ilvl w:val="0"/>
          <w:numId w:val="2"/>
        </w:numPr>
        <w:spacing w:after="40" w:before="40"/>
      </w:pPr>
      <w:r>
        <w:rPr>
          <w:rFonts w:ascii="Arial" w:cs="Arial" w:eastAsia="Arial" w:hAnsi="Arial"/>
          <w:b w:val="false"/>
          <w:bCs w:val="false"/>
          <w:sz w:val="22"/>
          <w:szCs w:val="22"/>
        </w:rPr>
        <w:t xml:space="preserve">Document the analysis and resultant risk management plan.</w:t>
      </w:r>
    </w:p>
    <w:p>
      <w:pPr>
        <w:spacing w:after="100" w:before="60"/>
      </w:pPr>
      <w:r>
        <w:rPr>
          <w:rFonts w:ascii="Arial" w:cs="Arial" w:eastAsia="Arial" w:hAnsi="Arial"/>
          <w:sz w:val="22"/>
          <w:szCs w:val="22"/>
        </w:rPr>
        <w:t xml:space="preserve">The Risk Management Plan must implement security measures sufficient to reduce identified risks to a reasonable and appropriate level, and must be reviewed and updated following the annual Risk Analysis.</w:t>
      </w:r>
    </w:p>
    <w:p>
      <w:pPr>
        <w:pStyle w:val="Heading2"/>
        <w:spacing w:after="80" w:before="240"/>
      </w:pPr>
      <w:r>
        <w:rPr>
          <w:rFonts w:ascii="Arial" w:cs="Arial" w:eastAsia="Arial" w:hAnsi="Arial"/>
          <w:b/>
          <w:bCs/>
          <w:color w:val="2E75B6"/>
          <w:sz w:val="26"/>
          <w:szCs w:val="26"/>
        </w:rPr>
        <w:t xml:space="preserve">4.3  Workforce Security</w:t>
      </w:r>
    </w:p>
    <w:p>
      <w:pPr>
        <w:spacing w:after="100" w:before="60"/>
      </w:pPr>
      <w:r>
        <w:rPr>
          <w:rFonts w:ascii="Arial" w:cs="Arial" w:eastAsia="Arial" w:hAnsi="Arial"/>
          <w:sz w:val="22"/>
          <w:szCs w:val="22"/>
        </w:rPr>
        <w:t xml:space="preserve">The Organization must implement procedures for:</w:t>
      </w:r>
    </w:p>
    <w:p>
      <w:pPr>
        <w:pStyle w:val="ListParagraph"/>
        <w:numPr>
          <w:ilvl w:val="0"/>
          <w:numId w:val="2"/>
        </w:numPr>
        <w:spacing w:after="40" w:before="40"/>
      </w:pPr>
      <w:r>
        <w:rPr>
          <w:rFonts w:ascii="Arial" w:cs="Arial" w:eastAsia="Arial" w:hAnsi="Arial"/>
          <w:b w:val="false"/>
          <w:bCs w:val="false"/>
          <w:sz w:val="22"/>
          <w:szCs w:val="22"/>
        </w:rPr>
        <w:t xml:space="preserve">Authorization and supervision of workforce members who work with ePHI;</w:t>
      </w:r>
    </w:p>
    <w:p>
      <w:pPr>
        <w:pStyle w:val="ListParagraph"/>
        <w:numPr>
          <w:ilvl w:val="0"/>
          <w:numId w:val="2"/>
        </w:numPr>
        <w:spacing w:after="40" w:before="40"/>
      </w:pPr>
      <w:r>
        <w:rPr>
          <w:rFonts w:ascii="Arial" w:cs="Arial" w:eastAsia="Arial" w:hAnsi="Arial"/>
          <w:b w:val="false"/>
          <w:bCs w:val="false"/>
          <w:sz w:val="22"/>
          <w:szCs w:val="22"/>
        </w:rPr>
        <w:t xml:space="preserve">Workforce clearance procedures (background checks as appropriate by role);</w:t>
      </w:r>
    </w:p>
    <w:p>
      <w:pPr>
        <w:pStyle w:val="ListParagraph"/>
        <w:numPr>
          <w:ilvl w:val="0"/>
          <w:numId w:val="2"/>
        </w:numPr>
        <w:spacing w:after="40" w:before="40"/>
      </w:pPr>
      <w:r>
        <w:rPr>
          <w:rFonts w:ascii="Arial" w:cs="Arial" w:eastAsia="Arial" w:hAnsi="Arial"/>
          <w:b w:val="false"/>
          <w:bCs w:val="false"/>
          <w:sz w:val="22"/>
          <w:szCs w:val="22"/>
        </w:rPr>
        <w:t xml:space="preserve">Termination procedures — revoking all system access on or before the last day of employment or contract.</w:t>
      </w:r>
    </w:p>
    <w:p>
      <w:pPr>
        <w:pStyle w:val="Heading2"/>
        <w:spacing w:after="80" w:before="240"/>
      </w:pPr>
      <w:r>
        <w:rPr>
          <w:rFonts w:ascii="Arial" w:cs="Arial" w:eastAsia="Arial" w:hAnsi="Arial"/>
          <w:b/>
          <w:bCs/>
          <w:color w:val="2E75B6"/>
          <w:sz w:val="26"/>
          <w:szCs w:val="26"/>
        </w:rPr>
        <w:t xml:space="preserve">4.4  Information Access Management</w:t>
      </w:r>
    </w:p>
    <w:p>
      <w:pPr>
        <w:spacing w:after="100" w:before="60"/>
      </w:pPr>
      <w:r>
        <w:rPr>
          <w:rFonts w:ascii="Arial" w:cs="Arial" w:eastAsia="Arial" w:hAnsi="Arial"/>
          <w:sz w:val="22"/>
          <w:szCs w:val="22"/>
        </w:rPr>
        <w:t xml:space="preserve">Access to ePHI must be granted on a minimum-necessary, role-based basis. Access rights must be reviewed at least annually and whenever a workforce member changes roles.</w:t>
      </w:r>
    </w:p>
    <w:p>
      <w:pPr>
        <w:pStyle w:val="Heading2"/>
        <w:spacing w:after="80" w:before="240"/>
      </w:pPr>
      <w:r>
        <w:rPr>
          <w:rFonts w:ascii="Arial" w:cs="Arial" w:eastAsia="Arial" w:hAnsi="Arial"/>
          <w:b/>
          <w:bCs/>
          <w:color w:val="2E75B6"/>
          <w:sz w:val="26"/>
          <w:szCs w:val="26"/>
        </w:rPr>
        <w:t xml:space="preserve">4.5  Security Awareness and Training</w:t>
      </w:r>
    </w:p>
    <w:p>
      <w:pPr>
        <w:spacing w:after="100" w:before="60"/>
      </w:pPr>
      <w:r>
        <w:rPr>
          <w:rFonts w:ascii="Arial" w:cs="Arial" w:eastAsia="Arial" w:hAnsi="Arial"/>
          <w:sz w:val="22"/>
          <w:szCs w:val="22"/>
        </w:rPr>
        <w:t xml:space="preserve">All workforce members must complete HIPAA Security awareness training prior to accessing ePHI and annually thereafter. Training must include:</w:t>
      </w:r>
    </w:p>
    <w:p>
      <w:pPr>
        <w:pStyle w:val="ListParagraph"/>
        <w:numPr>
          <w:ilvl w:val="0"/>
          <w:numId w:val="2"/>
        </w:numPr>
        <w:spacing w:after="40" w:before="40"/>
      </w:pPr>
      <w:r>
        <w:rPr>
          <w:rFonts w:ascii="Arial" w:cs="Arial" w:eastAsia="Arial" w:hAnsi="Arial"/>
          <w:b w:val="false"/>
          <w:bCs w:val="false"/>
          <w:sz w:val="22"/>
          <w:szCs w:val="22"/>
        </w:rPr>
        <w:t xml:space="preserve">Password management best practices;</w:t>
      </w:r>
    </w:p>
    <w:p>
      <w:pPr>
        <w:pStyle w:val="ListParagraph"/>
        <w:numPr>
          <w:ilvl w:val="0"/>
          <w:numId w:val="2"/>
        </w:numPr>
        <w:spacing w:after="40" w:before="40"/>
      </w:pPr>
      <w:r>
        <w:rPr>
          <w:rFonts w:ascii="Arial" w:cs="Arial" w:eastAsia="Arial" w:hAnsi="Arial"/>
          <w:b w:val="false"/>
          <w:bCs w:val="false"/>
          <w:sz w:val="22"/>
          <w:szCs w:val="22"/>
        </w:rPr>
        <w:t xml:space="preserve">Malicious software (malware) awareness;</w:t>
      </w:r>
    </w:p>
    <w:p>
      <w:pPr>
        <w:pStyle w:val="ListParagraph"/>
        <w:numPr>
          <w:ilvl w:val="0"/>
          <w:numId w:val="2"/>
        </w:numPr>
        <w:spacing w:after="40" w:before="40"/>
      </w:pPr>
      <w:r>
        <w:rPr>
          <w:rFonts w:ascii="Arial" w:cs="Arial" w:eastAsia="Arial" w:hAnsi="Arial"/>
          <w:b w:val="false"/>
          <w:bCs w:val="false"/>
          <w:sz w:val="22"/>
          <w:szCs w:val="22"/>
        </w:rPr>
        <w:t xml:space="preserve">Log-in monitoring and suspicious activity reporting;</w:t>
      </w:r>
    </w:p>
    <w:p>
      <w:pPr>
        <w:pStyle w:val="ListParagraph"/>
        <w:numPr>
          <w:ilvl w:val="0"/>
          <w:numId w:val="2"/>
        </w:numPr>
        <w:spacing w:after="40" w:before="40"/>
      </w:pPr>
      <w:r>
        <w:rPr>
          <w:rFonts w:ascii="Arial" w:cs="Arial" w:eastAsia="Arial" w:hAnsi="Arial"/>
          <w:b w:val="false"/>
          <w:bCs w:val="false"/>
          <w:sz w:val="22"/>
          <w:szCs w:val="22"/>
        </w:rPr>
        <w:t xml:space="preserve">Security incident reporting procedures;</w:t>
      </w:r>
    </w:p>
    <w:p>
      <w:pPr>
        <w:pStyle w:val="ListParagraph"/>
        <w:numPr>
          <w:ilvl w:val="0"/>
          <w:numId w:val="2"/>
        </w:numPr>
        <w:spacing w:after="40" w:before="40"/>
      </w:pPr>
      <w:r>
        <w:rPr>
          <w:rFonts w:ascii="Arial" w:cs="Arial" w:eastAsia="Arial" w:hAnsi="Arial"/>
          <w:b w:val="false"/>
          <w:bCs w:val="false"/>
          <w:sz w:val="22"/>
          <w:szCs w:val="22"/>
        </w:rPr>
        <w:t xml:space="preserve">AI tool security considerations (see AI Acceptable Use Policy AI-001).</w:t>
      </w:r>
    </w:p>
    <w:p>
      <w:pPr>
        <w:pStyle w:val="Heading2"/>
        <w:spacing w:after="80" w:before="240"/>
      </w:pPr>
      <w:r>
        <w:rPr>
          <w:rFonts w:ascii="Arial" w:cs="Arial" w:eastAsia="Arial" w:hAnsi="Arial"/>
          <w:b/>
          <w:bCs/>
          <w:color w:val="2E75B6"/>
          <w:sz w:val="26"/>
          <w:szCs w:val="26"/>
        </w:rPr>
        <w:t xml:space="preserve">4.6  Security Incident Response</w:t>
      </w:r>
    </w:p>
    <w:p>
      <w:pPr>
        <w:spacing w:after="100" w:before="60"/>
      </w:pPr>
      <w:r>
        <w:rPr>
          <w:rFonts w:ascii="Arial" w:cs="Arial" w:eastAsia="Arial" w:hAnsi="Arial"/>
          <w:sz w:val="22"/>
          <w:szCs w:val="22"/>
        </w:rPr>
        <w:t xml:space="preserve">The Organization must implement procedures to identify, respond to, mitigate, and document security incidents. All suspected security incidents must be reported to the Security Officer and IT department immediately. Incidents must be logged, investigated, and resolved with documented outcomes. Security incidents involving ePHI must be evaluated under the Breach Notification Policy (BN-001).</w:t>
      </w:r>
    </w:p>
    <w:p>
      <w:pPr>
        <w:pStyle w:val="Heading2"/>
        <w:spacing w:after="80" w:before="240"/>
      </w:pPr>
      <w:r>
        <w:rPr>
          <w:rFonts w:ascii="Arial" w:cs="Arial" w:eastAsia="Arial" w:hAnsi="Arial"/>
          <w:b/>
          <w:bCs/>
          <w:color w:val="2E75B6"/>
          <w:sz w:val="26"/>
          <w:szCs w:val="26"/>
        </w:rPr>
        <w:t xml:space="preserve">4.7  Contingency Planning</w:t>
      </w:r>
    </w:p>
    <w:p>
      <w:pPr>
        <w:spacing w:after="100" w:before="60"/>
      </w:pPr>
      <w:r>
        <w:rPr>
          <w:rFonts w:ascii="Arial" w:cs="Arial" w:eastAsia="Arial" w:hAnsi="Arial"/>
          <w:sz w:val="22"/>
          <w:szCs w:val="22"/>
        </w:rPr>
        <w:t xml:space="preserve">The Organization must maintain a contingency plan for ePHI systems that includes:</w:t>
      </w:r>
    </w:p>
    <w:p>
      <w:pPr>
        <w:pStyle w:val="ListParagraph"/>
        <w:numPr>
          <w:ilvl w:val="0"/>
          <w:numId w:val="2"/>
        </w:numPr>
        <w:spacing w:after="40" w:before="40"/>
      </w:pPr>
      <w:r>
        <w:rPr>
          <w:rFonts w:ascii="Arial" w:cs="Arial" w:eastAsia="Arial" w:hAnsi="Arial"/>
          <w:b w:val="false"/>
          <w:bCs w:val="false"/>
          <w:sz w:val="22"/>
          <w:szCs w:val="22"/>
        </w:rPr>
        <w:t xml:space="preserve">Data backup plan: Regularly scheduled backups of all ePHI, tested periodically for recoverability;</w:t>
      </w:r>
    </w:p>
    <w:p>
      <w:pPr>
        <w:pStyle w:val="ListParagraph"/>
        <w:numPr>
          <w:ilvl w:val="0"/>
          <w:numId w:val="2"/>
        </w:numPr>
        <w:spacing w:after="40" w:before="40"/>
      </w:pPr>
      <w:r>
        <w:rPr>
          <w:rFonts w:ascii="Arial" w:cs="Arial" w:eastAsia="Arial" w:hAnsi="Arial"/>
          <w:b w:val="false"/>
          <w:bCs w:val="false"/>
          <w:sz w:val="22"/>
          <w:szCs w:val="22"/>
        </w:rPr>
        <w:t xml:space="preserve">Disaster recovery plan: Procedures to restore lost data following system failure or disaster;</w:t>
      </w:r>
    </w:p>
    <w:p>
      <w:pPr>
        <w:pStyle w:val="ListParagraph"/>
        <w:numPr>
          <w:ilvl w:val="0"/>
          <w:numId w:val="2"/>
        </w:numPr>
        <w:spacing w:after="40" w:before="40"/>
      </w:pPr>
      <w:r>
        <w:rPr>
          <w:rFonts w:ascii="Arial" w:cs="Arial" w:eastAsia="Arial" w:hAnsi="Arial"/>
          <w:b w:val="false"/>
          <w:bCs w:val="false"/>
          <w:sz w:val="22"/>
          <w:szCs w:val="22"/>
        </w:rPr>
        <w:t xml:space="preserve">Emergency mode operation plan: Procedures for maintaining critical business processes protecting ePHI during system outages;</w:t>
      </w:r>
    </w:p>
    <w:p>
      <w:pPr>
        <w:pStyle w:val="ListParagraph"/>
        <w:numPr>
          <w:ilvl w:val="0"/>
          <w:numId w:val="2"/>
        </w:numPr>
        <w:spacing w:after="40" w:before="40"/>
      </w:pPr>
      <w:r>
        <w:rPr>
          <w:rFonts w:ascii="Arial" w:cs="Arial" w:eastAsia="Arial" w:hAnsi="Arial"/>
          <w:b w:val="false"/>
          <w:bCs w:val="false"/>
          <w:sz w:val="22"/>
          <w:szCs w:val="22"/>
        </w:rPr>
        <w:t xml:space="preserve">Testing and revision procedures: Regular testing of contingency plan components with documented results.</w:t>
      </w:r>
    </w:p>
    <w:p>
      <w:pPr>
        <w:pStyle w:val="Heading2"/>
        <w:spacing w:after="80" w:before="240"/>
      </w:pPr>
      <w:r>
        <w:rPr>
          <w:rFonts w:ascii="Arial" w:cs="Arial" w:eastAsia="Arial" w:hAnsi="Arial"/>
          <w:b/>
          <w:bCs/>
          <w:color w:val="2E75B6"/>
          <w:sz w:val="26"/>
          <w:szCs w:val="26"/>
        </w:rPr>
        <w:t xml:space="preserve">4.8  Evaluation</w:t>
      </w:r>
    </w:p>
    <w:p>
      <w:pPr>
        <w:spacing w:after="100" w:before="60"/>
      </w:pPr>
      <w:r>
        <w:rPr>
          <w:rFonts w:ascii="Arial" w:cs="Arial" w:eastAsia="Arial" w:hAnsi="Arial"/>
          <w:sz w:val="22"/>
          <w:szCs w:val="22"/>
        </w:rPr>
        <w:t xml:space="preserve">The Organization must perform a periodic technical and non-technical evaluation of its security controls in response to environmental or operational changes affecting ePHI. Evaluations must be documented and used to update the Risk Management Plan.</w:t>
      </w:r>
    </w:p>
    <w:p>
      <w:pPr>
        <w:pStyle w:val="Heading1"/>
        <w:spacing w:after="120" w:before="360"/>
      </w:pPr>
      <w:r>
        <w:rPr>
          <w:rFonts w:ascii="Arial" w:cs="Arial" w:eastAsia="Arial" w:hAnsi="Arial"/>
          <w:b/>
          <w:bCs/>
          <w:color w:val="1F4E79"/>
          <w:sz w:val="32"/>
          <w:szCs w:val="32"/>
        </w:rPr>
        <w:t xml:space="preserve">5. Physical Safeguards</w:t>
      </w:r>
    </w:p>
    <w:p>
      <w:pPr>
        <w:pStyle w:val="Heading2"/>
        <w:spacing w:after="80" w:before="240"/>
      </w:pPr>
      <w:r>
        <w:rPr>
          <w:rFonts w:ascii="Arial" w:cs="Arial" w:eastAsia="Arial" w:hAnsi="Arial"/>
          <w:b/>
          <w:bCs/>
          <w:color w:val="2E75B6"/>
          <w:sz w:val="26"/>
          <w:szCs w:val="26"/>
        </w:rPr>
        <w:t xml:space="preserve">5.1  Facility Access Controls</w:t>
      </w:r>
    </w:p>
    <w:p>
      <w:pPr>
        <w:spacing w:after="100" w:before="60"/>
      </w:pPr>
      <w:r>
        <w:rPr>
          <w:rFonts w:ascii="Arial" w:cs="Arial" w:eastAsia="Arial" w:hAnsi="Arial"/>
          <w:sz w:val="22"/>
          <w:szCs w:val="22"/>
        </w:rPr>
        <w:t xml:space="preserve">The Organization must limit physical access to its facilities and information systems to authorized persons. Controls include:</w:t>
      </w:r>
    </w:p>
    <w:p>
      <w:pPr>
        <w:pStyle w:val="ListParagraph"/>
        <w:numPr>
          <w:ilvl w:val="0"/>
          <w:numId w:val="2"/>
        </w:numPr>
        <w:spacing w:after="40" w:before="40"/>
      </w:pPr>
      <w:r>
        <w:rPr>
          <w:rFonts w:ascii="Arial" w:cs="Arial" w:eastAsia="Arial" w:hAnsi="Arial"/>
          <w:b w:val="false"/>
          <w:bCs w:val="false"/>
          <w:sz w:val="22"/>
          <w:szCs w:val="22"/>
        </w:rPr>
        <w:t xml:space="preserve">Locked server rooms, network closets, and areas containing systems that store ePHI;</w:t>
      </w:r>
    </w:p>
    <w:p>
      <w:pPr>
        <w:pStyle w:val="ListParagraph"/>
        <w:numPr>
          <w:ilvl w:val="0"/>
          <w:numId w:val="2"/>
        </w:numPr>
        <w:spacing w:after="40" w:before="40"/>
      </w:pPr>
      <w:r>
        <w:rPr>
          <w:rFonts w:ascii="Arial" w:cs="Arial" w:eastAsia="Arial" w:hAnsi="Arial"/>
          <w:b w:val="false"/>
          <w:bCs w:val="false"/>
          <w:sz w:val="22"/>
          <w:szCs w:val="22"/>
        </w:rPr>
        <w:t xml:space="preserve">Visitor sign-in procedures and escort requirements in secure areas;</w:t>
      </w:r>
    </w:p>
    <w:p>
      <w:pPr>
        <w:pStyle w:val="ListParagraph"/>
        <w:numPr>
          <w:ilvl w:val="0"/>
          <w:numId w:val="2"/>
        </w:numPr>
        <w:spacing w:after="40" w:before="40"/>
      </w:pPr>
      <w:r>
        <w:rPr>
          <w:rFonts w:ascii="Arial" w:cs="Arial" w:eastAsia="Arial" w:hAnsi="Arial"/>
          <w:b w:val="false"/>
          <w:bCs w:val="false"/>
          <w:sz w:val="22"/>
          <w:szCs w:val="22"/>
        </w:rPr>
        <w:t xml:space="preserve">Physical key and access card management with regular reviews.</w:t>
      </w:r>
    </w:p>
    <w:p>
      <w:pPr>
        <w:pStyle w:val="Heading2"/>
        <w:spacing w:after="80" w:before="240"/>
      </w:pPr>
      <w:r>
        <w:rPr>
          <w:rFonts w:ascii="Arial" w:cs="Arial" w:eastAsia="Arial" w:hAnsi="Arial"/>
          <w:b/>
          <w:bCs/>
          <w:color w:val="2E75B6"/>
          <w:sz w:val="26"/>
          <w:szCs w:val="26"/>
        </w:rPr>
        <w:t xml:space="preserve">5.2  Workstation Use</w:t>
      </w:r>
    </w:p>
    <w:p>
      <w:pPr>
        <w:spacing w:after="100" w:before="60"/>
      </w:pPr>
      <w:r>
        <w:rPr>
          <w:rFonts w:ascii="Arial" w:cs="Arial" w:eastAsia="Arial" w:hAnsi="Arial"/>
          <w:sz w:val="22"/>
          <w:szCs w:val="22"/>
        </w:rPr>
        <w:t xml:space="preserve">Workforce members must use workstations in a manner that protects ePHI from unauthorized viewing or access. Workstations must be positioned to minimize visibility to unauthorized persons. Screen locks must activate after no more than 15 minutes of inactivity.</w:t>
      </w:r>
    </w:p>
    <w:p>
      <w:pPr>
        <w:pStyle w:val="Heading2"/>
        <w:spacing w:after="80" w:before="240"/>
      </w:pPr>
      <w:r>
        <w:rPr>
          <w:rFonts w:ascii="Arial" w:cs="Arial" w:eastAsia="Arial" w:hAnsi="Arial"/>
          <w:b/>
          <w:bCs/>
          <w:color w:val="2E75B6"/>
          <w:sz w:val="26"/>
          <w:szCs w:val="26"/>
        </w:rPr>
        <w:t xml:space="preserve">5.3  Workstation Security</w:t>
      </w:r>
    </w:p>
    <w:p>
      <w:pPr>
        <w:spacing w:after="100" w:before="60"/>
      </w:pPr>
      <w:r>
        <w:rPr>
          <w:rFonts w:ascii="Arial" w:cs="Arial" w:eastAsia="Arial" w:hAnsi="Arial"/>
          <w:sz w:val="22"/>
          <w:szCs w:val="22"/>
        </w:rPr>
        <w:t xml:space="preserve">All workstations used to access ePHI must be protected by endpoint security controls including anti-malware software, full-disk encryption, and automated patching. Personal devices used to access ePHI must comply with the Organization's BYOD policy and Mobile Device Management enrollment requirements.</w:t>
      </w:r>
    </w:p>
    <w:p>
      <w:pPr>
        <w:pStyle w:val="Heading2"/>
        <w:spacing w:after="80" w:before="240"/>
      </w:pPr>
      <w:r>
        <w:rPr>
          <w:rFonts w:ascii="Arial" w:cs="Arial" w:eastAsia="Arial" w:hAnsi="Arial"/>
          <w:b/>
          <w:bCs/>
          <w:color w:val="2E75B6"/>
          <w:sz w:val="26"/>
          <w:szCs w:val="26"/>
        </w:rPr>
        <w:t xml:space="preserve">5.4  Device and Media Controls</w:t>
      </w:r>
    </w:p>
    <w:p>
      <w:pPr>
        <w:spacing w:after="100" w:before="60"/>
      </w:pPr>
      <w:r>
        <w:rPr>
          <w:rFonts w:ascii="Arial" w:cs="Arial" w:eastAsia="Arial" w:hAnsi="Arial"/>
          <w:sz w:val="22"/>
          <w:szCs w:val="22"/>
        </w:rPr>
        <w:t xml:space="preserve">The Organization must implement procedures for the disposal, re-use, and tracking of hardware and electronic media containing ePHI:</w:t>
      </w:r>
    </w:p>
    <w:p>
      <w:pPr>
        <w:pStyle w:val="ListParagraph"/>
        <w:numPr>
          <w:ilvl w:val="0"/>
          <w:numId w:val="2"/>
        </w:numPr>
        <w:spacing w:after="40" w:before="40"/>
      </w:pPr>
      <w:r>
        <w:rPr>
          <w:rFonts w:ascii="Arial" w:cs="Arial" w:eastAsia="Arial" w:hAnsi="Arial"/>
          <w:b w:val="false"/>
          <w:bCs w:val="false"/>
          <w:sz w:val="22"/>
          <w:szCs w:val="22"/>
        </w:rPr>
        <w:t xml:space="preserve">All hardware and media containing ePHI must be sanitized using NIST-approved methods before disposal or re-use;</w:t>
      </w:r>
    </w:p>
    <w:p>
      <w:pPr>
        <w:pStyle w:val="ListParagraph"/>
        <w:numPr>
          <w:ilvl w:val="0"/>
          <w:numId w:val="2"/>
        </w:numPr>
        <w:spacing w:after="40" w:before="40"/>
      </w:pPr>
      <w:r>
        <w:rPr>
          <w:rFonts w:ascii="Arial" w:cs="Arial" w:eastAsia="Arial" w:hAnsi="Arial"/>
          <w:b w:val="false"/>
          <w:bCs w:val="false"/>
          <w:sz w:val="22"/>
          <w:szCs w:val="22"/>
        </w:rPr>
        <w:t xml:space="preserve">A hardware and media asset inventory must be maintained;</w:t>
      </w:r>
    </w:p>
    <w:p>
      <w:pPr>
        <w:pStyle w:val="ListParagraph"/>
        <w:numPr>
          <w:ilvl w:val="0"/>
          <w:numId w:val="2"/>
        </w:numPr>
        <w:spacing w:after="40" w:before="40"/>
      </w:pPr>
      <w:r>
        <w:rPr>
          <w:rFonts w:ascii="Arial" w:cs="Arial" w:eastAsia="Arial" w:hAnsi="Arial"/>
          <w:b w:val="false"/>
          <w:bCs w:val="false"/>
          <w:sz w:val="22"/>
          <w:szCs w:val="22"/>
        </w:rPr>
        <w:t xml:space="preserve">Removal of hardware or media from the facility requires documented authorization.</w:t>
      </w:r>
    </w:p>
    <w:p>
      <w:pPr>
        <w:pStyle w:val="Heading1"/>
        <w:spacing w:after="120" w:before="360"/>
      </w:pPr>
      <w:r>
        <w:rPr>
          <w:rFonts w:ascii="Arial" w:cs="Arial" w:eastAsia="Arial" w:hAnsi="Arial"/>
          <w:b/>
          <w:bCs/>
          <w:color w:val="1F4E79"/>
          <w:sz w:val="32"/>
          <w:szCs w:val="32"/>
        </w:rPr>
        <w:t xml:space="preserve">6. Technical Safeguards</w:t>
      </w:r>
    </w:p>
    <w:p>
      <w:pPr>
        <w:pStyle w:val="Heading2"/>
        <w:spacing w:after="80" w:before="240"/>
      </w:pPr>
      <w:r>
        <w:rPr>
          <w:rFonts w:ascii="Arial" w:cs="Arial" w:eastAsia="Arial" w:hAnsi="Arial"/>
          <w:b/>
          <w:bCs/>
          <w:color w:val="2E75B6"/>
          <w:sz w:val="26"/>
          <w:szCs w:val="26"/>
        </w:rPr>
        <w:t xml:space="preserve">6.1  Access Controls</w:t>
      </w:r>
    </w:p>
    <w:p>
      <w:pPr>
        <w:spacing w:after="100" w:before="60"/>
      </w:pPr>
      <w:r>
        <w:rPr>
          <w:rFonts w:ascii="Arial" w:cs="Arial" w:eastAsia="Arial" w:hAnsi="Arial"/>
          <w:sz w:val="22"/>
          <w:szCs w:val="22"/>
        </w:rPr>
        <w:t xml:space="preserve">The Organization must implement technical policies and procedures allowing only authorized persons to access ePHI:</w:t>
      </w:r>
    </w:p>
    <w:p>
      <w:pPr>
        <w:pStyle w:val="ListParagraph"/>
        <w:numPr>
          <w:ilvl w:val="0"/>
          <w:numId w:val="2"/>
        </w:numPr>
        <w:spacing w:after="40" w:before="40"/>
      </w:pPr>
      <w:r>
        <w:rPr>
          <w:rFonts w:ascii="Arial" w:cs="Arial" w:eastAsia="Arial" w:hAnsi="Arial"/>
          <w:b w:val="false"/>
          <w:bCs w:val="false"/>
          <w:sz w:val="22"/>
          <w:szCs w:val="22"/>
        </w:rPr>
        <w:t xml:space="preserve">Unique user IDs: Each workforce member must have a unique login credential. Shared accounts are prohibited for ePHI systems;</w:t>
      </w:r>
    </w:p>
    <w:p>
      <w:pPr>
        <w:pStyle w:val="ListParagraph"/>
        <w:numPr>
          <w:ilvl w:val="0"/>
          <w:numId w:val="2"/>
        </w:numPr>
        <w:spacing w:after="40" w:before="40"/>
      </w:pPr>
      <w:r>
        <w:rPr>
          <w:rFonts w:ascii="Arial" w:cs="Arial" w:eastAsia="Arial" w:hAnsi="Arial"/>
          <w:b w:val="false"/>
          <w:bCs w:val="false"/>
          <w:sz w:val="22"/>
          <w:szCs w:val="22"/>
        </w:rPr>
        <w:t xml:space="preserve">Emergency access procedures: Documented break-glass procedures for accessing ePHI during emergencies;</w:t>
      </w:r>
    </w:p>
    <w:p>
      <w:pPr>
        <w:pStyle w:val="ListParagraph"/>
        <w:numPr>
          <w:ilvl w:val="0"/>
          <w:numId w:val="2"/>
        </w:numPr>
        <w:spacing w:after="40" w:before="40"/>
      </w:pPr>
      <w:r>
        <w:rPr>
          <w:rFonts w:ascii="Arial" w:cs="Arial" w:eastAsia="Arial" w:hAnsi="Arial"/>
          <w:b w:val="false"/>
          <w:bCs w:val="false"/>
          <w:sz w:val="22"/>
          <w:szCs w:val="22"/>
        </w:rPr>
        <w:t xml:space="preserve">Automatic logoff: Systems containing ePHI must automatically log off users after a period of inactivity;</w:t>
      </w:r>
    </w:p>
    <w:p>
      <w:pPr>
        <w:pStyle w:val="ListParagraph"/>
        <w:numPr>
          <w:ilvl w:val="0"/>
          <w:numId w:val="2"/>
        </w:numPr>
        <w:spacing w:after="40" w:before="40"/>
      </w:pPr>
      <w:r>
        <w:rPr>
          <w:rFonts w:ascii="Arial" w:cs="Arial" w:eastAsia="Arial" w:hAnsi="Arial"/>
          <w:b w:val="false"/>
          <w:bCs w:val="false"/>
          <w:sz w:val="22"/>
          <w:szCs w:val="22"/>
        </w:rPr>
        <w:t xml:space="preserve">Encryption: ePHI at rest and in transit must be encrypted using AES-256 or equivalent FIPS 140-2 approved algorithms.</w:t>
      </w:r>
    </w:p>
    <w:p>
      <w:pPr>
        <w:pStyle w:val="Heading2"/>
        <w:spacing w:after="80" w:before="240"/>
      </w:pPr>
      <w:r>
        <w:rPr>
          <w:rFonts w:ascii="Arial" w:cs="Arial" w:eastAsia="Arial" w:hAnsi="Arial"/>
          <w:b/>
          <w:bCs/>
          <w:color w:val="2E75B6"/>
          <w:sz w:val="26"/>
          <w:szCs w:val="26"/>
        </w:rPr>
        <w:t xml:space="preserve">6.2  Audit Controls</w:t>
      </w:r>
    </w:p>
    <w:p>
      <w:pPr>
        <w:spacing w:after="100" w:before="60"/>
      </w:pPr>
      <w:r>
        <w:rPr>
          <w:rFonts w:ascii="Arial" w:cs="Arial" w:eastAsia="Arial" w:hAnsi="Arial"/>
          <w:sz w:val="22"/>
          <w:szCs w:val="22"/>
        </w:rPr>
        <w:t xml:space="preserve">The Organization must implement hardware, software, and procedural mechanisms that record and examine activity in information systems containing ePHI. Audit logs must be retained for a minimum of six (6) years and reviewed regularly for suspicious activity.</w:t>
      </w:r>
    </w:p>
    <w:p>
      <w:pPr>
        <w:pStyle w:val="Heading2"/>
        <w:spacing w:after="80" w:before="240"/>
      </w:pPr>
      <w:r>
        <w:rPr>
          <w:rFonts w:ascii="Arial" w:cs="Arial" w:eastAsia="Arial" w:hAnsi="Arial"/>
          <w:b/>
          <w:bCs/>
          <w:color w:val="2E75B6"/>
          <w:sz w:val="26"/>
          <w:szCs w:val="26"/>
        </w:rPr>
        <w:t xml:space="preserve">6.3  Integrity Controls</w:t>
      </w:r>
    </w:p>
    <w:p>
      <w:pPr>
        <w:spacing w:after="100" w:before="60"/>
      </w:pPr>
      <w:r>
        <w:rPr>
          <w:rFonts w:ascii="Arial" w:cs="Arial" w:eastAsia="Arial" w:hAnsi="Arial"/>
          <w:sz w:val="22"/>
          <w:szCs w:val="22"/>
        </w:rPr>
        <w:t xml:space="preserve">The Organization must implement policies and procedures to protect ePHI from improper alteration or destruction. This includes file integrity monitoring on systems hosting ePHI, version control for clinical documentation, and backup integrity verification.</w:t>
      </w:r>
    </w:p>
    <w:p>
      <w:pPr>
        <w:pStyle w:val="Heading2"/>
        <w:spacing w:after="80" w:before="240"/>
      </w:pPr>
      <w:r>
        <w:rPr>
          <w:rFonts w:ascii="Arial" w:cs="Arial" w:eastAsia="Arial" w:hAnsi="Arial"/>
          <w:b/>
          <w:bCs/>
          <w:color w:val="2E75B6"/>
          <w:sz w:val="26"/>
          <w:szCs w:val="26"/>
        </w:rPr>
        <w:t xml:space="preserve">6.4  Transmission Security</w:t>
      </w:r>
    </w:p>
    <w:p>
      <w:pPr>
        <w:spacing w:after="100" w:before="60"/>
      </w:pPr>
      <w:r>
        <w:rPr>
          <w:rFonts w:ascii="Arial" w:cs="Arial" w:eastAsia="Arial" w:hAnsi="Arial"/>
          <w:sz w:val="22"/>
          <w:szCs w:val="22"/>
        </w:rPr>
        <w:t xml:space="preserve">The Organization must implement technical security measures to guard against unauthorized access to ePHI being transmitted over electronic communications networks. All transmission of ePHI must use TLS 1.2 or higher. Unencrypted email must not be used to transmit ePHI.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C00000"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866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20"/>
            </w:tcMar>
          </w:tcPr>
          <w:p>
            <w:r>
              <w:rPr>
                <w:rFonts w:ascii="Arial" w:cs="Arial" w:eastAsia="Arial" w:hAnsi="Arial"/>
                <w:b/>
                <w:bCs/>
                <w:color w:val="C00000"/>
                <w:sz w:val="22"/>
                <w:szCs w:val="22"/>
              </w:rPr>
              <w:t xml:space="preserve">Unencrypted ePHI</w:t>
            </w:r>
          </w:p>
          <w:p>
            <w:pPr>
              <w:spacing w:before="40"/>
            </w:pPr>
            <w:r>
              <w:rPr>
                <w:rFonts w:ascii="Arial" w:cs="Arial" w:eastAsia="Arial" w:hAnsi="Arial"/>
                <w:sz w:val="20"/>
                <w:szCs w:val="20"/>
              </w:rPr>
              <w:t xml:space="preserve">Sending ePHI via unencrypted email, SMS, or any unprotected transmission channel is a HIPAA Security Rule violation. Use only Organization-approved secure messaging or encrypted email solutions for any communication containing ePHI.</w:t>
            </w:r>
          </w:p>
        </w:tc>
      </w:tr>
    </w:tbl>
    <w:p>
      <w:pPr>
        <w:pStyle w:val="Heading1"/>
        <w:spacing w:after="120" w:before="360"/>
      </w:pPr>
      <w:r>
        <w:rPr>
          <w:rFonts w:ascii="Arial" w:cs="Arial" w:eastAsia="Arial" w:hAnsi="Arial"/>
          <w:b/>
          <w:bCs/>
          <w:color w:val="1F4E79"/>
          <w:sz w:val="32"/>
          <w:szCs w:val="32"/>
        </w:rPr>
        <w:t xml:space="preserve">7. Password Requirements</w:t>
      </w:r>
    </w:p>
    <w:p>
      <w:pPr>
        <w:spacing w:after="100" w:before="60"/>
      </w:pPr>
      <w:r>
        <w:rPr>
          <w:rFonts w:ascii="Arial" w:cs="Arial" w:eastAsia="Arial" w:hAnsi="Arial"/>
          <w:sz w:val="22"/>
          <w:szCs w:val="22"/>
        </w:rPr>
        <w:t xml:space="preserve">All accounts with access to ePHI must adhere to the following minimum password standards:</w:t>
      </w:r>
    </w:p>
    <w:p>
      <w:pPr>
        <w:pStyle w:val="ListParagraph"/>
        <w:numPr>
          <w:ilvl w:val="0"/>
          <w:numId w:val="2"/>
        </w:numPr>
        <w:spacing w:after="40" w:before="40"/>
      </w:pPr>
      <w:r>
        <w:rPr>
          <w:rFonts w:ascii="Arial" w:cs="Arial" w:eastAsia="Arial" w:hAnsi="Arial"/>
          <w:b w:val="false"/>
          <w:bCs w:val="false"/>
          <w:sz w:val="22"/>
          <w:szCs w:val="22"/>
        </w:rPr>
        <w:t xml:space="preserve">Minimum 12 characters in length;</w:t>
      </w:r>
    </w:p>
    <w:p>
      <w:pPr>
        <w:pStyle w:val="ListParagraph"/>
        <w:numPr>
          <w:ilvl w:val="0"/>
          <w:numId w:val="2"/>
        </w:numPr>
        <w:spacing w:after="40" w:before="40"/>
      </w:pPr>
      <w:r>
        <w:rPr>
          <w:rFonts w:ascii="Arial" w:cs="Arial" w:eastAsia="Arial" w:hAnsi="Arial"/>
          <w:b w:val="false"/>
          <w:bCs w:val="false"/>
          <w:sz w:val="22"/>
          <w:szCs w:val="22"/>
        </w:rPr>
        <w:t xml:space="preserve">Must include at least one uppercase letter, one lowercase letter, one number, and one special character;</w:t>
      </w:r>
    </w:p>
    <w:p>
      <w:pPr>
        <w:pStyle w:val="ListParagraph"/>
        <w:numPr>
          <w:ilvl w:val="0"/>
          <w:numId w:val="2"/>
        </w:numPr>
        <w:spacing w:after="40" w:before="40"/>
      </w:pPr>
      <w:r>
        <w:rPr>
          <w:rFonts w:ascii="Arial" w:cs="Arial" w:eastAsia="Arial" w:hAnsi="Arial"/>
          <w:b w:val="false"/>
          <w:bCs w:val="false"/>
          <w:sz w:val="22"/>
          <w:szCs w:val="22"/>
        </w:rPr>
        <w:t xml:space="preserve">Must not include the user's name, username, or easily guessable personal information;</w:t>
      </w:r>
    </w:p>
    <w:p>
      <w:pPr>
        <w:pStyle w:val="ListParagraph"/>
        <w:numPr>
          <w:ilvl w:val="0"/>
          <w:numId w:val="2"/>
        </w:numPr>
        <w:spacing w:after="40" w:before="40"/>
      </w:pPr>
      <w:r>
        <w:rPr>
          <w:rFonts w:ascii="Arial" w:cs="Arial" w:eastAsia="Arial" w:hAnsi="Arial"/>
          <w:b w:val="false"/>
          <w:bCs w:val="false"/>
          <w:sz w:val="22"/>
          <w:szCs w:val="22"/>
        </w:rPr>
        <w:t xml:space="preserve">Must not be reused within the previous 12 passwords;</w:t>
      </w:r>
    </w:p>
    <w:p>
      <w:pPr>
        <w:pStyle w:val="ListParagraph"/>
        <w:numPr>
          <w:ilvl w:val="0"/>
          <w:numId w:val="2"/>
        </w:numPr>
        <w:spacing w:after="40" w:before="40"/>
      </w:pPr>
      <w:r>
        <w:rPr>
          <w:rFonts w:ascii="Arial" w:cs="Arial" w:eastAsia="Arial" w:hAnsi="Arial"/>
          <w:b w:val="false"/>
          <w:bCs w:val="false"/>
          <w:sz w:val="22"/>
          <w:szCs w:val="22"/>
        </w:rPr>
        <w:t xml:space="preserve">Must be changed immediately upon suspected compromise;</w:t>
      </w:r>
    </w:p>
    <w:p>
      <w:pPr>
        <w:pStyle w:val="ListParagraph"/>
        <w:numPr>
          <w:ilvl w:val="0"/>
          <w:numId w:val="2"/>
        </w:numPr>
        <w:spacing w:after="40" w:before="40"/>
      </w:pPr>
      <w:r>
        <w:rPr>
          <w:rFonts w:ascii="Arial" w:cs="Arial" w:eastAsia="Arial" w:hAnsi="Arial"/>
          <w:b w:val="false"/>
          <w:bCs w:val="false"/>
          <w:sz w:val="22"/>
          <w:szCs w:val="22"/>
        </w:rPr>
        <w:t xml:space="preserve">Multi-factor authentication (MFA) is required for all remote access to ePHI systems and all cloud-hosted applications containing ePHI.</w:t>
      </w:r>
    </w:p>
    <w:p>
      <w:pPr>
        <w:pStyle w:val="Heading1"/>
        <w:spacing w:after="120" w:before="360"/>
      </w:pPr>
      <w:r>
        <w:rPr>
          <w:rFonts w:ascii="Arial" w:cs="Arial" w:eastAsia="Arial" w:hAnsi="Arial"/>
          <w:b/>
          <w:bCs/>
          <w:color w:val="1F4E79"/>
          <w:sz w:val="32"/>
          <w:szCs w:val="32"/>
        </w:rPr>
        <w:t xml:space="preserve">8. Business Associate Security Requirements</w:t>
      </w:r>
    </w:p>
    <w:p>
      <w:pPr>
        <w:spacing w:after="100" w:before="60"/>
      </w:pPr>
      <w:r>
        <w:rPr>
          <w:rFonts w:ascii="Arial" w:cs="Arial" w:eastAsia="Arial" w:hAnsi="Arial"/>
          <w:sz w:val="22"/>
          <w:szCs w:val="22"/>
        </w:rPr>
        <w:t xml:space="preserve">All Business Associates that handle ePHI on behalf of the Organization must execute a HIPAA-compliant Business Associate Agreement and demonstrate reasonable security controls. Security requirements for Business Associates include equivalent encryption, access control, audit logging, and breach notification obligations. The Security Officer will periodically review vendor security postures as part of the vendor management program.</w:t>
      </w:r>
    </w:p>
    <w:p>
      <w:pPr>
        <w:pStyle w:val="Heading1"/>
        <w:spacing w:after="120" w:before="360"/>
      </w:pPr>
      <w:r>
        <w:rPr>
          <w:rFonts w:ascii="Arial" w:cs="Arial" w:eastAsia="Arial" w:hAnsi="Arial"/>
          <w:b/>
          <w:bCs/>
          <w:color w:val="1F4E79"/>
          <w:sz w:val="32"/>
          <w:szCs w:val="32"/>
        </w:rPr>
        <w:t xml:space="preserve">9. Related Policies</w:t>
      </w:r>
    </w:p>
    <w:p>
      <w:pPr>
        <w:pStyle w:val="ListParagraph"/>
        <w:numPr>
          <w:ilvl w:val="0"/>
          <w:numId w:val="2"/>
        </w:numPr>
        <w:spacing w:after="40" w:before="40"/>
      </w:pPr>
      <w:r>
        <w:rPr>
          <w:rFonts w:ascii="Arial" w:cs="Arial" w:eastAsia="Arial" w:hAnsi="Arial"/>
          <w:b w:val="false"/>
          <w:bCs w:val="false"/>
          <w:sz w:val="22"/>
          <w:szCs w:val="22"/>
        </w:rPr>
        <w:t xml:space="preserve">HIPAA Privacy Policy (PRIV-001)</w:t>
      </w:r>
    </w:p>
    <w:p>
      <w:pPr>
        <w:pStyle w:val="ListParagraph"/>
        <w:numPr>
          <w:ilvl w:val="0"/>
          <w:numId w:val="2"/>
        </w:numPr>
        <w:spacing w:after="40" w:before="40"/>
      </w:pPr>
      <w:r>
        <w:rPr>
          <w:rFonts w:ascii="Arial" w:cs="Arial" w:eastAsia="Arial" w:hAnsi="Arial"/>
          <w:b w:val="false"/>
          <w:bCs w:val="false"/>
          <w:sz w:val="22"/>
          <w:szCs w:val="22"/>
        </w:rPr>
        <w:t xml:space="preserve">Breach Notification Policy (BN-001)</w:t>
      </w:r>
    </w:p>
    <w:p>
      <w:pPr>
        <w:pStyle w:val="ListParagraph"/>
        <w:numPr>
          <w:ilvl w:val="0"/>
          <w:numId w:val="2"/>
        </w:numPr>
        <w:spacing w:after="40" w:before="40"/>
      </w:pPr>
      <w:r>
        <w:rPr>
          <w:rFonts w:ascii="Arial" w:cs="Arial" w:eastAsia="Arial" w:hAnsi="Arial"/>
          <w:b w:val="false"/>
          <w:bCs w:val="false"/>
          <w:sz w:val="22"/>
          <w:szCs w:val="22"/>
        </w:rPr>
        <w:t xml:space="preserve">Information Security Policy (IS-001)</w:t>
      </w:r>
    </w:p>
    <w:p>
      <w:pPr>
        <w:pStyle w:val="ListParagraph"/>
        <w:numPr>
          <w:ilvl w:val="0"/>
          <w:numId w:val="2"/>
        </w:numPr>
        <w:spacing w:after="40" w:before="40"/>
      </w:pPr>
      <w:r>
        <w:rPr>
          <w:rFonts w:ascii="Arial" w:cs="Arial" w:eastAsia="Arial" w:hAnsi="Arial"/>
          <w:b w:val="false"/>
          <w:bCs w:val="false"/>
          <w:sz w:val="22"/>
          <w:szCs w:val="22"/>
        </w:rPr>
        <w:t xml:space="preserve">AI Acceptable Use Policy (AI-001)</w:t>
      </w:r>
    </w:p>
    <w:p>
      <w:pPr>
        <w:pStyle w:val="ListParagraph"/>
        <w:numPr>
          <w:ilvl w:val="0"/>
          <w:numId w:val="2"/>
        </w:numPr>
        <w:spacing w:after="40" w:before="40"/>
      </w:pPr>
      <w:r>
        <w:rPr>
          <w:rFonts w:ascii="Arial" w:cs="Arial" w:eastAsia="Arial" w:hAnsi="Arial"/>
          <w:b w:val="false"/>
          <w:bCs w:val="false"/>
          <w:sz w:val="22"/>
          <w:szCs w:val="22"/>
        </w:rPr>
        <w:t xml:space="preserve">Vendor and Business Associate Management Policy (VND-001)</w:t>
      </w:r>
    </w:p>
    <w:p>
      <w:pPr>
        <w:pStyle w:val="ListParagraph"/>
        <w:numPr>
          <w:ilvl w:val="0"/>
          <w:numId w:val="2"/>
        </w:numPr>
        <w:spacing w:after="40" w:before="40"/>
      </w:pPr>
      <w:r>
        <w:rPr>
          <w:rFonts w:ascii="Arial" w:cs="Arial" w:eastAsia="Arial" w:hAnsi="Arial"/>
          <w:b w:val="false"/>
          <w:bCs w:val="false"/>
          <w:sz w:val="22"/>
          <w:szCs w:val="22"/>
        </w:rPr>
        <w:t xml:space="preserve">Workforce Sanctions Policy (HR-003)</w:t>
      </w:r>
    </w:p>
    <w:p>
      <w:pPr>
        <w:spacing w:after="0" w:before="20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Revision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[INSERT DATE]</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[Author Name]</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Initial issuance</w:t>
            </w:r>
          </w:p>
        </w:tc>
      </w:tr>
    </w:tbl>
    <w:p>
      <w:pPr>
        <w:spacing w:after="0" w:before="120"/>
      </w:pPr>
      <w:r>
        <w:t xml:space="preserve"/>
      </w:r>
    </w:p>
    <w:p>
      <w:pPr>
        <w:spacing w:after="100" w:before="60"/>
      </w:pPr>
      <w:r>
        <w:rPr>
          <w:rFonts w:ascii="Arial" w:cs="Arial" w:eastAsia="Arial" w:hAnsi="Arial"/>
          <w:sz w:val="22"/>
          <w:szCs w:val="22"/>
        </w:rPr>
        <w:t xml:space="preserve">By signing below, the indicated individuals confirm they have reviewed and approved this policy: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40"/>
            </w:tcMar>
          </w:tcPr>
          <w:p>
            <w:pPr>
              <w:pBdr>
                <w:bottom w:val="single" w:color="595959" w:sz="4" w:space="1"/>
              </w:pBdr>
            </w:pPr>
            <w:r>
              <w:rPr>
                <w:rFonts w:ascii="Arial" w:cs="Arial" w:eastAsia="Arial" w:hAnsi="Arial"/>
                <w:color w:val="595959"/>
                <w:sz w:val="20"/>
                <w:szCs w:val="20"/>
              </w:rPr>
              <w:t xml:space="preserve">Privacy / Compliance Officer</w:t>
            </w:r>
          </w:p>
          <w:p>
            <w:pPr>
              <w:spacing w:after="0" w:before="60"/>
            </w:pPr>
            <w:r>
              <w:t xml:space="preserve"/>
            </w:r>
          </w:p>
          <w:p>
            <w:r>
              <w:rPr>
                <w:rFonts w:ascii="Arial" w:cs="Arial" w:eastAsia="Arial" w:hAnsi="Arial"/>
                <w:color w:val="595959"/>
                <w:sz w:val="18"/>
                <w:szCs w:val="18"/>
              </w:rPr>
              <w:t xml:space="preserve">Signature / Date</w:t>
            </w:r>
          </w:p>
        </w:tc>
        <w:tc>
          <w:tcPr>
            <w:tcW w:type="dxa" w:w="4680"/>
            <w:tcBorders>
              <w:top w:val="none" w:color="FFFFFF" w:sz="0"/>
              <w:left w:val="none" w:color="FFFFFF" w:sz="0"/>
              <w:bottom w:val="none" w:color="FFFFFF" w:sz="0"/>
              <w:right w:val="none" w:color="FFFFFF" w:sz="0"/>
            </w:tcBorders>
            <w:tcMar>
              <w:top w:type="dxa" w:w="80"/>
              <w:left w:type="dxa" w:w="240"/>
              <w:bottom w:type="dxa" w:w="80"/>
              <w:right w:type="dxa" w:w="0"/>
            </w:tcMar>
          </w:tcPr>
          <w:p>
            <w:pPr>
              <w:pBdr>
                <w:bottom w:val="single" w:color="595959" w:sz="4" w:space="1"/>
              </w:pBdr>
            </w:pPr>
            <w:r>
              <w:rPr>
                <w:rFonts w:ascii="Arial" w:cs="Arial" w:eastAsia="Arial" w:hAnsi="Arial"/>
                <w:color w:val="595959"/>
                <w:sz w:val="20"/>
                <w:szCs w:val="20"/>
              </w:rPr>
              <w:t xml:space="preserve">Chief Executive Officer</w:t>
            </w:r>
          </w:p>
          <w:p>
            <w:pPr>
              <w:spacing w:after="0" w:before="60"/>
            </w:pPr>
            <w:r>
              <w:t xml:space="preserve"/>
            </w:r>
          </w:p>
          <w:p>
            <w:r>
              <w:rPr>
                <w:rFonts w:ascii="Arial" w:cs="Arial" w:eastAsia="Arial" w:hAnsi="Arial"/>
                <w:color w:val="595959"/>
                <w:sz w:val="18"/>
                <w:szCs w:val="18"/>
              </w:rPr>
              <w:t xml:space="preserve">Signature / Date</w:t>
            </w:r>
          </w:p>
        </w:tc>
      </w:tr>
    </w:tbl>
    <w:p>
      <w:pPr>
        <w:spacing w:after="0" w:before="200"/>
      </w:pPr>
      <w:r>
        <w:t xml:space="preserve"/>
      </w:r>
    </w:p>
    <w:p>
      <w:pPr>
        <w:pBdr>
          <w:bottom w:val="single" w:color="2E75B6" w:sz="4" w:space="1"/>
        </w:pBdr>
        <w:spacing w:after="160" w:before="160"/>
      </w:pPr>
      <w:r>
        <w:t xml:space="preserve"/>
      </w:r>
    </w:p>
    <w:p>
      <w:pPr>
        <w:spacing w:before="80"/>
        <w:jc w:val="center"/>
      </w:pPr>
      <w:r>
        <w:rPr>
          <w:rFonts w:ascii="Arial" w:cs="Arial" w:eastAsia="Arial" w:hAnsi="Arial"/>
          <w:color w:val="595959"/>
          <w:sz w:val="18"/>
          <w:szCs w:val="18"/>
        </w:rPr>
        <w:t xml:space="preserve">CONFIDENTIAL — FOR INTERNAL USE ONLY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595959"/>
        <w:sz w:val="18"/>
        <w:szCs w:val="18"/>
      </w:rPr>
      <w:t xml:space="preserve">HIPAA Security Policy (SEC-001)  |  CONFIDENTIAL — FOR INTERNAL USE ONLY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2026-03-19T17:13:20.053Z</dcterms:created>
  <dcterms:modified xsi:type="dcterms:W3CDTF">2026-03-19T17:13:20.054Z</dcterms:modified>
</cp:coreProperties>
</file>

<file path=docProps/custom.xml><?xml version="1.0" encoding="utf-8"?>
<Properties xmlns="http://schemas.openxmlformats.org/officeDocument/2006/custom-properties" xmlns:vt="http://schemas.openxmlformats.org/officeDocument/2006/docPropsVTypes"/>
</file>