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b/>
          <w:bCs/>
          <w:color w:val="2E75B6"/>
          <w:sz w:val="22"/>
          <w:szCs w:val="22"/>
        </w:rPr>
        <w:t xml:space="preserve">ORGANIZATIONAL POLICY</w:t>
      </w:r>
    </w:p>
    <w:p>
      <w:pPr>
        <w:spacing w:after="60" w:before="0"/>
        <w:jc w:val="center"/>
      </w:pPr>
      <w:r>
        <w:rPr>
          <w:rFonts w:ascii="Arial" w:cs="Arial" w:eastAsia="Arial" w:hAnsi="Arial"/>
          <w:b/>
          <w:bCs/>
          <w:color w:val="1F4E79"/>
          <w:sz w:val="52"/>
          <w:szCs w:val="52"/>
        </w:rPr>
        <w:t xml:space="preserve">Information Security Policy</w:t>
      </w:r>
    </w:p>
    <w:p>
      <w:pPr>
        <w:spacing w:after="80" w:before="0"/>
        <w:jc w:val="center"/>
      </w:pPr>
      <w:r>
        <w:rPr>
          <w:rFonts w:ascii="Arial" w:cs="Arial" w:eastAsia="Arial" w:hAnsi="Arial"/>
          <w:color w:val="2E75B6"/>
          <w:sz w:val="30"/>
          <w:szCs w:val="30"/>
        </w:rPr>
        <w:t xml:space="preserve">Protecting Organizational Information Assets</w:t>
      </w:r>
    </w:p>
    <w:p>
      <w:pPr>
        <w:pBdr>
          <w:bottom w:val="single" w:color="2E75B6" w:sz="4"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Policy Number:</w:t>
            </w:r>
          </w:p>
          <w:p>
            <w:r>
              <w:rPr>
                <w:rFonts w:ascii="Arial" w:cs="Arial" w:eastAsia="Arial" w:hAnsi="Arial"/>
                <w:sz w:val="20"/>
                <w:szCs w:val="20"/>
              </w:rPr>
              <w:t xml:space="preserve">IS-001</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Effective Date:</w:t>
            </w:r>
          </w:p>
          <w:p>
            <w:r>
              <w:rPr>
                <w:rFonts w:ascii="Arial" w:cs="Arial" w:eastAsia="Arial" w:hAnsi="Arial"/>
                <w:sz w:val="20"/>
                <w:szCs w:val="20"/>
              </w:rPr>
              <w:t xml:space="preserve">[INSERT DATE]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Department:</w:t>
            </w:r>
          </w:p>
          <w:p>
            <w:r>
              <w:rPr>
                <w:rFonts w:ascii="Arial" w:cs="Arial" w:eastAsia="Arial" w:hAnsi="Arial"/>
                <w:sz w:val="20"/>
                <w:szCs w:val="20"/>
              </w:rPr>
              <w:t xml:space="preserve">Information Technology</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Policy Owner:</w:t>
            </w:r>
          </w:p>
          <w:p>
            <w:r>
              <w:rPr>
                <w:rFonts w:ascii="Arial" w:cs="Arial" w:eastAsia="Arial" w:hAnsi="Arial"/>
                <w:sz w:val="20"/>
                <w:szCs w:val="20"/>
              </w:rPr>
              <w:t xml:space="preserve">Chief Information Officer / Security Officer</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Review Cycle:</w:t>
            </w:r>
          </w:p>
          <w:p>
            <w:r>
              <w:rPr>
                <w:rFonts w:ascii="Arial" w:cs="Arial" w:eastAsia="Arial" w:hAnsi="Arial"/>
                <w:sz w:val="20"/>
                <w:szCs w:val="20"/>
              </w:rPr>
              <w:t xml:space="preserve">Annual</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Classification:</w:t>
            </w:r>
          </w:p>
          <w:p>
            <w:r>
              <w:rPr>
                <w:rFonts w:ascii="Arial" w:cs="Arial" w:eastAsia="Arial" w:hAnsi="Arial"/>
                <w:sz w:val="20"/>
                <w:szCs w:val="20"/>
              </w:rPr>
              <w:t xml:space="preserve">Internal — All Staff</w:t>
            </w:r>
          </w:p>
        </w:tc>
      </w:tr>
    </w:tbl>
    <w:p>
      <w:pPr>
        <w:spacing w:after="0" w:before="200"/>
      </w:pPr>
      <w:r>
        <w:t xml:space="preserve"/>
      </w:r>
    </w:p>
    <w:p>
      <w:pPr>
        <w:jc w:val="center"/>
      </w:pPr>
      <w:r>
        <w:rPr>
          <w:rFonts w:ascii="Arial" w:cs="Arial" w:eastAsia="Arial" w:hAnsi="Arial"/>
          <w:b/>
          <w:bCs/>
          <w:color w:val="595959"/>
          <w:sz w:val="22"/>
          <w:szCs w:val="22"/>
        </w:rPr>
        <w:t xml:space="preserve">[Organization Name]</w:t>
      </w:r>
    </w:p>
    <w:p>
      <w:pPr>
        <w:jc w:val="center"/>
      </w:pPr>
      <w:r>
        <w:rPr>
          <w:rFonts w:ascii="Arial" w:cs="Arial" w:eastAsia="Arial" w:hAnsi="Arial"/>
          <w:color w:val="595959"/>
          <w:sz w:val="20"/>
          <w:szCs w:val="20"/>
        </w:rPr>
        <w:t xml:space="preserve">[Address]  |  [City, State ZIP]  |  [Website]</w:t>
      </w:r>
    </w:p>
    <w:p>
      <w:pPr>
        <w:spacing w:after="0" w:before="3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1. Purpose</w:t>
      </w:r>
    </w:p>
    <w:p>
      <w:pPr>
        <w:spacing w:after="100" w:before="60"/>
      </w:pPr>
      <w:r>
        <w:rPr>
          <w:rFonts w:ascii="Arial" w:cs="Arial" w:eastAsia="Arial" w:hAnsi="Arial"/>
          <w:sz w:val="22"/>
          <w:szCs w:val="22"/>
        </w:rPr>
        <w:t xml:space="preserve">This policy establishes the framework for protecting all information assets of [Organization Name] ("the Organization"), including patient data, financial records, business information, and intellectual property. It defines the principles, responsibilities, and minimum controls that apply to all information systems and data handled by the Organization, and supports compliance with HIPAA, applicable state laws, and industry security standards.</w:t>
      </w:r>
    </w:p>
    <w:p>
      <w:pPr>
        <w:pStyle w:val="Heading1"/>
        <w:spacing w:after="120" w:before="360"/>
      </w:pPr>
      <w:r>
        <w:rPr>
          <w:rFonts w:ascii="Arial" w:cs="Arial" w:eastAsia="Arial" w:hAnsi="Arial"/>
          <w:b/>
          <w:bCs/>
          <w:color w:val="1F4E79"/>
          <w:sz w:val="32"/>
          <w:szCs w:val="32"/>
        </w:rPr>
        <w:t xml:space="preserve">2. Scope</w:t>
      </w:r>
    </w:p>
    <w:p>
      <w:pPr>
        <w:spacing w:after="100" w:before="60"/>
      </w:pPr>
      <w:r>
        <w:rPr>
          <w:rFonts w:ascii="Arial" w:cs="Arial" w:eastAsia="Arial" w:hAnsi="Arial"/>
          <w:sz w:val="22"/>
          <w:szCs w:val="22"/>
        </w:rPr>
        <w:t xml:space="preserve">This policy applies to all workforce members and third parties who access, process, or handle Organization information systems or data in any form. It covers all devices, networks, applications, cloud services, and physical locations used to conduct Organization business.</w:t>
      </w:r>
    </w:p>
    <w:p>
      <w:pPr>
        <w:pStyle w:val="Heading1"/>
        <w:spacing w:after="120" w:before="360"/>
      </w:pPr>
      <w:r>
        <w:rPr>
          <w:rFonts w:ascii="Arial" w:cs="Arial" w:eastAsia="Arial" w:hAnsi="Arial"/>
          <w:b/>
          <w:bCs/>
          <w:color w:val="1F4E79"/>
          <w:sz w:val="32"/>
          <w:szCs w:val="32"/>
        </w:rPr>
        <w:t xml:space="preserve">3. Information Classification</w:t>
      </w:r>
    </w:p>
    <w:p>
      <w:pPr>
        <w:spacing w:after="100" w:before="60"/>
      </w:pPr>
      <w:r>
        <w:rPr>
          <w:rFonts w:ascii="Arial" w:cs="Arial" w:eastAsia="Arial" w:hAnsi="Arial"/>
          <w:sz w:val="22"/>
          <w:szCs w:val="22"/>
        </w:rPr>
        <w:t xml:space="preserve">All information assets must be classified according to their sensitivity and the impact of unauthorized disclosure: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6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6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Handling Requirements</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sz w:val="20"/>
                <w:szCs w:val="20"/>
              </w:rPr>
              <w:t xml:space="preserve">Confidential</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PHI/ePHI, SSNs, financial records, credentials, legal documents</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Encryption required at rest and in transit; access limited to authorized roles; must not be transmitted via unencrypted email</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sz w:val="20"/>
                <w:szCs w:val="20"/>
              </w:rPr>
              <w:t xml:space="preserve">Internal</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Internal memos, non-public policies, vendor contracts, operational data</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Access limited to workforce members; not for external distribution without authorization</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sz w:val="20"/>
                <w:szCs w:val="20"/>
              </w:rPr>
              <w:t xml:space="preserve">Public</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Website content, press releases, published policies</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No special handling required; review before external publication</w:t>
            </w:r>
          </w:p>
        </w:tc>
      </w:tr>
    </w:tbl>
    <w:p>
      <w:pPr>
        <w:pStyle w:val="Heading1"/>
        <w:spacing w:after="120" w:before="360"/>
      </w:pPr>
      <w:r>
        <w:rPr>
          <w:rFonts w:ascii="Arial" w:cs="Arial" w:eastAsia="Arial" w:hAnsi="Arial"/>
          <w:b/>
          <w:bCs/>
          <w:color w:val="1F4E79"/>
          <w:sz w:val="32"/>
          <w:szCs w:val="32"/>
        </w:rPr>
        <w:t xml:space="preserve">4. Access Control</w:t>
      </w:r>
    </w:p>
    <w:p>
      <w:pPr>
        <w:pStyle w:val="Heading2"/>
        <w:spacing w:after="80" w:before="240"/>
      </w:pPr>
      <w:r>
        <w:rPr>
          <w:rFonts w:ascii="Arial" w:cs="Arial" w:eastAsia="Arial" w:hAnsi="Arial"/>
          <w:b/>
          <w:bCs/>
          <w:color w:val="2E75B6"/>
          <w:sz w:val="26"/>
          <w:szCs w:val="26"/>
        </w:rPr>
        <w:t xml:space="preserve">4.1  Principle of Least Privilege</w:t>
      </w:r>
    </w:p>
    <w:p>
      <w:pPr>
        <w:spacing w:after="100" w:before="60"/>
      </w:pPr>
      <w:r>
        <w:rPr>
          <w:rFonts w:ascii="Arial" w:cs="Arial" w:eastAsia="Arial" w:hAnsi="Arial"/>
          <w:sz w:val="22"/>
          <w:szCs w:val="22"/>
        </w:rPr>
        <w:t xml:space="preserve">Access to information systems and data must be granted on a least-privilege basis — workforce members receive only the access necessary to perform their job functions. Access rights must be reviewed at least annually and adjusted promptly when roles change.</w:t>
      </w:r>
    </w:p>
    <w:p>
      <w:pPr>
        <w:pStyle w:val="Heading2"/>
        <w:spacing w:after="80" w:before="240"/>
      </w:pPr>
      <w:r>
        <w:rPr>
          <w:rFonts w:ascii="Arial" w:cs="Arial" w:eastAsia="Arial" w:hAnsi="Arial"/>
          <w:b/>
          <w:bCs/>
          <w:color w:val="2E75B6"/>
          <w:sz w:val="26"/>
          <w:szCs w:val="26"/>
        </w:rPr>
        <w:t xml:space="preserve">4.2  User Account Management</w:t>
      </w:r>
    </w:p>
    <w:p>
      <w:pPr>
        <w:pStyle w:val="ListParagraph"/>
        <w:numPr>
          <w:ilvl w:val="0"/>
          <w:numId w:val="2"/>
        </w:numPr>
        <w:spacing w:after="40" w:before="40"/>
      </w:pPr>
      <w:r>
        <w:rPr>
          <w:rFonts w:ascii="Arial" w:cs="Arial" w:eastAsia="Arial" w:hAnsi="Arial"/>
          <w:b w:val="false"/>
          <w:bCs w:val="false"/>
          <w:sz w:val="22"/>
          <w:szCs w:val="22"/>
        </w:rPr>
        <w:t xml:space="preserve">All accounts must be unique to the individual — shared accounts are prohibited for systems containing Confidential data;</w:t>
      </w:r>
    </w:p>
    <w:p>
      <w:pPr>
        <w:pStyle w:val="ListParagraph"/>
        <w:numPr>
          <w:ilvl w:val="0"/>
          <w:numId w:val="2"/>
        </w:numPr>
        <w:spacing w:after="40" w:before="40"/>
      </w:pPr>
      <w:r>
        <w:rPr>
          <w:rFonts w:ascii="Arial" w:cs="Arial" w:eastAsia="Arial" w:hAnsi="Arial"/>
          <w:b w:val="false"/>
          <w:bCs w:val="false"/>
          <w:sz w:val="22"/>
          <w:szCs w:val="22"/>
        </w:rPr>
        <w:t xml:space="preserve">New accounts must be created through the IT department with documented manager authorization;</w:t>
      </w:r>
    </w:p>
    <w:p>
      <w:pPr>
        <w:pStyle w:val="ListParagraph"/>
        <w:numPr>
          <w:ilvl w:val="0"/>
          <w:numId w:val="2"/>
        </w:numPr>
        <w:spacing w:after="40" w:before="40"/>
      </w:pPr>
      <w:r>
        <w:rPr>
          <w:rFonts w:ascii="Arial" w:cs="Arial" w:eastAsia="Arial" w:hAnsi="Arial"/>
          <w:b w:val="false"/>
          <w:bCs w:val="false"/>
          <w:sz w:val="22"/>
          <w:szCs w:val="22"/>
        </w:rPr>
        <w:t xml:space="preserve">Access must be disabled within 24 hours of termination, resignation, or extended leave;</w:t>
      </w:r>
    </w:p>
    <w:p>
      <w:pPr>
        <w:pStyle w:val="ListParagraph"/>
        <w:numPr>
          <w:ilvl w:val="0"/>
          <w:numId w:val="2"/>
        </w:numPr>
        <w:spacing w:after="40" w:before="40"/>
      </w:pPr>
      <w:r>
        <w:rPr>
          <w:rFonts w:ascii="Arial" w:cs="Arial" w:eastAsia="Arial" w:hAnsi="Arial"/>
          <w:b w:val="false"/>
          <w:bCs w:val="false"/>
          <w:sz w:val="22"/>
          <w:szCs w:val="22"/>
        </w:rPr>
        <w:t xml:space="preserve">Privileged (administrative) accounts must be separate from standard user accounts;</w:t>
      </w:r>
    </w:p>
    <w:p>
      <w:pPr>
        <w:pStyle w:val="ListParagraph"/>
        <w:numPr>
          <w:ilvl w:val="0"/>
          <w:numId w:val="2"/>
        </w:numPr>
        <w:spacing w:after="40" w:before="40"/>
      </w:pPr>
      <w:r>
        <w:rPr>
          <w:rFonts w:ascii="Arial" w:cs="Arial" w:eastAsia="Arial" w:hAnsi="Arial"/>
          <w:b w:val="false"/>
          <w:bCs w:val="false"/>
          <w:sz w:val="22"/>
          <w:szCs w:val="22"/>
        </w:rPr>
        <w:t xml:space="preserve">Multi-factor authentication (MFA) is required for all remote access and all cloud-hosted systems.</w:t>
      </w:r>
    </w:p>
    <w:p>
      <w:pPr>
        <w:pStyle w:val="Heading2"/>
        <w:spacing w:after="80" w:before="240"/>
      </w:pPr>
      <w:r>
        <w:rPr>
          <w:rFonts w:ascii="Arial" w:cs="Arial" w:eastAsia="Arial" w:hAnsi="Arial"/>
          <w:b/>
          <w:bCs/>
          <w:color w:val="2E75B6"/>
          <w:sz w:val="26"/>
          <w:szCs w:val="26"/>
        </w:rPr>
        <w:t xml:space="preserve">4.3  Third-Party Access</w:t>
      </w:r>
    </w:p>
    <w:p>
      <w:pPr>
        <w:spacing w:after="100" w:before="60"/>
      </w:pPr>
      <w:r>
        <w:rPr>
          <w:rFonts w:ascii="Arial" w:cs="Arial" w:eastAsia="Arial" w:hAnsi="Arial"/>
          <w:sz w:val="22"/>
          <w:szCs w:val="22"/>
        </w:rPr>
        <w:t xml:space="preserve">Vendors, contractors, and other third parties must execute appropriate agreements before receiving access to Organization systems or data. Third-party access must be limited to specific systems and time periods required for the engagement, and must be reviewed and terminated when the engagement ends.</w:t>
      </w:r>
    </w:p>
    <w:p>
      <w:pPr>
        <w:pStyle w:val="Heading1"/>
        <w:spacing w:after="120" w:before="360"/>
      </w:pPr>
      <w:r>
        <w:rPr>
          <w:rFonts w:ascii="Arial" w:cs="Arial" w:eastAsia="Arial" w:hAnsi="Arial"/>
          <w:b/>
          <w:bCs/>
          <w:color w:val="1F4E79"/>
          <w:sz w:val="32"/>
          <w:szCs w:val="32"/>
        </w:rPr>
        <w:t xml:space="preserve">5. Endpoint Security</w:t>
      </w:r>
    </w:p>
    <w:p>
      <w:pPr>
        <w:pStyle w:val="ListParagraph"/>
        <w:numPr>
          <w:ilvl w:val="0"/>
          <w:numId w:val="2"/>
        </w:numPr>
        <w:spacing w:after="40" w:before="40"/>
      </w:pPr>
      <w:r>
        <w:rPr>
          <w:rFonts w:ascii="Arial" w:cs="Arial" w:eastAsia="Arial" w:hAnsi="Arial"/>
          <w:b w:val="false"/>
          <w:bCs w:val="false"/>
          <w:sz w:val="22"/>
          <w:szCs w:val="22"/>
        </w:rPr>
        <w:t xml:space="preserve">All endpoints (desktops, laptops, mobile devices) must run Organization-approved anti-malware software with real-time protection enabled;</w:t>
      </w:r>
    </w:p>
    <w:p>
      <w:pPr>
        <w:pStyle w:val="ListParagraph"/>
        <w:numPr>
          <w:ilvl w:val="0"/>
          <w:numId w:val="2"/>
        </w:numPr>
        <w:spacing w:after="40" w:before="40"/>
      </w:pPr>
      <w:r>
        <w:rPr>
          <w:rFonts w:ascii="Arial" w:cs="Arial" w:eastAsia="Arial" w:hAnsi="Arial"/>
          <w:b w:val="false"/>
          <w:bCs w:val="false"/>
          <w:sz w:val="22"/>
          <w:szCs w:val="22"/>
        </w:rPr>
        <w:t xml:space="preserve">Operating systems and applications must be kept current — critical security patches must be applied within 30 days of release;</w:t>
      </w:r>
    </w:p>
    <w:p>
      <w:pPr>
        <w:pStyle w:val="ListParagraph"/>
        <w:numPr>
          <w:ilvl w:val="0"/>
          <w:numId w:val="2"/>
        </w:numPr>
        <w:spacing w:after="40" w:before="40"/>
      </w:pPr>
      <w:r>
        <w:rPr>
          <w:rFonts w:ascii="Arial" w:cs="Arial" w:eastAsia="Arial" w:hAnsi="Arial"/>
          <w:b w:val="false"/>
          <w:bCs w:val="false"/>
          <w:sz w:val="22"/>
          <w:szCs w:val="22"/>
        </w:rPr>
        <w:t xml:space="preserve">Full-disk encryption is required on all mobile devices and laptops that may contain Confidential data;</w:t>
      </w:r>
    </w:p>
    <w:p>
      <w:pPr>
        <w:pStyle w:val="ListParagraph"/>
        <w:numPr>
          <w:ilvl w:val="0"/>
          <w:numId w:val="2"/>
        </w:numPr>
        <w:spacing w:after="40" w:before="40"/>
      </w:pPr>
      <w:r>
        <w:rPr>
          <w:rFonts w:ascii="Arial" w:cs="Arial" w:eastAsia="Arial" w:hAnsi="Arial"/>
          <w:b w:val="false"/>
          <w:bCs w:val="false"/>
          <w:sz w:val="22"/>
          <w:szCs w:val="22"/>
        </w:rPr>
        <w:t xml:space="preserve">Screen locks must activate after no more than 15 minutes of inactivity;</w:t>
      </w:r>
    </w:p>
    <w:p>
      <w:pPr>
        <w:pStyle w:val="ListParagraph"/>
        <w:numPr>
          <w:ilvl w:val="0"/>
          <w:numId w:val="2"/>
        </w:numPr>
        <w:spacing w:after="40" w:before="40"/>
      </w:pPr>
      <w:r>
        <w:rPr>
          <w:rFonts w:ascii="Arial" w:cs="Arial" w:eastAsia="Arial" w:hAnsi="Arial"/>
          <w:b w:val="false"/>
          <w:bCs w:val="false"/>
          <w:sz w:val="22"/>
          <w:szCs w:val="22"/>
        </w:rPr>
        <w:t xml:space="preserve">USB and removable media use on Organization systems must be approved by IT and used only for authorized purposes.</w:t>
      </w:r>
    </w:p>
    <w:p>
      <w:pPr>
        <w:pStyle w:val="Heading1"/>
        <w:spacing w:after="120" w:before="360"/>
      </w:pPr>
      <w:r>
        <w:rPr>
          <w:rFonts w:ascii="Arial" w:cs="Arial" w:eastAsia="Arial" w:hAnsi="Arial"/>
          <w:b/>
          <w:bCs/>
          <w:color w:val="1F4E79"/>
          <w:sz w:val="32"/>
          <w:szCs w:val="32"/>
        </w:rPr>
        <w:t xml:space="preserve">6. Network Security</w:t>
      </w:r>
    </w:p>
    <w:p>
      <w:pPr>
        <w:pStyle w:val="ListParagraph"/>
        <w:numPr>
          <w:ilvl w:val="0"/>
          <w:numId w:val="2"/>
        </w:numPr>
        <w:spacing w:after="40" w:before="40"/>
      </w:pPr>
      <w:r>
        <w:rPr>
          <w:rFonts w:ascii="Arial" w:cs="Arial" w:eastAsia="Arial" w:hAnsi="Arial"/>
          <w:b w:val="false"/>
          <w:bCs w:val="false"/>
          <w:sz w:val="22"/>
          <w:szCs w:val="22"/>
        </w:rPr>
        <w:t xml:space="preserve">Production systems containing Confidential data must be segregated from guest and general-use networks;</w:t>
      </w:r>
    </w:p>
    <w:p>
      <w:pPr>
        <w:pStyle w:val="ListParagraph"/>
        <w:numPr>
          <w:ilvl w:val="0"/>
          <w:numId w:val="2"/>
        </w:numPr>
        <w:spacing w:after="40" w:before="40"/>
      </w:pPr>
      <w:r>
        <w:rPr>
          <w:rFonts w:ascii="Arial" w:cs="Arial" w:eastAsia="Arial" w:hAnsi="Arial"/>
          <w:b w:val="false"/>
          <w:bCs w:val="false"/>
          <w:sz w:val="22"/>
          <w:szCs w:val="22"/>
        </w:rPr>
        <w:t xml:space="preserve">Firewalls must be deployed and maintained at all network perimeters;</w:t>
      </w:r>
    </w:p>
    <w:p>
      <w:pPr>
        <w:pStyle w:val="ListParagraph"/>
        <w:numPr>
          <w:ilvl w:val="0"/>
          <w:numId w:val="2"/>
        </w:numPr>
        <w:spacing w:after="40" w:before="40"/>
      </w:pPr>
      <w:r>
        <w:rPr>
          <w:rFonts w:ascii="Arial" w:cs="Arial" w:eastAsia="Arial" w:hAnsi="Arial"/>
          <w:b w:val="false"/>
          <w:bCs w:val="false"/>
          <w:sz w:val="22"/>
          <w:szCs w:val="22"/>
        </w:rPr>
        <w:t xml:space="preserve">Remote access must use VPN or equivalent encrypted tunnel with MFA;</w:t>
      </w:r>
    </w:p>
    <w:p>
      <w:pPr>
        <w:pStyle w:val="ListParagraph"/>
        <w:numPr>
          <w:ilvl w:val="0"/>
          <w:numId w:val="2"/>
        </w:numPr>
        <w:spacing w:after="40" w:before="40"/>
      </w:pPr>
      <w:r>
        <w:rPr>
          <w:rFonts w:ascii="Arial" w:cs="Arial" w:eastAsia="Arial" w:hAnsi="Arial"/>
          <w:b w:val="false"/>
          <w:bCs w:val="false"/>
          <w:sz w:val="22"/>
          <w:szCs w:val="22"/>
        </w:rPr>
        <w:t xml:space="preserve">Wireless networks must use WPA3 or WPA2-Enterprise; open/unencrypted wireless is prohibited in areas handling Confidential data;</w:t>
      </w:r>
    </w:p>
    <w:p>
      <w:pPr>
        <w:pStyle w:val="ListParagraph"/>
        <w:numPr>
          <w:ilvl w:val="0"/>
          <w:numId w:val="2"/>
        </w:numPr>
        <w:spacing w:after="40" w:before="40"/>
      </w:pPr>
      <w:r>
        <w:rPr>
          <w:rFonts w:ascii="Arial" w:cs="Arial" w:eastAsia="Arial" w:hAnsi="Arial"/>
          <w:b w:val="false"/>
          <w:bCs w:val="false"/>
          <w:sz w:val="22"/>
          <w:szCs w:val="22"/>
        </w:rPr>
        <w:t xml:space="preserve">Network activity logs must be retained for a minimum of 90 days and reviewed for anomalies.</w:t>
      </w:r>
    </w:p>
    <w:p>
      <w:pPr>
        <w:pStyle w:val="Heading1"/>
        <w:spacing w:after="120" w:before="360"/>
      </w:pPr>
      <w:r>
        <w:rPr>
          <w:rFonts w:ascii="Arial" w:cs="Arial" w:eastAsia="Arial" w:hAnsi="Arial"/>
          <w:b/>
          <w:bCs/>
          <w:color w:val="1F4E79"/>
          <w:sz w:val="32"/>
          <w:szCs w:val="32"/>
        </w:rPr>
        <w:t xml:space="preserve">7. Data Protection</w:t>
      </w:r>
    </w:p>
    <w:p>
      <w:pPr>
        <w:pStyle w:val="Heading2"/>
        <w:spacing w:after="80" w:before="240"/>
      </w:pPr>
      <w:r>
        <w:rPr>
          <w:rFonts w:ascii="Arial" w:cs="Arial" w:eastAsia="Arial" w:hAnsi="Arial"/>
          <w:b/>
          <w:bCs/>
          <w:color w:val="2E75B6"/>
          <w:sz w:val="26"/>
          <w:szCs w:val="26"/>
        </w:rPr>
        <w:t xml:space="preserve">7.1  Encryption</w:t>
      </w:r>
    </w:p>
    <w:p>
      <w:pPr>
        <w:spacing w:after="100" w:before="60"/>
      </w:pPr>
      <w:r>
        <w:rPr>
          <w:rFonts w:ascii="Arial" w:cs="Arial" w:eastAsia="Arial" w:hAnsi="Arial"/>
          <w:sz w:val="22"/>
          <w:szCs w:val="22"/>
        </w:rPr>
        <w:t xml:space="preserve">Confidential data must be encrypted at rest (AES-256 or equivalent) and in transit (TLS 1.2 or higher). Unencrypted transmission of Confidential data over public networks is prohibited.</w:t>
      </w:r>
    </w:p>
    <w:p>
      <w:pPr>
        <w:pStyle w:val="Heading2"/>
        <w:spacing w:after="80" w:before="240"/>
      </w:pPr>
      <w:r>
        <w:rPr>
          <w:rFonts w:ascii="Arial" w:cs="Arial" w:eastAsia="Arial" w:hAnsi="Arial"/>
          <w:b/>
          <w:bCs/>
          <w:color w:val="2E75B6"/>
          <w:sz w:val="26"/>
          <w:szCs w:val="26"/>
        </w:rPr>
        <w:t xml:space="preserve">7.2  Data Retention and Disposal</w:t>
      </w:r>
    </w:p>
    <w:p>
      <w:pPr>
        <w:spacing w:after="100" w:before="60"/>
      </w:pPr>
      <w:r>
        <w:rPr>
          <w:rFonts w:ascii="Arial" w:cs="Arial" w:eastAsia="Arial" w:hAnsi="Arial"/>
          <w:sz w:val="22"/>
          <w:szCs w:val="22"/>
        </w:rPr>
        <w:t xml:space="preserve">Data must be retained in accordance with the Organization's Records Retention Schedule. When Confidential data is no longer needed, it must be disposed of using NIST 800-88 approved methods (secure overwrite, degaussing, or physical destruction). Paper documents containing Confidential information must be shredded using cross-cut or micro-cut shredders.</w:t>
      </w:r>
    </w:p>
    <w:p>
      <w:pPr>
        <w:pStyle w:val="Heading2"/>
        <w:spacing w:after="80" w:before="240"/>
      </w:pPr>
      <w:r>
        <w:rPr>
          <w:rFonts w:ascii="Arial" w:cs="Arial" w:eastAsia="Arial" w:hAnsi="Arial"/>
          <w:b/>
          <w:bCs/>
          <w:color w:val="2E75B6"/>
          <w:sz w:val="26"/>
          <w:szCs w:val="26"/>
        </w:rPr>
        <w:t xml:space="preserve">7.3  Backup and Recovery</w:t>
      </w:r>
    </w:p>
    <w:p>
      <w:pPr>
        <w:spacing w:after="100" w:before="60"/>
      </w:pPr>
      <w:r>
        <w:rPr>
          <w:rFonts w:ascii="Arial" w:cs="Arial" w:eastAsia="Arial" w:hAnsi="Arial"/>
          <w:sz w:val="22"/>
          <w:szCs w:val="22"/>
        </w:rPr>
        <w:t xml:space="preserve">Critical systems and data must be backed up regularly. Backups must be tested quarterly for recoverability. Backup media containing Confidential data must be encrypted and stored securely, with at least one copy maintained off-site or in a separate cloud region.</w:t>
      </w:r>
    </w:p>
    <w:p>
      <w:pPr>
        <w:pStyle w:val="Heading1"/>
        <w:spacing w:after="120" w:before="360"/>
      </w:pPr>
      <w:r>
        <w:rPr>
          <w:rFonts w:ascii="Arial" w:cs="Arial" w:eastAsia="Arial" w:hAnsi="Arial"/>
          <w:b/>
          <w:bCs/>
          <w:color w:val="1F4E79"/>
          <w:sz w:val="32"/>
          <w:szCs w:val="32"/>
        </w:rPr>
        <w:t xml:space="preserve">8. Acceptable Use of Technology</w:t>
      </w:r>
    </w:p>
    <w:p>
      <w:pPr>
        <w:spacing w:after="100" w:before="60"/>
      </w:pPr>
      <w:r>
        <w:rPr>
          <w:rFonts w:ascii="Arial" w:cs="Arial" w:eastAsia="Arial" w:hAnsi="Arial"/>
          <w:sz w:val="22"/>
          <w:szCs w:val="22"/>
        </w:rPr>
        <w:t xml:space="preserve">See the Organization's Acceptable Use of Technology Policy for detailed guidance on personal use, internet use, email, and social media. Key principles:</w:t>
      </w:r>
    </w:p>
    <w:p>
      <w:pPr>
        <w:pStyle w:val="ListParagraph"/>
        <w:numPr>
          <w:ilvl w:val="0"/>
          <w:numId w:val="2"/>
        </w:numPr>
        <w:spacing w:after="40" w:before="40"/>
      </w:pPr>
      <w:r>
        <w:rPr>
          <w:rFonts w:ascii="Arial" w:cs="Arial" w:eastAsia="Arial" w:hAnsi="Arial"/>
          <w:b w:val="false"/>
          <w:bCs w:val="false"/>
          <w:sz w:val="22"/>
          <w:szCs w:val="22"/>
        </w:rPr>
        <w:t xml:space="preserve">Organization systems are primarily for business use; incidental personal use is permitted if it does not compromise security or productivity;</w:t>
      </w:r>
    </w:p>
    <w:p>
      <w:pPr>
        <w:pStyle w:val="ListParagraph"/>
        <w:numPr>
          <w:ilvl w:val="0"/>
          <w:numId w:val="2"/>
        </w:numPr>
        <w:spacing w:after="40" w:before="40"/>
      </w:pPr>
      <w:r>
        <w:rPr>
          <w:rFonts w:ascii="Arial" w:cs="Arial" w:eastAsia="Arial" w:hAnsi="Arial"/>
          <w:b w:val="false"/>
          <w:bCs w:val="false"/>
          <w:sz w:val="22"/>
          <w:szCs w:val="22"/>
        </w:rPr>
        <w:t xml:space="preserve">Workforce members must not install unauthorized software on Organization systems;</w:t>
      </w:r>
    </w:p>
    <w:p>
      <w:pPr>
        <w:pStyle w:val="ListParagraph"/>
        <w:numPr>
          <w:ilvl w:val="0"/>
          <w:numId w:val="2"/>
        </w:numPr>
        <w:spacing w:after="40" w:before="40"/>
      </w:pPr>
      <w:r>
        <w:rPr>
          <w:rFonts w:ascii="Arial" w:cs="Arial" w:eastAsia="Arial" w:hAnsi="Arial"/>
          <w:b w:val="false"/>
          <w:bCs w:val="false"/>
          <w:sz w:val="22"/>
          <w:szCs w:val="22"/>
        </w:rPr>
        <w:t xml:space="preserve">Workforce members must not circumvent or disable security controls;</w:t>
      </w:r>
    </w:p>
    <w:p>
      <w:pPr>
        <w:pStyle w:val="ListParagraph"/>
        <w:numPr>
          <w:ilvl w:val="0"/>
          <w:numId w:val="2"/>
        </w:numPr>
        <w:spacing w:after="40" w:before="40"/>
      </w:pPr>
      <w:r>
        <w:rPr>
          <w:rFonts w:ascii="Arial" w:cs="Arial" w:eastAsia="Arial" w:hAnsi="Arial"/>
          <w:b w:val="false"/>
          <w:bCs w:val="false"/>
          <w:sz w:val="22"/>
          <w:szCs w:val="22"/>
        </w:rPr>
        <w:t xml:space="preserve">All use of AI tools must comply with the AI Acceptable Use Policy (AI-001).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866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20"/>
            </w:tcMar>
          </w:tcPr>
          <w:p>
            <w:r>
              <w:rPr>
                <w:rFonts w:ascii="Arial" w:cs="Arial" w:eastAsia="Arial" w:hAnsi="Arial"/>
                <w:b/>
                <w:bCs/>
                <w:color w:val="C00000"/>
                <w:sz w:val="22"/>
                <w:szCs w:val="22"/>
              </w:rPr>
              <w:t xml:space="preserve">Prohibited Activities</w:t>
            </w:r>
          </w:p>
          <w:p>
            <w:pPr>
              <w:spacing w:before="40"/>
            </w:pPr>
            <w:r>
              <w:rPr>
                <w:rFonts w:ascii="Arial" w:cs="Arial" w:eastAsia="Arial" w:hAnsi="Arial"/>
                <w:sz w:val="20"/>
                <w:szCs w:val="20"/>
              </w:rPr>
              <w:t xml:space="preserve">Accessing, transmitting, or storing illegal content on Organization systems is strictly prohibited and may result in immediate termination and referral to law enforcement. This includes pirated software, inappropriate content, and materials that violate applicable law.</w:t>
            </w:r>
          </w:p>
        </w:tc>
      </w:tr>
    </w:tbl>
    <w:p>
      <w:pPr>
        <w:pStyle w:val="Heading1"/>
        <w:spacing w:after="120" w:before="360"/>
      </w:pPr>
      <w:r>
        <w:rPr>
          <w:rFonts w:ascii="Arial" w:cs="Arial" w:eastAsia="Arial" w:hAnsi="Arial"/>
          <w:b/>
          <w:bCs/>
          <w:color w:val="1F4E79"/>
          <w:sz w:val="32"/>
          <w:szCs w:val="32"/>
        </w:rPr>
        <w:t xml:space="preserve">9. Incident Response</w:t>
      </w:r>
    </w:p>
    <w:p>
      <w:pPr>
        <w:spacing w:after="100" w:before="60"/>
      </w:pPr>
      <w:r>
        <w:rPr>
          <w:rFonts w:ascii="Arial" w:cs="Arial" w:eastAsia="Arial" w:hAnsi="Arial"/>
          <w:sz w:val="22"/>
          <w:szCs w:val="22"/>
        </w:rPr>
        <w:t xml:space="preserve">All suspected security incidents (malware infection, unauthorized access, lost or stolen device, phishing, data exposure) must be reported to the IT Security team immediately via [Incident Reporting Contact]. Workforce members must not attempt to investigate or remediate security incidents independently. The IT Security team will lead all incident investigations in coordination with the Privacy Officer and senior leadership as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i</w:t>
            </w:r>
          </w:p>
        </w:tc>
        <w:tc>
          <w:tcPr>
            <w:tcW w:type="dxa" w:w="86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20"/>
            </w:tcMar>
          </w:tcPr>
          <w:p>
            <w:r>
              <w:rPr>
                <w:rFonts w:ascii="Arial" w:cs="Arial" w:eastAsia="Arial" w:hAnsi="Arial"/>
                <w:b/>
                <w:bCs/>
                <w:color w:val="1F4E79"/>
                <w:sz w:val="22"/>
                <w:szCs w:val="22"/>
              </w:rPr>
              <w:t xml:space="preserve">How to Report an Incident</w:t>
            </w:r>
          </w:p>
          <w:p>
            <w:pPr>
              <w:spacing w:before="40"/>
            </w:pPr>
            <w:r>
              <w:rPr>
                <w:rFonts w:ascii="Arial" w:cs="Arial" w:eastAsia="Arial" w:hAnsi="Arial"/>
                <w:sz w:val="20"/>
                <w:szCs w:val="20"/>
              </w:rPr>
              <w:t xml:space="preserve">Email: security@[organization].com  |  Phone: [IT Security Hotline]  |  After Hours: [On-Call Number]. When in doubt, report it — early reporting limits the impact of security events.</w:t>
            </w:r>
          </w:p>
        </w:tc>
      </w:tr>
    </w:tbl>
    <w:p>
      <w:pPr>
        <w:pStyle w:val="Heading1"/>
        <w:spacing w:after="120" w:before="360"/>
      </w:pPr>
      <w:r>
        <w:rPr>
          <w:rFonts w:ascii="Arial" w:cs="Arial" w:eastAsia="Arial" w:hAnsi="Arial"/>
          <w:b/>
          <w:bCs/>
          <w:color w:val="1F4E79"/>
          <w:sz w:val="32"/>
          <w:szCs w:val="32"/>
        </w:rPr>
        <w:t xml:space="preserve">10. Security Awareness Training</w:t>
      </w:r>
    </w:p>
    <w:p>
      <w:pPr>
        <w:spacing w:after="100" w:before="60"/>
      </w:pPr>
      <w:r>
        <w:rPr>
          <w:rFonts w:ascii="Arial" w:cs="Arial" w:eastAsia="Arial" w:hAnsi="Arial"/>
          <w:sz w:val="22"/>
          <w:szCs w:val="22"/>
        </w:rPr>
        <w:t xml:space="preserve">All workforce members must complete information security awareness training annually. Training must cover phishing recognition, password hygiene, device security, incident reporting, and AI tool security. Completion is tracked in the LMS and is a condition of continued system access.</w:t>
      </w:r>
    </w:p>
    <w:p>
      <w:pPr>
        <w:pStyle w:val="Heading1"/>
        <w:spacing w:after="120" w:before="360"/>
      </w:pPr>
      <w:r>
        <w:rPr>
          <w:rFonts w:ascii="Arial" w:cs="Arial" w:eastAsia="Arial" w:hAnsi="Arial"/>
          <w:b/>
          <w:bCs/>
          <w:color w:val="1F4E79"/>
          <w:sz w:val="32"/>
          <w:szCs w:val="32"/>
        </w:rPr>
        <w:t xml:space="preserve">11. Related Policies</w:t>
      </w:r>
    </w:p>
    <w:p>
      <w:pPr>
        <w:pStyle w:val="ListParagraph"/>
        <w:numPr>
          <w:ilvl w:val="0"/>
          <w:numId w:val="2"/>
        </w:numPr>
        <w:spacing w:after="40" w:before="40"/>
      </w:pPr>
      <w:r>
        <w:rPr>
          <w:rFonts w:ascii="Arial" w:cs="Arial" w:eastAsia="Arial" w:hAnsi="Arial"/>
          <w:b w:val="false"/>
          <w:bCs w:val="false"/>
          <w:sz w:val="22"/>
          <w:szCs w:val="22"/>
        </w:rPr>
        <w:t xml:space="preserve">HIPAA Security Policy (SEC-001)</w:t>
      </w:r>
    </w:p>
    <w:p>
      <w:pPr>
        <w:pStyle w:val="ListParagraph"/>
        <w:numPr>
          <w:ilvl w:val="0"/>
          <w:numId w:val="2"/>
        </w:numPr>
        <w:spacing w:after="40" w:before="40"/>
      </w:pPr>
      <w:r>
        <w:rPr>
          <w:rFonts w:ascii="Arial" w:cs="Arial" w:eastAsia="Arial" w:hAnsi="Arial"/>
          <w:b w:val="false"/>
          <w:bCs w:val="false"/>
          <w:sz w:val="22"/>
          <w:szCs w:val="22"/>
        </w:rPr>
        <w:t xml:space="preserve">HIPAA Privacy Policy (PRIV-001)</w:t>
      </w:r>
    </w:p>
    <w:p>
      <w:pPr>
        <w:pStyle w:val="ListParagraph"/>
        <w:numPr>
          <w:ilvl w:val="0"/>
          <w:numId w:val="2"/>
        </w:numPr>
        <w:spacing w:after="40" w:before="40"/>
      </w:pPr>
      <w:r>
        <w:rPr>
          <w:rFonts w:ascii="Arial" w:cs="Arial" w:eastAsia="Arial" w:hAnsi="Arial"/>
          <w:b w:val="false"/>
          <w:bCs w:val="false"/>
          <w:sz w:val="22"/>
          <w:szCs w:val="22"/>
        </w:rPr>
        <w:t xml:space="preserve">Breach Notification Policy (BN-001)</w:t>
      </w:r>
    </w:p>
    <w:p>
      <w:pPr>
        <w:pStyle w:val="ListParagraph"/>
        <w:numPr>
          <w:ilvl w:val="0"/>
          <w:numId w:val="2"/>
        </w:numPr>
        <w:spacing w:after="40" w:before="40"/>
      </w:pPr>
      <w:r>
        <w:rPr>
          <w:rFonts w:ascii="Arial" w:cs="Arial" w:eastAsia="Arial" w:hAnsi="Arial"/>
          <w:b w:val="false"/>
          <w:bCs w:val="false"/>
          <w:sz w:val="22"/>
          <w:szCs w:val="22"/>
        </w:rPr>
        <w:t xml:space="preserve">AI Acceptable Use Policy (AI-001)</w:t>
      </w:r>
    </w:p>
    <w:p>
      <w:pPr>
        <w:pStyle w:val="ListParagraph"/>
        <w:numPr>
          <w:ilvl w:val="0"/>
          <w:numId w:val="2"/>
        </w:numPr>
        <w:spacing w:after="40" w:before="40"/>
      </w:pPr>
      <w:r>
        <w:rPr>
          <w:rFonts w:ascii="Arial" w:cs="Arial" w:eastAsia="Arial" w:hAnsi="Arial"/>
          <w:b w:val="false"/>
          <w:bCs w:val="false"/>
          <w:sz w:val="22"/>
          <w:szCs w:val="22"/>
        </w:rPr>
        <w:t xml:space="preserve">Workforce Sanctions Policy (HR-003)</w:t>
      </w:r>
    </w:p>
    <w:p>
      <w:pPr>
        <w:spacing w:after="0" w:before="2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Revision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[INSERT DATE]</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[Author Name]</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Initial issuance</w:t>
            </w:r>
          </w:p>
        </w:tc>
      </w:tr>
    </w:tbl>
    <w:p>
      <w:pPr>
        <w:spacing w:after="0" w:before="120"/>
      </w:pPr>
      <w:r>
        <w:t xml:space="preserve"/>
      </w:r>
    </w:p>
    <w:p>
      <w:pPr>
        <w:spacing w:after="100" w:before="60"/>
      </w:pPr>
      <w:r>
        <w:rPr>
          <w:rFonts w:ascii="Arial" w:cs="Arial" w:eastAsia="Arial" w:hAnsi="Arial"/>
          <w:sz w:val="22"/>
          <w:szCs w:val="22"/>
        </w:rPr>
        <w:t xml:space="preserve">By signing below, the indicated individuals confirm they have reviewed and approved this policy: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40"/>
            </w:tcMar>
          </w:tcPr>
          <w:p>
            <w:pPr>
              <w:pBdr>
                <w:bottom w:val="single" w:color="595959" w:sz="4" w:space="1"/>
              </w:pBdr>
            </w:pPr>
            <w:r>
              <w:rPr>
                <w:rFonts w:ascii="Arial" w:cs="Arial" w:eastAsia="Arial" w:hAnsi="Arial"/>
                <w:color w:val="595959"/>
                <w:sz w:val="20"/>
                <w:szCs w:val="20"/>
              </w:rPr>
              <w:t xml:space="preserve">Privacy / Compliance Officer</w:t>
            </w:r>
          </w:p>
          <w:p>
            <w:pPr>
              <w:spacing w:after="0" w:before="60"/>
            </w:pPr>
            <w:r>
              <w:t xml:space="preserve"/>
            </w:r>
          </w:p>
          <w:p>
            <w:r>
              <w:rPr>
                <w:rFonts w:ascii="Arial" w:cs="Arial" w:eastAsia="Arial" w:hAnsi="Arial"/>
                <w:color w:val="595959"/>
                <w:sz w:val="18"/>
                <w:szCs w:val="18"/>
              </w:rPr>
              <w:t xml:space="preserve">Signature / Date</w:t>
            </w:r>
          </w:p>
        </w:tc>
        <w:tc>
          <w:tcPr>
            <w:tcW w:type="dxa" w:w="4680"/>
            <w:tcBorders>
              <w:top w:val="none" w:color="FFFFFF" w:sz="0"/>
              <w:left w:val="none" w:color="FFFFFF" w:sz="0"/>
              <w:bottom w:val="none" w:color="FFFFFF" w:sz="0"/>
              <w:right w:val="none" w:color="FFFFFF" w:sz="0"/>
            </w:tcBorders>
            <w:tcMar>
              <w:top w:type="dxa" w:w="80"/>
              <w:left w:type="dxa" w:w="240"/>
              <w:bottom w:type="dxa" w:w="80"/>
              <w:right w:type="dxa" w:w="0"/>
            </w:tcMar>
          </w:tcPr>
          <w:p>
            <w:pPr>
              <w:pBdr>
                <w:bottom w:val="single" w:color="595959" w:sz="4" w:space="1"/>
              </w:pBdr>
            </w:pPr>
            <w:r>
              <w:rPr>
                <w:rFonts w:ascii="Arial" w:cs="Arial" w:eastAsia="Arial" w:hAnsi="Arial"/>
                <w:color w:val="595959"/>
                <w:sz w:val="20"/>
                <w:szCs w:val="20"/>
              </w:rPr>
              <w:t xml:space="preserve">Chief Executive Officer</w:t>
            </w:r>
          </w:p>
          <w:p>
            <w:pPr>
              <w:spacing w:after="0" w:before="60"/>
            </w:pPr>
            <w:r>
              <w:t xml:space="preserve"/>
            </w:r>
          </w:p>
          <w:p>
            <w:r>
              <w:rPr>
                <w:rFonts w:ascii="Arial" w:cs="Arial" w:eastAsia="Arial" w:hAnsi="Arial"/>
                <w:color w:val="595959"/>
                <w:sz w:val="18"/>
                <w:szCs w:val="18"/>
              </w:rPr>
              <w:t xml:space="preserve">Signature / Date</w:t>
            </w:r>
          </w:p>
        </w:tc>
      </w:tr>
    </w:tbl>
    <w:p>
      <w:pPr>
        <w:spacing w:after="0" w:before="200"/>
      </w:pPr>
      <w:r>
        <w:t xml:space="preserve"/>
      </w:r>
    </w:p>
    <w:p>
      <w:pPr>
        <w:pBdr>
          <w:bottom w:val="single" w:color="2E75B6" w:sz="4" w:space="1"/>
        </w:pBdr>
        <w:spacing w:after="160" w:before="160"/>
      </w:pPr>
      <w:r>
        <w:t xml:space="preserve"/>
      </w:r>
    </w:p>
    <w:p>
      <w:pPr>
        <w:spacing w:before="80"/>
        <w:jc w:val="center"/>
      </w:pPr>
      <w:r>
        <w:rPr>
          <w:rFonts w:ascii="Arial" w:cs="Arial" w:eastAsia="Arial" w:hAnsi="Arial"/>
          <w:color w:val="595959"/>
          <w:sz w:val="18"/>
          <w:szCs w:val="18"/>
        </w:rPr>
        <w:t xml:space="preserve">CONFIDENTIAL — FOR INTERNAL USE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595959"/>
        <w:sz w:val="18"/>
        <w:szCs w:val="18"/>
      </w:rPr>
      <w:t xml:space="preserve">Information Security Policy (IS-001)  |  CONFIDENTIAL — FOR INTERNAL USE ONLY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2026-03-19T17:13:20.519Z</dcterms:created>
  <dcterms:modified xsi:type="dcterms:W3CDTF">2026-03-19T17:13:20.521Z</dcterms:modified>
</cp:coreProperties>
</file>

<file path=docProps/custom.xml><?xml version="1.0" encoding="utf-8"?>
<Properties xmlns="http://schemas.openxmlformats.org/officeDocument/2006/custom-properties" xmlns:vt="http://schemas.openxmlformats.org/officeDocument/2006/docPropsVTypes"/>
</file>