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Breach Notification Policy</w:t>
      </w:r>
    </w:p>
    <w:p>
      <w:pPr>
        <w:spacing w:after="80" w:before="0"/>
        <w:jc w:val="center"/>
      </w:pPr>
      <w:r>
        <w:rPr>
          <w:rFonts w:ascii="Arial" w:cs="Arial" w:eastAsia="Arial" w:hAnsi="Arial"/>
          <w:color w:val="2E75B6"/>
          <w:sz w:val="30"/>
          <w:szCs w:val="30"/>
        </w:rPr>
        <w:t xml:space="preserve">HIPAA Breach Assessment, Reporting &amp; Notification</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BN-001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Compliance / Information Technology</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Privacy Officer / Security Officer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procedures for identifying, assessing, documenting, and responding to breaches of unsecured Protected Health Information (PHI) and electronic PHI (ePHI) in accordance with the HIPAA Breach Notification Rule, 45 CFR Part 164, Subpart D, and the Health Information Technology for Economic and Clinical Health (HITECH) Act. It ensures that [Organization Name] ("the Organization") meets all required notification timelines and content requirements, protects affected individuals, and maintains regulatory compliance.</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and business associates of the Organization who discover or suspect any impermissible use, disclosure, access, or acquisition of PHI or ePHI. It covers all media, including paper, electronic, verbal, and any other form in which PHI is maintained.</w:t>
      </w:r>
    </w:p>
    <w:p>
      <w:pPr>
        <w:pStyle w:val="Heading1"/>
        <w:spacing w:after="120" w:before="360"/>
      </w:pPr>
      <w:r>
        <w:rPr>
          <w:rFonts w:ascii="Arial" w:cs="Arial" w:eastAsia="Arial" w:hAnsi="Arial"/>
          <w:b/>
          <w:bCs/>
          <w:color w:val="1F4E79"/>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Breach</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An impermissible use or disclosure of unsecured PHI that compromises the security or privacy of the PHI, as defined under 45 CFR §164.402. A breach is presumed unless the Organization can demonstrate through a 4-factor risk assessment that there is a low probability that PHI was compromised.</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Unsecured PHI</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PHI that has not been rendered unusable, unreadable, or indecipherable to unauthorized individuals through encryption or destruction consistent with HHS guidance.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Security Incident</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Attempted or successful unauthorized access, use, disclosure, modification, or destruction of ePHI or information systems.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Business Associate Breach</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breach discovered by a Business Associate; the BA must notify the covered entity within 60 calendar days of discovery.</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Discovery</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The date an incident is first known, or by exercising reasonable diligence would have been known, to any workforce member other than the person committing the breach.</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Affected Individual</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patient or personal representative whose unsecured PHI was involved in a breach.</w:t>
            </w:r>
          </w:p>
        </w:tc>
      </w:tr>
    </w:tbl>
    <w:p>
      <w:pPr>
        <w:pStyle w:val="Heading1"/>
        <w:spacing w:after="120" w:before="360"/>
      </w:pPr>
      <w:r>
        <w:rPr>
          <w:rFonts w:ascii="Arial" w:cs="Arial" w:eastAsia="Arial" w:hAnsi="Arial"/>
          <w:b/>
          <w:bCs/>
          <w:color w:val="1F4E79"/>
          <w:sz w:val="32"/>
          <w:szCs w:val="32"/>
        </w:rPr>
        <w:t xml:space="preserve">4. Breach Presumption and Risk Assessment</w:t>
      </w:r>
    </w:p>
    <w:p>
      <w:pPr>
        <w:spacing w:after="100" w:before="60"/>
      </w:pPr>
      <w:r>
        <w:rPr>
          <w:rFonts w:ascii="Arial" w:cs="Arial" w:eastAsia="Arial" w:hAnsi="Arial"/>
          <w:sz w:val="22"/>
          <w:szCs w:val="22"/>
        </w:rPr>
        <w:t xml:space="preserve">When an impermissible use or disclosure of PHI occurs, a breach is presumed unless the Organization performs a documented 4-factor risk assessment demonstrating a low probability that PHI was compromised. The four factors are:</w:t>
      </w:r>
    </w:p>
    <w:p>
      <w:pPr>
        <w:pStyle w:val="ListParagraph"/>
        <w:numPr>
          <w:ilvl w:val="0"/>
          <w:numId w:val="2"/>
        </w:numPr>
        <w:spacing w:after="40" w:before="40"/>
      </w:pPr>
      <w:r>
        <w:rPr>
          <w:rFonts w:ascii="Arial" w:cs="Arial" w:eastAsia="Arial" w:hAnsi="Arial"/>
          <w:b w:val="false"/>
          <w:bCs w:val="false"/>
          <w:sz w:val="22"/>
          <w:szCs w:val="22"/>
        </w:rPr>
        <w:t xml:space="preserve">The nature and extent of the PHI involved, including the types of identifiers and the likelihood of re-identification;</w:t>
      </w:r>
    </w:p>
    <w:p>
      <w:pPr>
        <w:pStyle w:val="ListParagraph"/>
        <w:numPr>
          <w:ilvl w:val="0"/>
          <w:numId w:val="2"/>
        </w:numPr>
        <w:spacing w:after="40" w:before="40"/>
      </w:pPr>
      <w:r>
        <w:rPr>
          <w:rFonts w:ascii="Arial" w:cs="Arial" w:eastAsia="Arial" w:hAnsi="Arial"/>
          <w:b w:val="false"/>
          <w:bCs w:val="false"/>
          <w:sz w:val="22"/>
          <w:szCs w:val="22"/>
        </w:rPr>
        <w:t xml:space="preserve">The identity of the unauthorized person who used the PHI or to whom the disclosure was made;</w:t>
      </w:r>
    </w:p>
    <w:p>
      <w:pPr>
        <w:pStyle w:val="ListParagraph"/>
        <w:numPr>
          <w:ilvl w:val="0"/>
          <w:numId w:val="2"/>
        </w:numPr>
        <w:spacing w:after="40" w:before="40"/>
      </w:pPr>
      <w:r>
        <w:rPr>
          <w:rFonts w:ascii="Arial" w:cs="Arial" w:eastAsia="Arial" w:hAnsi="Arial"/>
          <w:b w:val="false"/>
          <w:bCs w:val="false"/>
          <w:sz w:val="22"/>
          <w:szCs w:val="22"/>
        </w:rPr>
        <w:t xml:space="preserve">Whether the PHI was actually acquired or viewed;</w:t>
      </w:r>
    </w:p>
    <w:p>
      <w:pPr>
        <w:pStyle w:val="ListParagraph"/>
        <w:numPr>
          <w:ilvl w:val="0"/>
          <w:numId w:val="2"/>
        </w:numPr>
        <w:spacing w:after="40" w:before="40"/>
      </w:pPr>
      <w:r>
        <w:rPr>
          <w:rFonts w:ascii="Arial" w:cs="Arial" w:eastAsia="Arial" w:hAnsi="Arial"/>
          <w:b w:val="false"/>
          <w:bCs w:val="false"/>
          <w:sz w:val="22"/>
          <w:szCs w:val="22"/>
        </w:rPr>
        <w:t xml:space="preserve">The extent to which the risk to the PHI has been mitigated (e.g., confidentiality agreement, evidence of deletion).</w:t>
      </w:r>
    </w:p>
    <w:p>
      <w:pPr>
        <w:spacing w:after="0" w:before="80"/>
      </w:pPr>
      <w:r>
        <w:t xml:space="preserve"/>
      </w:r>
    </w:p>
    <w:p>
      <w:pPr>
        <w:spacing w:after="100" w:before="60"/>
      </w:pPr>
      <w:r>
        <w:rPr>
          <w:rFonts w:ascii="Arial" w:cs="Arial" w:eastAsia="Arial" w:hAnsi="Arial"/>
          <w:sz w:val="22"/>
          <w:szCs w:val="22"/>
        </w:rPr>
        <w:t xml:space="preserve">If the risk assessment does not demonstrate a low probability of compromise across all four factors, breach notification is required.</w:t>
      </w:r>
    </w:p>
    <w:p>
      <w:pPr>
        <w:pStyle w:val="Heading2"/>
        <w:spacing w:after="80" w:before="240"/>
      </w:pPr>
      <w:r>
        <w:rPr>
          <w:rFonts w:ascii="Arial" w:cs="Arial" w:eastAsia="Arial" w:hAnsi="Arial"/>
          <w:b/>
          <w:bCs/>
          <w:color w:val="2E75B6"/>
          <w:sz w:val="26"/>
          <w:szCs w:val="26"/>
        </w:rPr>
        <w:t xml:space="preserve">4.1  Exceptions to Breach Notification</w:t>
      </w:r>
    </w:p>
    <w:p>
      <w:pPr>
        <w:spacing w:after="100" w:before="60"/>
      </w:pPr>
      <w:r>
        <w:rPr>
          <w:rFonts w:ascii="Arial" w:cs="Arial" w:eastAsia="Arial" w:hAnsi="Arial"/>
          <w:sz w:val="22"/>
          <w:szCs w:val="22"/>
        </w:rPr>
        <w:t xml:space="preserve">The following are not breaches and do not require notification:</w:t>
      </w:r>
    </w:p>
    <w:p>
      <w:pPr>
        <w:pStyle w:val="ListParagraph"/>
        <w:numPr>
          <w:ilvl w:val="0"/>
          <w:numId w:val="3"/>
        </w:numPr>
        <w:spacing w:after="40" w:before="40"/>
      </w:pPr>
      <w:r>
        <w:rPr>
          <w:rFonts w:ascii="Arial" w:cs="Arial" w:eastAsia="Arial" w:hAnsi="Arial"/>
          <w:b w:val="false"/>
          <w:bCs w:val="false"/>
          <w:sz w:val="22"/>
          <w:szCs w:val="22"/>
        </w:rPr>
        <w:t xml:space="preserve">Unintentional access or use of PHI by a workforce member acting in good faith within the scope of authority, with no further use or impermissible disclosure;</w:t>
      </w:r>
    </w:p>
    <w:p>
      <w:pPr>
        <w:pStyle w:val="ListParagraph"/>
        <w:numPr>
          <w:ilvl w:val="0"/>
          <w:numId w:val="3"/>
        </w:numPr>
        <w:spacing w:after="40" w:before="40"/>
      </w:pPr>
      <w:r>
        <w:rPr>
          <w:rFonts w:ascii="Arial" w:cs="Arial" w:eastAsia="Arial" w:hAnsi="Arial"/>
          <w:b w:val="false"/>
          <w:bCs w:val="false"/>
          <w:sz w:val="22"/>
          <w:szCs w:val="22"/>
        </w:rPr>
        <w:t xml:space="preserve">Inadvertent disclosure by an authorized person to another authorized person at the same organization, with no further use or impermissible disclosure;</w:t>
      </w:r>
    </w:p>
    <w:p>
      <w:pPr>
        <w:pStyle w:val="ListParagraph"/>
        <w:numPr>
          <w:ilvl w:val="0"/>
          <w:numId w:val="3"/>
        </w:numPr>
        <w:spacing w:after="40" w:before="40"/>
      </w:pPr>
      <w:r>
        <w:rPr>
          <w:rFonts w:ascii="Arial" w:cs="Arial" w:eastAsia="Arial" w:hAnsi="Arial"/>
          <w:b w:val="false"/>
          <w:bCs w:val="false"/>
          <w:sz w:val="22"/>
          <w:szCs w:val="22"/>
        </w:rPr>
        <w:t xml:space="preserve">A disclosure where the Organization has a good faith belief that the unauthorized recipient could not have retained the information.</w:t>
      </w:r>
    </w:p>
    <w:p>
      <w:pPr>
        <w:pStyle w:val="Heading1"/>
        <w:spacing w:after="120" w:before="360"/>
      </w:pPr>
      <w:r>
        <w:rPr>
          <w:rFonts w:ascii="Arial" w:cs="Arial" w:eastAsia="Arial" w:hAnsi="Arial"/>
          <w:b/>
          <w:bCs/>
          <w:color w:val="1F4E79"/>
          <w:sz w:val="32"/>
          <w:szCs w:val="32"/>
        </w:rPr>
        <w:t xml:space="preserve">5. Incident Reporting and Internal Response</w:t>
      </w:r>
    </w:p>
    <w:p>
      <w:pPr>
        <w:pStyle w:val="Heading2"/>
        <w:spacing w:after="80" w:before="240"/>
      </w:pPr>
      <w:r>
        <w:rPr>
          <w:rFonts w:ascii="Arial" w:cs="Arial" w:eastAsia="Arial" w:hAnsi="Arial"/>
          <w:b/>
          <w:bCs/>
          <w:color w:val="2E75B6"/>
          <w:sz w:val="26"/>
          <w:szCs w:val="26"/>
        </w:rPr>
        <w:t xml:space="preserve">5.1  Workforce Reporting Obligation</w:t>
      </w:r>
    </w:p>
    <w:p>
      <w:pPr>
        <w:spacing w:after="100" w:before="60"/>
      </w:pPr>
      <w:r>
        <w:rPr>
          <w:rFonts w:ascii="Arial" w:cs="Arial" w:eastAsia="Arial" w:hAnsi="Arial"/>
          <w:sz w:val="22"/>
          <w:szCs w:val="22"/>
        </w:rPr>
        <w:t xml:space="preserve">Any workforce member who discovers or suspects a breach or security incident involving PHI must report it immediately — within the same business day if at all possible — to the Privacy Officer and IT Security team. Delayed reporting is itself a policy violation and may worsen notification timeline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i</w:t>
            </w:r>
          </w:p>
        </w:tc>
        <w:tc>
          <w:tcPr>
            <w:tcW w:type="dxa" w:w="86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20"/>
            </w:tcMar>
          </w:tcPr>
          <w:p>
            <w:r>
              <w:rPr>
                <w:rFonts w:ascii="Arial" w:cs="Arial" w:eastAsia="Arial" w:hAnsi="Arial"/>
                <w:b/>
                <w:bCs/>
                <w:color w:val="1F4E79"/>
                <w:sz w:val="22"/>
                <w:szCs w:val="22"/>
              </w:rPr>
              <w:t xml:space="preserve">Report a Suspected Breach</w:t>
            </w:r>
          </w:p>
          <w:p>
            <w:pPr>
              <w:spacing w:before="40"/>
            </w:pPr>
            <w:r>
              <w:rPr>
                <w:rFonts w:ascii="Arial" w:cs="Arial" w:eastAsia="Arial" w:hAnsi="Arial"/>
                <w:sz w:val="20"/>
                <w:szCs w:val="20"/>
              </w:rPr>
              <w:t xml:space="preserve">Privacy Officer: [Name] | Email: privacy@[organization].com | Phone: [Number]
IT Security: security@[organization].com | Hotline: [Number]
After-hours: [On-Call Number]</w:t>
            </w:r>
          </w:p>
        </w:tc>
      </w:tr>
    </w:tbl>
    <w:p>
      <w:pPr>
        <w:pStyle w:val="Heading2"/>
        <w:spacing w:after="80" w:before="240"/>
      </w:pPr>
      <w:r>
        <w:rPr>
          <w:rFonts w:ascii="Arial" w:cs="Arial" w:eastAsia="Arial" w:hAnsi="Arial"/>
          <w:b/>
          <w:bCs/>
          <w:color w:val="2E75B6"/>
          <w:sz w:val="26"/>
          <w:szCs w:val="26"/>
        </w:rPr>
        <w:t xml:space="preserve">5.2  Internal Response Timeline</w:t>
      </w:r>
    </w:p>
    <w:p>
      <w:pPr>
        <w:spacing w:after="100" w:before="60"/>
      </w:pPr>
      <w:r>
        <w:rPr>
          <w:rFonts w:ascii="Arial" w:cs="Arial" w:eastAsia="Arial" w:hAnsi="Arial"/>
          <w:sz w:val="22"/>
          <w:szCs w:val="22"/>
        </w:rPr>
        <w:t xml:space="preserve">Upon receiving a breach report, the Privacy Officer and Security Officer will initiate the following:</w:t>
      </w:r>
    </w:p>
    <w:p>
      <w:pPr>
        <w:pStyle w:val="ListParagraph"/>
        <w:numPr>
          <w:ilvl w:val="0"/>
          <w:numId w:val="2"/>
        </w:numPr>
        <w:spacing w:after="40" w:before="40"/>
      </w:pPr>
      <w:r>
        <w:rPr>
          <w:rFonts w:ascii="Arial" w:cs="Arial" w:eastAsia="Arial" w:hAnsi="Arial"/>
          <w:b w:val="false"/>
          <w:bCs w:val="false"/>
          <w:sz w:val="22"/>
          <w:szCs w:val="22"/>
        </w:rPr>
        <w:t xml:space="preserve">Immediate containment: IT Security takes steps to prevent further exposure (revoking access, isolating systems, securing physical records);</w:t>
      </w:r>
    </w:p>
    <w:p>
      <w:pPr>
        <w:pStyle w:val="ListParagraph"/>
        <w:numPr>
          <w:ilvl w:val="0"/>
          <w:numId w:val="2"/>
        </w:numPr>
        <w:spacing w:after="40" w:before="40"/>
      </w:pPr>
      <w:r>
        <w:rPr>
          <w:rFonts w:ascii="Arial" w:cs="Arial" w:eastAsia="Arial" w:hAnsi="Arial"/>
          <w:b w:val="false"/>
          <w:bCs w:val="false"/>
          <w:sz w:val="22"/>
          <w:szCs w:val="22"/>
        </w:rPr>
        <w:t xml:space="preserve">Risk assessment: The Privacy Officer leads the 4-factor risk assessment, documented in the Organization's Breach Incident Log;</w:t>
      </w:r>
    </w:p>
    <w:p>
      <w:pPr>
        <w:pStyle w:val="ListParagraph"/>
        <w:numPr>
          <w:ilvl w:val="0"/>
          <w:numId w:val="2"/>
        </w:numPr>
        <w:spacing w:after="40" w:before="40"/>
      </w:pPr>
      <w:r>
        <w:rPr>
          <w:rFonts w:ascii="Arial" w:cs="Arial" w:eastAsia="Arial" w:hAnsi="Arial"/>
          <w:b w:val="false"/>
          <w:bCs w:val="false"/>
          <w:sz w:val="22"/>
          <w:szCs w:val="22"/>
        </w:rPr>
        <w:t xml:space="preserve">Breach determination: Within 5 business days of discovery, determine whether notification is required;</w:t>
      </w:r>
    </w:p>
    <w:p>
      <w:pPr>
        <w:pStyle w:val="ListParagraph"/>
        <w:numPr>
          <w:ilvl w:val="0"/>
          <w:numId w:val="2"/>
        </w:numPr>
        <w:spacing w:after="40" w:before="40"/>
      </w:pPr>
      <w:r>
        <w:rPr>
          <w:rFonts w:ascii="Arial" w:cs="Arial" w:eastAsia="Arial" w:hAnsi="Arial"/>
          <w:b w:val="false"/>
          <w:bCs w:val="false"/>
          <w:sz w:val="22"/>
          <w:szCs w:val="22"/>
        </w:rPr>
        <w:t xml:space="preserve">Notification planning: If notification is required, initiate individual, HHS, and media notification procedures per the timelines below;</w:t>
      </w:r>
    </w:p>
    <w:p>
      <w:pPr>
        <w:pStyle w:val="ListParagraph"/>
        <w:numPr>
          <w:ilvl w:val="0"/>
          <w:numId w:val="2"/>
        </w:numPr>
        <w:spacing w:after="40" w:before="40"/>
      </w:pPr>
      <w:r>
        <w:rPr>
          <w:rFonts w:ascii="Arial" w:cs="Arial" w:eastAsia="Arial" w:hAnsi="Arial"/>
          <w:b w:val="false"/>
          <w:bCs w:val="false"/>
          <w:sz w:val="22"/>
          <w:szCs w:val="22"/>
        </w:rPr>
        <w:t xml:space="preserve">Documentation: Maintain complete documentation of the incident, risk assessment, and all notification activities for a minimum of 6 years.</w:t>
      </w:r>
    </w:p>
    <w:p>
      <w:pPr>
        <w:pStyle w:val="Heading1"/>
        <w:spacing w:after="120" w:before="360"/>
      </w:pPr>
      <w:r>
        <w:rPr>
          <w:rFonts w:ascii="Arial" w:cs="Arial" w:eastAsia="Arial" w:hAnsi="Arial"/>
          <w:b/>
          <w:bCs/>
          <w:color w:val="1F4E79"/>
          <w:sz w:val="32"/>
          <w:szCs w:val="32"/>
        </w:rPr>
        <w:t xml:space="preserve">6. Notification Requirements</w:t>
      </w:r>
    </w:p>
    <w:p>
      <w:pPr>
        <w:pStyle w:val="Heading2"/>
        <w:spacing w:after="80" w:before="240"/>
      </w:pPr>
      <w:r>
        <w:rPr>
          <w:rFonts w:ascii="Arial" w:cs="Arial" w:eastAsia="Arial" w:hAnsi="Arial"/>
          <w:b/>
          <w:bCs/>
          <w:color w:val="2E75B6"/>
          <w:sz w:val="26"/>
          <w:szCs w:val="26"/>
        </w:rPr>
        <w:t xml:space="preserve">6.1  Individual Notification</w:t>
      </w:r>
    </w:p>
    <w:p>
      <w:pPr>
        <w:spacing w:after="100" w:before="60"/>
      </w:pPr>
      <w:r>
        <w:rPr>
          <w:rFonts w:ascii="Arial" w:cs="Arial" w:eastAsia="Arial" w:hAnsi="Arial"/>
          <w:sz w:val="22"/>
          <w:szCs w:val="22"/>
        </w:rPr>
        <w:t xml:space="preserve">Affected individuals must be notified without unreasonable delay and no later than 60 calendar days after the date of breach discovery. Notification must be provided by first-class mail to the individual's last known address, or by email if the individual has agreed to electronic notification. If contact information is insufficient for 10 or more individuals, substitute notice is required (website or major print/broadcast media in the affected area for 90 days).</w:t>
      </w:r>
    </w:p>
    <w:p>
      <w:pPr>
        <w:spacing w:after="100" w:before="60"/>
      </w:pPr>
      <w:r>
        <w:rPr>
          <w:rFonts w:ascii="Arial" w:cs="Arial" w:eastAsia="Arial" w:hAnsi="Arial"/>
          <w:sz w:val="22"/>
          <w:szCs w:val="22"/>
        </w:rPr>
        <w:t xml:space="preserve">Individual notification must include:</w:t>
      </w:r>
    </w:p>
    <w:p>
      <w:pPr>
        <w:pStyle w:val="ListParagraph"/>
        <w:numPr>
          <w:ilvl w:val="0"/>
          <w:numId w:val="3"/>
        </w:numPr>
        <w:spacing w:after="40" w:before="40"/>
      </w:pPr>
      <w:r>
        <w:rPr>
          <w:rFonts w:ascii="Arial" w:cs="Arial" w:eastAsia="Arial" w:hAnsi="Arial"/>
          <w:b w:val="false"/>
          <w:bCs w:val="false"/>
          <w:sz w:val="22"/>
          <w:szCs w:val="22"/>
        </w:rPr>
        <w:t xml:space="preserve">A brief description of what happened, including the date of the breach and date of discovery;</w:t>
      </w:r>
    </w:p>
    <w:p>
      <w:pPr>
        <w:pStyle w:val="ListParagraph"/>
        <w:numPr>
          <w:ilvl w:val="0"/>
          <w:numId w:val="3"/>
        </w:numPr>
        <w:spacing w:after="40" w:before="40"/>
      </w:pPr>
      <w:r>
        <w:rPr>
          <w:rFonts w:ascii="Arial" w:cs="Arial" w:eastAsia="Arial" w:hAnsi="Arial"/>
          <w:b w:val="false"/>
          <w:bCs w:val="false"/>
          <w:sz w:val="22"/>
          <w:szCs w:val="22"/>
        </w:rPr>
        <w:t xml:space="preserve">A description of the types of PHI involved;</w:t>
      </w:r>
    </w:p>
    <w:p>
      <w:pPr>
        <w:pStyle w:val="ListParagraph"/>
        <w:numPr>
          <w:ilvl w:val="0"/>
          <w:numId w:val="3"/>
        </w:numPr>
        <w:spacing w:after="40" w:before="40"/>
      </w:pPr>
      <w:r>
        <w:rPr>
          <w:rFonts w:ascii="Arial" w:cs="Arial" w:eastAsia="Arial" w:hAnsi="Arial"/>
          <w:b w:val="false"/>
          <w:bCs w:val="false"/>
          <w:sz w:val="22"/>
          <w:szCs w:val="22"/>
        </w:rPr>
        <w:t xml:space="preserve">Steps the individual should take to protect themselves;</w:t>
      </w:r>
    </w:p>
    <w:p>
      <w:pPr>
        <w:pStyle w:val="ListParagraph"/>
        <w:numPr>
          <w:ilvl w:val="0"/>
          <w:numId w:val="3"/>
        </w:numPr>
        <w:spacing w:after="40" w:before="40"/>
      </w:pPr>
      <w:r>
        <w:rPr>
          <w:rFonts w:ascii="Arial" w:cs="Arial" w:eastAsia="Arial" w:hAnsi="Arial"/>
          <w:b w:val="false"/>
          <w:bCs w:val="false"/>
          <w:sz w:val="22"/>
          <w:szCs w:val="22"/>
        </w:rPr>
        <w:t xml:space="preserve">A brief description of what the Organization is doing to investigate, mitigate harm, and prevent future breaches;</w:t>
      </w:r>
    </w:p>
    <w:p>
      <w:pPr>
        <w:pStyle w:val="ListParagraph"/>
        <w:numPr>
          <w:ilvl w:val="0"/>
          <w:numId w:val="3"/>
        </w:numPr>
        <w:spacing w:after="40" w:before="40"/>
      </w:pPr>
      <w:r>
        <w:rPr>
          <w:rFonts w:ascii="Arial" w:cs="Arial" w:eastAsia="Arial" w:hAnsi="Arial"/>
          <w:b w:val="false"/>
          <w:bCs w:val="false"/>
          <w:sz w:val="22"/>
          <w:szCs w:val="22"/>
        </w:rPr>
        <w:t xml:space="preserve">Contact information for the Organization (toll-free number, email, website, or mailing address) where individuals can ask questions.</w:t>
      </w:r>
    </w:p>
    <w:p>
      <w:pPr>
        <w:pStyle w:val="Heading2"/>
        <w:spacing w:after="80" w:before="240"/>
      </w:pPr>
      <w:r>
        <w:rPr>
          <w:rFonts w:ascii="Arial" w:cs="Arial" w:eastAsia="Arial" w:hAnsi="Arial"/>
          <w:b/>
          <w:bCs/>
          <w:color w:val="2E75B6"/>
          <w:sz w:val="26"/>
          <w:szCs w:val="26"/>
        </w:rPr>
        <w:t xml:space="preserve">6.2  HHS Notification</w:t>
      </w:r>
    </w:p>
    <w:p>
      <w:pPr>
        <w:spacing w:after="100" w:before="60"/>
      </w:pPr>
      <w:r>
        <w:rPr>
          <w:rFonts w:ascii="Arial" w:cs="Arial" w:eastAsia="Arial" w:hAnsi="Arial"/>
          <w:sz w:val="22"/>
          <w:szCs w:val="22"/>
        </w:rPr>
        <w:t xml:space="preserve">The Organization must notify HHS of all breaches. The method and timing differ based on the size of the breach:</w:t>
      </w:r>
    </w:p>
    <w:p>
      <w:pPr>
        <w:pStyle w:val="ListParagraph"/>
        <w:numPr>
          <w:ilvl w:val="0"/>
          <w:numId w:val="3"/>
        </w:numPr>
        <w:spacing w:after="40" w:before="40"/>
      </w:pPr>
      <w:r>
        <w:rPr>
          <w:rFonts w:ascii="Arial" w:cs="Arial" w:eastAsia="Arial" w:hAnsi="Arial"/>
          <w:b w:val="false"/>
          <w:bCs w:val="false"/>
          <w:sz w:val="22"/>
          <w:szCs w:val="22"/>
        </w:rPr>
        <w:t xml:space="preserve">Breaches affecting 500 or more individuals: Notify HHS contemporaneously with individual notification — within 60 days of discovery — via the HHS web portal (www.hhs.gov/ocr/breach);</w:t>
      </w:r>
    </w:p>
    <w:p>
      <w:pPr>
        <w:pStyle w:val="ListParagraph"/>
        <w:numPr>
          <w:ilvl w:val="0"/>
          <w:numId w:val="3"/>
        </w:numPr>
        <w:spacing w:after="40" w:before="40"/>
      </w:pPr>
      <w:r>
        <w:rPr>
          <w:rFonts w:ascii="Arial" w:cs="Arial" w:eastAsia="Arial" w:hAnsi="Arial"/>
          <w:b w:val="false"/>
          <w:bCs w:val="false"/>
          <w:sz w:val="22"/>
          <w:szCs w:val="22"/>
        </w:rPr>
        <w:t xml:space="preserve">Breaches affecting fewer than 500 individuals: Log in the Organization's annual breach log and submit to HHS no later than 60 days after the end of the calendar year in which the breach was discovered.</w:t>
      </w:r>
    </w:p>
    <w:p>
      <w:pPr>
        <w:pStyle w:val="Heading2"/>
        <w:spacing w:after="80" w:before="240"/>
      </w:pPr>
      <w:r>
        <w:rPr>
          <w:rFonts w:ascii="Arial" w:cs="Arial" w:eastAsia="Arial" w:hAnsi="Arial"/>
          <w:b/>
          <w:bCs/>
          <w:color w:val="2E75B6"/>
          <w:sz w:val="26"/>
          <w:szCs w:val="26"/>
        </w:rPr>
        <w:t xml:space="preserve">6.3  Media Notification</w:t>
      </w:r>
    </w:p>
    <w:p>
      <w:pPr>
        <w:spacing w:after="100" w:before="60"/>
      </w:pPr>
      <w:r>
        <w:rPr>
          <w:rFonts w:ascii="Arial" w:cs="Arial" w:eastAsia="Arial" w:hAnsi="Arial"/>
          <w:sz w:val="22"/>
          <w:szCs w:val="22"/>
        </w:rPr>
        <w:t xml:space="preserve">If a breach affects 500 or more residents of a state or jurisdiction, the Organization must also provide notice to prominent media outlets serving that area, without unreasonable delay and within 60 days of discovery. Media notice must contain the same information required for individual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60-Day Hard Deadline</w:t>
            </w:r>
          </w:p>
          <w:p>
            <w:pPr>
              <w:spacing w:before="40"/>
            </w:pPr>
            <w:r>
              <w:rPr>
                <w:rFonts w:ascii="Arial" w:cs="Arial" w:eastAsia="Arial" w:hAnsi="Arial"/>
                <w:sz w:val="20"/>
                <w:szCs w:val="20"/>
              </w:rPr>
              <w:t xml:space="preserve">The 60-day notification deadline runs from the date of discovery — not from the date a decision is made to notify. Breach investigations must be expedited. Failure to provide timely notice is itself a HIPAA violation subject to separate penalties.</w:t>
            </w:r>
          </w:p>
        </w:tc>
      </w:tr>
    </w:tbl>
    <w:p>
      <w:pPr>
        <w:pStyle w:val="Heading2"/>
        <w:spacing w:after="80" w:before="240"/>
      </w:pPr>
      <w:r>
        <w:rPr>
          <w:rFonts w:ascii="Arial" w:cs="Arial" w:eastAsia="Arial" w:hAnsi="Arial"/>
          <w:b/>
          <w:bCs/>
          <w:color w:val="2E75B6"/>
          <w:sz w:val="26"/>
          <w:szCs w:val="26"/>
        </w:rPr>
        <w:t xml:space="preserve">6.4  Business Associate Notification to Covered Entity</w:t>
      </w:r>
    </w:p>
    <w:p>
      <w:pPr>
        <w:spacing w:after="100" w:before="60"/>
      </w:pPr>
      <w:r>
        <w:rPr>
          <w:rFonts w:ascii="Arial" w:cs="Arial" w:eastAsia="Arial" w:hAnsi="Arial"/>
          <w:sz w:val="22"/>
          <w:szCs w:val="22"/>
        </w:rPr>
        <w:t xml:space="preserve">Business Associates must notify the Organization of any discovered breach of PHI without unreasonable delay and no later than 60 calendar days of discovery. The BA's notification to the Organization begins the Organization's own notification clock. Business Associate Agreements must include this obligation.</w:t>
      </w:r>
    </w:p>
    <w:p>
      <w:pPr>
        <w:pStyle w:val="Heading1"/>
        <w:spacing w:after="120" w:before="360"/>
      </w:pPr>
      <w:r>
        <w:rPr>
          <w:rFonts w:ascii="Arial" w:cs="Arial" w:eastAsia="Arial" w:hAnsi="Arial"/>
          <w:b/>
          <w:bCs/>
          <w:color w:val="1F4E79"/>
          <w:sz w:val="32"/>
          <w:szCs w:val="32"/>
        </w:rPr>
        <w:t xml:space="preserve">7. Documentation and Recordkeeping</w:t>
      </w:r>
    </w:p>
    <w:p>
      <w:pPr>
        <w:spacing w:after="100" w:before="60"/>
      </w:pPr>
      <w:r>
        <w:rPr>
          <w:rFonts w:ascii="Arial" w:cs="Arial" w:eastAsia="Arial" w:hAnsi="Arial"/>
          <w:sz w:val="22"/>
          <w:szCs w:val="22"/>
        </w:rPr>
        <w:t xml:space="preserve">The Organization must maintain a Breach Incident Log documenting all incidents, including those that were assessed and determined not to be breaches. The log must include:</w:t>
      </w:r>
    </w:p>
    <w:p>
      <w:pPr>
        <w:pStyle w:val="ListParagraph"/>
        <w:numPr>
          <w:ilvl w:val="0"/>
          <w:numId w:val="3"/>
        </w:numPr>
        <w:spacing w:after="40" w:before="40"/>
      </w:pPr>
      <w:r>
        <w:rPr>
          <w:rFonts w:ascii="Arial" w:cs="Arial" w:eastAsia="Arial" w:hAnsi="Arial"/>
          <w:b w:val="false"/>
          <w:bCs w:val="false"/>
          <w:sz w:val="22"/>
          <w:szCs w:val="22"/>
        </w:rPr>
        <w:t xml:space="preserve">Date of discovery and date the incident occurred (if known);</w:t>
      </w:r>
    </w:p>
    <w:p>
      <w:pPr>
        <w:pStyle w:val="ListParagraph"/>
        <w:numPr>
          <w:ilvl w:val="0"/>
          <w:numId w:val="3"/>
        </w:numPr>
        <w:spacing w:after="40" w:before="40"/>
      </w:pPr>
      <w:r>
        <w:rPr>
          <w:rFonts w:ascii="Arial" w:cs="Arial" w:eastAsia="Arial" w:hAnsi="Arial"/>
          <w:b w:val="false"/>
          <w:bCs w:val="false"/>
          <w:sz w:val="22"/>
          <w:szCs w:val="22"/>
        </w:rPr>
        <w:t xml:space="preserve">Description of the incident and PHI involved;</w:t>
      </w:r>
    </w:p>
    <w:p>
      <w:pPr>
        <w:pStyle w:val="ListParagraph"/>
        <w:numPr>
          <w:ilvl w:val="0"/>
          <w:numId w:val="3"/>
        </w:numPr>
        <w:spacing w:after="40" w:before="40"/>
      </w:pPr>
      <w:r>
        <w:rPr>
          <w:rFonts w:ascii="Arial" w:cs="Arial" w:eastAsia="Arial" w:hAnsi="Arial"/>
          <w:b w:val="false"/>
          <w:bCs w:val="false"/>
          <w:sz w:val="22"/>
          <w:szCs w:val="22"/>
        </w:rPr>
        <w:t xml:space="preserve">Results of the 4-factor risk assessment;</w:t>
      </w:r>
    </w:p>
    <w:p>
      <w:pPr>
        <w:pStyle w:val="ListParagraph"/>
        <w:numPr>
          <w:ilvl w:val="0"/>
          <w:numId w:val="3"/>
        </w:numPr>
        <w:spacing w:after="40" w:before="40"/>
      </w:pPr>
      <w:r>
        <w:rPr>
          <w:rFonts w:ascii="Arial" w:cs="Arial" w:eastAsia="Arial" w:hAnsi="Arial"/>
          <w:b w:val="false"/>
          <w:bCs w:val="false"/>
          <w:sz w:val="22"/>
          <w:szCs w:val="22"/>
        </w:rPr>
        <w:t xml:space="preserve">Breach determination (yes/no) and rationale;</w:t>
      </w:r>
    </w:p>
    <w:p>
      <w:pPr>
        <w:pStyle w:val="ListParagraph"/>
        <w:numPr>
          <w:ilvl w:val="0"/>
          <w:numId w:val="3"/>
        </w:numPr>
        <w:spacing w:after="40" w:before="40"/>
      </w:pPr>
      <w:r>
        <w:rPr>
          <w:rFonts w:ascii="Arial" w:cs="Arial" w:eastAsia="Arial" w:hAnsi="Arial"/>
          <w:b w:val="false"/>
          <w:bCs w:val="false"/>
          <w:sz w:val="22"/>
          <w:szCs w:val="22"/>
        </w:rPr>
        <w:t xml:space="preserve">Date(s) of all notifications (individual, HHS, media) and copies of notification letters;</w:t>
      </w:r>
    </w:p>
    <w:p>
      <w:pPr>
        <w:pStyle w:val="ListParagraph"/>
        <w:numPr>
          <w:ilvl w:val="0"/>
          <w:numId w:val="3"/>
        </w:numPr>
        <w:spacing w:after="40" w:before="40"/>
      </w:pPr>
      <w:r>
        <w:rPr>
          <w:rFonts w:ascii="Arial" w:cs="Arial" w:eastAsia="Arial" w:hAnsi="Arial"/>
          <w:b w:val="false"/>
          <w:bCs w:val="false"/>
          <w:sz w:val="22"/>
          <w:szCs w:val="22"/>
        </w:rPr>
        <w:t xml:space="preserve">Mitigation measures taken.</w:t>
      </w:r>
    </w:p>
    <w:p>
      <w:pPr>
        <w:spacing w:after="0" w:before="60"/>
      </w:pPr>
      <w:r>
        <w:t xml:space="preserve"/>
      </w:r>
    </w:p>
    <w:p>
      <w:pPr>
        <w:spacing w:after="100" w:before="60"/>
      </w:pPr>
      <w:r>
        <w:rPr>
          <w:rFonts w:ascii="Arial" w:cs="Arial" w:eastAsia="Arial" w:hAnsi="Arial"/>
          <w:sz w:val="22"/>
          <w:szCs w:val="22"/>
        </w:rPr>
        <w:t xml:space="preserve">All breach documentation must be retained for a minimum of six (6) years from the date of creation or the date when it was last in effect, whichever is later.</w:t>
      </w:r>
    </w:p>
    <w:p>
      <w:pPr>
        <w:pStyle w:val="Heading1"/>
        <w:spacing w:after="120" w:before="360"/>
      </w:pPr>
      <w:r>
        <w:rPr>
          <w:rFonts w:ascii="Arial" w:cs="Arial" w:eastAsia="Arial" w:hAnsi="Arial"/>
          <w:b/>
          <w:bCs/>
          <w:color w:val="1F4E79"/>
          <w:sz w:val="32"/>
          <w:szCs w:val="32"/>
        </w:rPr>
        <w:t xml:space="preserve">8. Mitigation and Corrective Action</w:t>
      </w:r>
    </w:p>
    <w:p>
      <w:pPr>
        <w:spacing w:after="100" w:before="60"/>
      </w:pPr>
      <w:r>
        <w:rPr>
          <w:rFonts w:ascii="Arial" w:cs="Arial" w:eastAsia="Arial" w:hAnsi="Arial"/>
          <w:sz w:val="22"/>
          <w:szCs w:val="22"/>
        </w:rPr>
        <w:t xml:space="preserve">Following every breach determination, the Organization must identify root causes and implement corrective actions to prevent recurrence. Corrective actions must be documented and tracked to completion by the Privacy and Security Officers. Where a breach results from a workforce member's policy violation, the Workforce Sanctions Policy (HR-003) applies.</w:t>
      </w:r>
    </w:p>
    <w:p>
      <w:pPr>
        <w:pStyle w:val="Heading1"/>
        <w:spacing w:after="120" w:before="360"/>
      </w:pPr>
      <w:r>
        <w:rPr>
          <w:rFonts w:ascii="Arial" w:cs="Arial" w:eastAsia="Arial" w:hAnsi="Arial"/>
          <w:b/>
          <w:bCs/>
          <w:color w:val="1F4E79"/>
          <w:sz w:val="32"/>
          <w:szCs w:val="32"/>
        </w:rPr>
        <w:t xml:space="preserve">9. Non-Retaliation</w:t>
      </w:r>
    </w:p>
    <w:p>
      <w:pPr>
        <w:spacing w:after="100" w:before="60"/>
      </w:pPr>
      <w:r>
        <w:rPr>
          <w:rFonts w:ascii="Arial" w:cs="Arial" w:eastAsia="Arial" w:hAnsi="Arial"/>
          <w:sz w:val="22"/>
          <w:szCs w:val="22"/>
        </w:rPr>
        <w:t xml:space="preserve">No workforce member will be retaliated against for reporting a suspected breach in good faith. Retaliation against a reporting employee is itself a violation of HIPAA and this policy and will result in disciplinary action.</w:t>
      </w:r>
    </w:p>
    <w:p>
      <w:pPr>
        <w:pStyle w:val="Heading1"/>
        <w:spacing w:after="120" w:before="360"/>
      </w:pPr>
      <w:r>
        <w:rPr>
          <w:rFonts w:ascii="Arial" w:cs="Arial" w:eastAsia="Arial" w:hAnsi="Arial"/>
          <w:b/>
          <w:bCs/>
          <w:color w:val="1F4E79"/>
          <w:sz w:val="32"/>
          <w:szCs w:val="32"/>
        </w:rPr>
        <w:t xml:space="preserve">10. Related Policies</w:t>
      </w:r>
    </w:p>
    <w:p>
      <w:pPr>
        <w:pStyle w:val="ListParagraph"/>
        <w:numPr>
          <w:ilvl w:val="0"/>
          <w:numId w:val="3"/>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3"/>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3"/>
        </w:numPr>
        <w:spacing w:after="40" w:before="40"/>
      </w:pPr>
      <w:r>
        <w:rPr>
          <w:rFonts w:ascii="Arial" w:cs="Arial" w:eastAsia="Arial" w:hAnsi="Arial"/>
          <w:b w:val="false"/>
          <w:bCs w:val="false"/>
          <w:sz w:val="22"/>
          <w:szCs w:val="22"/>
        </w:rPr>
        <w:t xml:space="preserve">Information Security Policy (IS-001)</w:t>
      </w:r>
    </w:p>
    <w:p>
      <w:pPr>
        <w:pStyle w:val="ListParagraph"/>
        <w:numPr>
          <w:ilvl w:val="0"/>
          <w:numId w:val="3"/>
        </w:numPr>
        <w:spacing w:after="40" w:before="40"/>
      </w:pPr>
      <w:r>
        <w:rPr>
          <w:rFonts w:ascii="Arial" w:cs="Arial" w:eastAsia="Arial" w:hAnsi="Arial"/>
          <w:b w:val="false"/>
          <w:bCs w:val="false"/>
          <w:sz w:val="22"/>
          <w:szCs w:val="22"/>
        </w:rPr>
        <w:t xml:space="preserve">Workforce Sanctions Policy (HR-003)</w:t>
      </w:r>
    </w:p>
    <w:p>
      <w:pPr>
        <w:pStyle w:val="ListParagraph"/>
        <w:numPr>
          <w:ilvl w:val="0"/>
          <w:numId w:val="3"/>
        </w:numPr>
        <w:spacing w:after="40" w:before="40"/>
      </w:pPr>
      <w:r>
        <w:rPr>
          <w:rFonts w:ascii="Arial" w:cs="Arial" w:eastAsia="Arial" w:hAnsi="Arial"/>
          <w:b w:val="false"/>
          <w:bCs w:val="false"/>
          <w:sz w:val="22"/>
          <w:szCs w:val="22"/>
        </w:rPr>
        <w:t xml:space="preserve">Vendor and Business Associate Management Policy (VND-001)</w:t>
      </w:r>
    </w:p>
    <w:p>
      <w:pPr>
        <w:pStyle w:val="ListParagraph"/>
        <w:numPr>
          <w:ilvl w:val="0"/>
          <w:numId w:val="3"/>
        </w:numPr>
        <w:spacing w:after="40" w:before="40"/>
      </w:pPr>
      <w:r>
        <w:rPr>
          <w:rFonts w:ascii="Arial" w:cs="Arial" w:eastAsia="Arial" w:hAnsi="Arial"/>
          <w:b w:val="false"/>
          <w:bCs w:val="false"/>
          <w:sz w:val="22"/>
          <w:szCs w:val="22"/>
        </w:rPr>
        <w:t xml:space="preserve">AI Acceptable Use Policy (AI-001)</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Breach Notification Policy (BN-001)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2026-03-19T17:13:20.929Z</dcterms:created>
  <dcterms:modified xsi:type="dcterms:W3CDTF">2026-03-19T17:13:20.931Z</dcterms:modified>
</cp:coreProperties>
</file>

<file path=docProps/custom.xml><?xml version="1.0" encoding="utf-8"?>
<Properties xmlns="http://schemas.openxmlformats.org/officeDocument/2006/custom-properties" xmlns:vt="http://schemas.openxmlformats.org/officeDocument/2006/docPropsVTypes"/>
</file>