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2E75B6"/>
          <w:sz w:val="22"/>
          <w:szCs w:val="22"/>
        </w:rPr>
        <w:t xml:space="preserve">ORGANIZATIONAL POLICY</w:t>
      </w:r>
    </w:p>
    <w:p>
      <w:pPr>
        <w:spacing w:after="60" w:before="0"/>
        <w:jc w:val="center"/>
      </w:pPr>
      <w:r>
        <w:rPr>
          <w:rFonts w:ascii="Arial" w:cs="Arial" w:eastAsia="Arial" w:hAnsi="Arial"/>
          <w:b/>
          <w:bCs/>
          <w:color w:val="1F4E79"/>
          <w:sz w:val="52"/>
          <w:szCs w:val="52"/>
        </w:rPr>
        <w:t xml:space="preserve">Acceptable Use of Technology Policy</w:t>
      </w:r>
    </w:p>
    <w:p>
      <w:pPr>
        <w:spacing w:after="80" w:before="0"/>
        <w:jc w:val="center"/>
      </w:pPr>
      <w:r>
        <w:rPr>
          <w:rFonts w:ascii="Arial" w:cs="Arial" w:eastAsia="Arial" w:hAnsi="Arial"/>
          <w:color w:val="2E75B6"/>
          <w:sz w:val="30"/>
          <w:szCs w:val="30"/>
        </w:rPr>
        <w:t xml:space="preserve">Guidelines for Responsible Use of Organization Systems</w:t>
      </w:r>
    </w:p>
    <w:p>
      <w:pPr>
        <w:pBdr>
          <w:bottom w:val="single" w:color="2E75B6" w:sz="4" w:space="1"/>
        </w:pBdr>
        <w:spacing w:after="160" w:before="160"/>
      </w:pPr>
      <w:r>
        <w:t xml:space="preserve"/>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Policy Number:</w:t>
            </w:r>
          </w:p>
          <w:p>
            <w:r>
              <w:rPr>
                <w:rFonts w:ascii="Arial" w:cs="Arial" w:eastAsia="Arial" w:hAnsi="Arial"/>
                <w:sz w:val="20"/>
                <w:szCs w:val="20"/>
              </w:rPr>
              <w:t xml:space="preserve">AUT-001</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Effective Date:</w:t>
            </w:r>
          </w:p>
          <w:p>
            <w:r>
              <w:rPr>
                <w:rFonts w:ascii="Arial" w:cs="Arial" w:eastAsia="Arial" w:hAnsi="Arial"/>
                <w:sz w:val="20"/>
                <w:szCs w:val="20"/>
              </w:rPr>
              <w:t xml:space="preserve">[INSERT DATE]</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Department:</w:t>
            </w:r>
          </w:p>
          <w:p>
            <w:r>
              <w:rPr>
                <w:rFonts w:ascii="Arial" w:cs="Arial" w:eastAsia="Arial" w:hAnsi="Arial"/>
                <w:sz w:val="20"/>
                <w:szCs w:val="20"/>
              </w:rPr>
              <w:t xml:space="preserve">Information Technology / Human Resources</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Policy Owner:</w:t>
            </w:r>
          </w:p>
          <w:p>
            <w:r>
              <w:rPr>
                <w:rFonts w:ascii="Arial" w:cs="Arial" w:eastAsia="Arial" w:hAnsi="Arial"/>
                <w:sz w:val="20"/>
                <w:szCs w:val="20"/>
              </w:rPr>
              <w:t xml:space="preserve">Chief Information Officer</w:t>
            </w:r>
          </w:p>
        </w:tc>
      </w:tr>
      <w:tr>
        <w:tc>
          <w:tcPr>
            <w:tcW w:type="dxa" w:w="4680"/>
            <w:tcBorders>
              <w:top w:val="none" w:color="FFFFFF" w:sz="0"/>
              <w:left w:val="none" w:color="FFFFFF" w:sz="0"/>
              <w:bottom w:val="none" w:color="FFFFFF" w:sz="0"/>
              <w:right w:val="none" w:color="FFFFFF" w:sz="0"/>
            </w:tcBorders>
            <w:tcMar>
              <w:top w:type="dxa" w:w="60"/>
              <w:left w:type="dxa" w:w="0"/>
              <w:bottom w:type="dxa" w:w="60"/>
              <w:right w:type="dxa" w:w="120"/>
            </w:tcMar>
          </w:tcPr>
          <w:p>
            <w:r>
              <w:rPr>
                <w:rFonts w:ascii="Arial" w:cs="Arial" w:eastAsia="Arial" w:hAnsi="Arial"/>
                <w:b/>
                <w:bCs/>
                <w:color w:val="595959"/>
                <w:sz w:val="20"/>
                <w:szCs w:val="20"/>
              </w:rPr>
              <w:t xml:space="preserve">Review Cycle:</w:t>
            </w:r>
          </w:p>
          <w:p>
            <w:r>
              <w:rPr>
                <w:rFonts w:ascii="Arial" w:cs="Arial" w:eastAsia="Arial" w:hAnsi="Arial"/>
                <w:sz w:val="20"/>
                <w:szCs w:val="20"/>
              </w:rPr>
              <w:t xml:space="preserve">Annual</w:t>
            </w:r>
          </w:p>
        </w:tc>
        <w:tc>
          <w:tcPr>
            <w:tcW w:type="dxa" w:w="4680"/>
            <w:tcBorders>
              <w:top w:val="none" w:color="FFFFFF" w:sz="0"/>
              <w:left w:val="none" w:color="FFFFFF" w:sz="0"/>
              <w:bottom w:val="none" w:color="FFFFFF" w:sz="0"/>
              <w:right w:val="none" w:color="FFFFFF" w:sz="0"/>
            </w:tcBorders>
            <w:tcMar>
              <w:top w:type="dxa" w:w="60"/>
              <w:left w:type="dxa" w:w="120"/>
              <w:bottom w:type="dxa" w:w="60"/>
              <w:right w:type="dxa" w:w="0"/>
            </w:tcMar>
          </w:tcPr>
          <w:p>
            <w:r>
              <w:rPr>
                <w:rFonts w:ascii="Arial" w:cs="Arial" w:eastAsia="Arial" w:hAnsi="Arial"/>
                <w:b/>
                <w:bCs/>
                <w:color w:val="595959"/>
                <w:sz w:val="20"/>
                <w:szCs w:val="20"/>
              </w:rPr>
              <w:t xml:space="preserve">Classification:</w:t>
            </w:r>
          </w:p>
          <w:p>
            <w:r>
              <w:rPr>
                <w:rFonts w:ascii="Arial" w:cs="Arial" w:eastAsia="Arial" w:hAnsi="Arial"/>
                <w:sz w:val="20"/>
                <w:szCs w:val="20"/>
              </w:rPr>
              <w:t xml:space="preserve">Internal — All Staff</w:t>
            </w:r>
          </w:p>
        </w:tc>
      </w:tr>
    </w:tbl>
    <w:p>
      <w:pPr>
        <w:spacing w:after="0" w:before="200"/>
      </w:pPr>
      <w:r>
        <w:t xml:space="preserve"/>
      </w:r>
    </w:p>
    <w:p>
      <w:pPr>
        <w:jc w:val="center"/>
      </w:pPr>
      <w:r>
        <w:rPr>
          <w:rFonts w:ascii="Arial" w:cs="Arial" w:eastAsia="Arial" w:hAnsi="Arial"/>
          <w:b/>
          <w:bCs/>
          <w:color w:val="595959"/>
          <w:sz w:val="22"/>
          <w:szCs w:val="22"/>
        </w:rPr>
        <w:t xml:space="preserve">[Organization Name]</w:t>
      </w:r>
    </w:p>
    <w:p>
      <w:pPr>
        <w:jc w:val="center"/>
      </w:pPr>
      <w:r>
        <w:rPr>
          <w:rFonts w:ascii="Arial" w:cs="Arial" w:eastAsia="Arial" w:hAnsi="Arial"/>
          <w:color w:val="595959"/>
          <w:sz w:val="20"/>
          <w:szCs w:val="20"/>
        </w:rPr>
        <w:t xml:space="preserve">[Address]  |  [City, State ZIP]  |  [Website]</w:t>
      </w:r>
    </w:p>
    <w:p>
      <w:pPr>
        <w:spacing w:after="0" w:before="3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1. Purpose</w:t>
      </w:r>
    </w:p>
    <w:p>
      <w:pPr>
        <w:spacing w:after="100" w:before="60"/>
      </w:pPr>
      <w:r>
        <w:rPr>
          <w:rFonts w:ascii="Arial" w:cs="Arial" w:eastAsia="Arial" w:hAnsi="Arial"/>
          <w:sz w:val="22"/>
          <w:szCs w:val="22"/>
        </w:rPr>
        <w:t xml:space="preserve">This policy defines the acceptable use of [Organization Name]'s ("the Organization") technology resources, including computers, networks, internet access, email, mobile devices, cloud services, and software. It aims to protect the Organization's information assets, ensure HIPAA compliance, preserve the confidentiality of patient information, and maintain a productive and secure work environment.</w:t>
      </w:r>
    </w:p>
    <w:p>
      <w:pPr>
        <w:pStyle w:val="Heading1"/>
        <w:spacing w:after="120" w:before="360"/>
      </w:pPr>
      <w:r>
        <w:rPr>
          <w:rFonts w:ascii="Arial" w:cs="Arial" w:eastAsia="Arial" w:hAnsi="Arial"/>
          <w:b/>
          <w:bCs/>
          <w:color w:val="1F4E79"/>
          <w:sz w:val="32"/>
          <w:szCs w:val="32"/>
        </w:rPr>
        <w:t xml:space="preserve">2. Scope</w:t>
      </w:r>
    </w:p>
    <w:p>
      <w:pPr>
        <w:spacing w:after="100" w:before="60"/>
      </w:pPr>
      <w:r>
        <w:rPr>
          <w:rFonts w:ascii="Arial" w:cs="Arial" w:eastAsia="Arial" w:hAnsi="Arial"/>
          <w:sz w:val="22"/>
          <w:szCs w:val="22"/>
        </w:rPr>
        <w:t xml:space="preserve">This policy applies to all workforce members (employees, contractors, volunteers, students, and trainees) who use Organization-owned technology resources or personal devices to access Organization systems or data. It applies at all times, including outside normal business hours and off-premises.</w:t>
      </w:r>
    </w:p>
    <w:p>
      <w:pPr>
        <w:pStyle w:val="Heading1"/>
        <w:spacing w:after="120" w:before="360"/>
      </w:pPr>
      <w:r>
        <w:rPr>
          <w:rFonts w:ascii="Arial" w:cs="Arial" w:eastAsia="Arial" w:hAnsi="Arial"/>
          <w:b/>
          <w:bCs/>
          <w:color w:val="1F4E79"/>
          <w:sz w:val="32"/>
          <w:szCs w:val="32"/>
        </w:rPr>
        <w:t xml:space="preserve">3. General Principles</w:t>
      </w:r>
    </w:p>
    <w:p>
      <w:pPr>
        <w:spacing w:after="100" w:before="60"/>
      </w:pPr>
      <w:r>
        <w:rPr>
          <w:rFonts w:ascii="Arial" w:cs="Arial" w:eastAsia="Arial" w:hAnsi="Arial"/>
          <w:sz w:val="22"/>
          <w:szCs w:val="22"/>
        </w:rPr>
        <w:t xml:space="preserve">Technology resources provided by the Organization are primarily intended for business use in support of the Organization's healthcare mission. Workforce members are expected to use technology resources responsibly, professionally, and in compliance with all applicable laws and policies. The Organization reserves the right to monitor activity on its systems and networks consistent with applicable law and privacy expectations.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2E75B6"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i</w:t>
            </w:r>
          </w:p>
        </w:tc>
        <w:tc>
          <w:tcPr>
            <w:tcW w:type="dxa" w:w="8660"/>
            <w:tcBorders>
              <w:top w:val="single" w:color="BDD7EE" w:sz="1"/>
              <w:left w:val="single" w:color="BDD7EE" w:sz="1"/>
              <w:bottom w:val="single" w:color="BDD7EE" w:sz="1"/>
              <w:right w:val="single" w:color="BDD7EE" w:sz="1"/>
            </w:tcBorders>
            <w:shd w:fill="D6E4F0" w:val="clear"/>
            <w:tcMar>
              <w:top w:type="dxa" w:w="100"/>
              <w:left w:type="dxa" w:w="160"/>
              <w:bottom w:type="dxa" w:w="100"/>
              <w:right w:type="dxa" w:w="120"/>
            </w:tcMar>
          </w:tcPr>
          <w:p>
            <w:r>
              <w:rPr>
                <w:rFonts w:ascii="Arial" w:cs="Arial" w:eastAsia="Arial" w:hAnsi="Arial"/>
                <w:b/>
                <w:bCs/>
                <w:color w:val="1F4E79"/>
                <w:sz w:val="22"/>
                <w:szCs w:val="22"/>
              </w:rPr>
              <w:t xml:space="preserve">No Expectation of Privacy</w:t>
            </w:r>
          </w:p>
          <w:p>
            <w:pPr>
              <w:spacing w:before="40"/>
            </w:pPr>
            <w:r>
              <w:rPr>
                <w:rFonts w:ascii="Arial" w:cs="Arial" w:eastAsia="Arial" w:hAnsi="Arial"/>
                <w:sz w:val="20"/>
                <w:szCs w:val="20"/>
              </w:rPr>
              <w:t xml:space="preserve">Workforce members should have no expectation of personal privacy when using Organization technology resources. The Organization may access, monitor, and review activity on its systems, email, and devices at any time for legitimate business purposes.</w:t>
            </w:r>
          </w:p>
        </w:tc>
      </w:tr>
    </w:tbl>
    <w:p>
      <w:pPr>
        <w:pStyle w:val="Heading1"/>
        <w:spacing w:after="120" w:before="360"/>
      </w:pPr>
      <w:r>
        <w:rPr>
          <w:rFonts w:ascii="Arial" w:cs="Arial" w:eastAsia="Arial" w:hAnsi="Arial"/>
          <w:b/>
          <w:bCs/>
          <w:color w:val="1F4E79"/>
          <w:sz w:val="32"/>
          <w:szCs w:val="32"/>
        </w:rPr>
        <w:t xml:space="preserve">4. Authorized Use</w:t>
      </w:r>
    </w:p>
    <w:p>
      <w:pPr>
        <w:spacing w:after="100" w:before="60"/>
      </w:pPr>
      <w:r>
        <w:rPr>
          <w:rFonts w:ascii="Arial" w:cs="Arial" w:eastAsia="Arial" w:hAnsi="Arial"/>
          <w:sz w:val="22"/>
          <w:szCs w:val="22"/>
        </w:rPr>
        <w:t xml:space="preserve">The following uses of Organization technology resources are authorized:</w:t>
      </w:r>
    </w:p>
    <w:p>
      <w:pPr>
        <w:pStyle w:val="ListParagraph"/>
        <w:numPr>
          <w:ilvl w:val="0"/>
          <w:numId w:val="2"/>
        </w:numPr>
        <w:spacing w:after="40" w:before="40"/>
      </w:pPr>
      <w:r>
        <w:rPr>
          <w:rFonts w:ascii="Arial" w:cs="Arial" w:eastAsia="Arial" w:hAnsi="Arial"/>
          <w:b w:val="false"/>
          <w:bCs w:val="false"/>
          <w:sz w:val="22"/>
          <w:szCs w:val="22"/>
        </w:rPr>
        <w:t xml:space="preserve">Business communications, documentation, and clinical operations;</w:t>
      </w:r>
    </w:p>
    <w:p>
      <w:pPr>
        <w:pStyle w:val="ListParagraph"/>
        <w:numPr>
          <w:ilvl w:val="0"/>
          <w:numId w:val="2"/>
        </w:numPr>
        <w:spacing w:after="40" w:before="40"/>
      </w:pPr>
      <w:r>
        <w:rPr>
          <w:rFonts w:ascii="Arial" w:cs="Arial" w:eastAsia="Arial" w:hAnsi="Arial"/>
          <w:b w:val="false"/>
          <w:bCs w:val="false"/>
          <w:sz w:val="22"/>
          <w:szCs w:val="22"/>
        </w:rPr>
        <w:t xml:space="preserve">Accessing information systems required to perform job duties;</w:t>
      </w:r>
    </w:p>
    <w:p>
      <w:pPr>
        <w:pStyle w:val="ListParagraph"/>
        <w:numPr>
          <w:ilvl w:val="0"/>
          <w:numId w:val="2"/>
        </w:numPr>
        <w:spacing w:after="40" w:before="40"/>
      </w:pPr>
      <w:r>
        <w:rPr>
          <w:rFonts w:ascii="Arial" w:cs="Arial" w:eastAsia="Arial" w:hAnsi="Arial"/>
          <w:b w:val="false"/>
          <w:bCs w:val="false"/>
          <w:sz w:val="22"/>
          <w:szCs w:val="22"/>
        </w:rPr>
        <w:t xml:space="preserve">Continuing education, research, and professional development directly related to the workforce member's role;</w:t>
      </w:r>
    </w:p>
    <w:p>
      <w:pPr>
        <w:pStyle w:val="ListParagraph"/>
        <w:numPr>
          <w:ilvl w:val="0"/>
          <w:numId w:val="2"/>
        </w:numPr>
        <w:spacing w:after="40" w:before="40"/>
      </w:pPr>
      <w:r>
        <w:rPr>
          <w:rFonts w:ascii="Arial" w:cs="Arial" w:eastAsia="Arial" w:hAnsi="Arial"/>
          <w:b w:val="false"/>
          <w:bCs w:val="false"/>
          <w:sz w:val="22"/>
          <w:szCs w:val="22"/>
        </w:rPr>
        <w:t xml:space="preserve">Incidental personal use that does not interfere with job performance, consume significant resources, or involve prohibited activities;</w:t>
      </w:r>
    </w:p>
    <w:p>
      <w:pPr>
        <w:pStyle w:val="ListParagraph"/>
        <w:numPr>
          <w:ilvl w:val="0"/>
          <w:numId w:val="2"/>
        </w:numPr>
        <w:spacing w:after="40" w:before="40"/>
      </w:pPr>
      <w:r>
        <w:rPr>
          <w:rFonts w:ascii="Arial" w:cs="Arial" w:eastAsia="Arial" w:hAnsi="Arial"/>
          <w:b w:val="false"/>
          <w:bCs w:val="false"/>
          <w:sz w:val="22"/>
          <w:szCs w:val="22"/>
        </w:rPr>
        <w:t xml:space="preserve">Use of approved AI tools as defined in the AI Acceptable Use Policy (AI-001).</w:t>
      </w:r>
    </w:p>
    <w:p>
      <w:pPr>
        <w:pStyle w:val="Heading1"/>
        <w:spacing w:after="120" w:before="360"/>
      </w:pPr>
      <w:r>
        <w:rPr>
          <w:rFonts w:ascii="Arial" w:cs="Arial" w:eastAsia="Arial" w:hAnsi="Arial"/>
          <w:b/>
          <w:bCs/>
          <w:color w:val="1F4E79"/>
          <w:sz w:val="32"/>
          <w:szCs w:val="32"/>
        </w:rPr>
        <w:t xml:space="preserve">5. Prohibited Uses</w:t>
      </w:r>
    </w:p>
    <w:p>
      <w:pPr>
        <w:pStyle w:val="Heading2"/>
        <w:spacing w:after="80" w:before="240"/>
      </w:pPr>
      <w:r>
        <w:rPr>
          <w:rFonts w:ascii="Arial" w:cs="Arial" w:eastAsia="Arial" w:hAnsi="Arial"/>
          <w:b/>
          <w:bCs/>
          <w:color w:val="2E75B6"/>
          <w:sz w:val="26"/>
          <w:szCs w:val="26"/>
        </w:rPr>
        <w:t xml:space="preserve">5.1  Privacy and Security Violations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66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20"/>
            </w:tcMar>
          </w:tcPr>
          <w:p>
            <w:r>
              <w:rPr>
                <w:rFonts w:ascii="Arial" w:cs="Arial" w:eastAsia="Arial" w:hAnsi="Arial"/>
                <w:b/>
                <w:bCs/>
                <w:color w:val="C00000"/>
                <w:sz w:val="22"/>
                <w:szCs w:val="22"/>
              </w:rPr>
              <w:t xml:space="preserve">HIPAA Violations</w:t>
            </w:r>
          </w:p>
          <w:p>
            <w:pPr>
              <w:spacing w:before="40"/>
            </w:pPr>
            <w:r>
              <w:rPr>
                <w:rFonts w:ascii="Arial" w:cs="Arial" w:eastAsia="Arial" w:hAnsi="Arial"/>
                <w:sz w:val="20"/>
                <w:szCs w:val="20"/>
              </w:rPr>
              <w:t xml:space="preserve">Using Organization technology to access, disclose, or transmit PHI without authorization — including accessing patient records without a legitimate need — is a HIPAA violation subject to civil and criminal penalties, regardless of intent.</w:t>
            </w:r>
          </w:p>
        </w:tc>
      </w:tr>
    </w:tbl>
    <w:p>
      <w:pPr>
        <w:pStyle w:val="ListParagraph"/>
        <w:numPr>
          <w:ilvl w:val="0"/>
          <w:numId w:val="2"/>
        </w:numPr>
        <w:spacing w:after="40" w:before="40"/>
      </w:pPr>
      <w:r>
        <w:rPr>
          <w:rFonts w:ascii="Arial" w:cs="Arial" w:eastAsia="Arial" w:hAnsi="Arial"/>
          <w:b w:val="false"/>
          <w:bCs w:val="false"/>
          <w:sz w:val="22"/>
          <w:szCs w:val="22"/>
        </w:rPr>
        <w:t xml:space="preserve">Accessing, viewing, or disclosing patient records without a current, legitimate treatment, payment, or operations need;</w:t>
      </w:r>
    </w:p>
    <w:p>
      <w:pPr>
        <w:pStyle w:val="ListParagraph"/>
        <w:numPr>
          <w:ilvl w:val="0"/>
          <w:numId w:val="2"/>
        </w:numPr>
        <w:spacing w:after="40" w:before="40"/>
      </w:pPr>
      <w:r>
        <w:rPr>
          <w:rFonts w:ascii="Arial" w:cs="Arial" w:eastAsia="Arial" w:hAnsi="Arial"/>
          <w:b w:val="false"/>
          <w:bCs w:val="false"/>
          <w:sz w:val="22"/>
          <w:szCs w:val="22"/>
        </w:rPr>
        <w:t xml:space="preserve">Transmitting PHI via unencrypted email, personal messaging apps, or any unapproved channel;</w:t>
      </w:r>
    </w:p>
    <w:p>
      <w:pPr>
        <w:pStyle w:val="ListParagraph"/>
        <w:numPr>
          <w:ilvl w:val="0"/>
          <w:numId w:val="2"/>
        </w:numPr>
        <w:spacing w:after="40" w:before="40"/>
      </w:pPr>
      <w:r>
        <w:rPr>
          <w:rFonts w:ascii="Arial" w:cs="Arial" w:eastAsia="Arial" w:hAnsi="Arial"/>
          <w:b w:val="false"/>
          <w:bCs w:val="false"/>
          <w:sz w:val="22"/>
          <w:szCs w:val="22"/>
        </w:rPr>
        <w:t xml:space="preserve">Storing PHI on personal devices, personal cloud accounts, or any unapproved storage system;</w:t>
      </w:r>
    </w:p>
    <w:p>
      <w:pPr>
        <w:pStyle w:val="ListParagraph"/>
        <w:numPr>
          <w:ilvl w:val="0"/>
          <w:numId w:val="2"/>
        </w:numPr>
        <w:spacing w:after="40" w:before="40"/>
      </w:pPr>
      <w:r>
        <w:rPr>
          <w:rFonts w:ascii="Arial" w:cs="Arial" w:eastAsia="Arial" w:hAnsi="Arial"/>
          <w:b w:val="false"/>
          <w:bCs w:val="false"/>
          <w:sz w:val="22"/>
          <w:szCs w:val="22"/>
        </w:rPr>
        <w:t xml:space="preserve">Inputting PHI into unapproved AI tools (see AI Acceptable Use Policy AI-001).</w:t>
      </w:r>
    </w:p>
    <w:p>
      <w:pPr>
        <w:pStyle w:val="Heading2"/>
        <w:spacing w:after="80" w:before="240"/>
      </w:pPr>
      <w:r>
        <w:rPr>
          <w:rFonts w:ascii="Arial" w:cs="Arial" w:eastAsia="Arial" w:hAnsi="Arial"/>
          <w:b/>
          <w:bCs/>
          <w:color w:val="2E75B6"/>
          <w:sz w:val="26"/>
          <w:szCs w:val="26"/>
        </w:rPr>
        <w:t xml:space="preserve">5.2  Illegal and Harmful Activities</w:t>
      </w:r>
    </w:p>
    <w:p>
      <w:pPr>
        <w:pStyle w:val="ListParagraph"/>
        <w:numPr>
          <w:ilvl w:val="0"/>
          <w:numId w:val="2"/>
        </w:numPr>
        <w:spacing w:after="40" w:before="40"/>
      </w:pPr>
      <w:r>
        <w:rPr>
          <w:rFonts w:ascii="Arial" w:cs="Arial" w:eastAsia="Arial" w:hAnsi="Arial"/>
          <w:b w:val="false"/>
          <w:bCs w:val="false"/>
          <w:sz w:val="22"/>
          <w:szCs w:val="22"/>
        </w:rPr>
        <w:t xml:space="preserve">Accessing, transmitting, or storing illegal content of any kind;</w:t>
      </w:r>
    </w:p>
    <w:p>
      <w:pPr>
        <w:pStyle w:val="ListParagraph"/>
        <w:numPr>
          <w:ilvl w:val="0"/>
          <w:numId w:val="2"/>
        </w:numPr>
        <w:spacing w:after="40" w:before="40"/>
      </w:pPr>
      <w:r>
        <w:rPr>
          <w:rFonts w:ascii="Arial" w:cs="Arial" w:eastAsia="Arial" w:hAnsi="Arial"/>
          <w:b w:val="false"/>
          <w:bCs w:val="false"/>
          <w:sz w:val="22"/>
          <w:szCs w:val="22"/>
        </w:rPr>
        <w:t xml:space="preserve">Engaging in activities that violate federal, state, or local laws;</w:t>
      </w:r>
    </w:p>
    <w:p>
      <w:pPr>
        <w:pStyle w:val="ListParagraph"/>
        <w:numPr>
          <w:ilvl w:val="0"/>
          <w:numId w:val="2"/>
        </w:numPr>
        <w:spacing w:after="40" w:before="40"/>
      </w:pPr>
      <w:r>
        <w:rPr>
          <w:rFonts w:ascii="Arial" w:cs="Arial" w:eastAsia="Arial" w:hAnsi="Arial"/>
          <w:b w:val="false"/>
          <w:bCs w:val="false"/>
          <w:sz w:val="22"/>
          <w:szCs w:val="22"/>
        </w:rPr>
        <w:t xml:space="preserve">Harassment, threats, or discrimination directed at any individual;</w:t>
      </w:r>
    </w:p>
    <w:p>
      <w:pPr>
        <w:pStyle w:val="ListParagraph"/>
        <w:numPr>
          <w:ilvl w:val="0"/>
          <w:numId w:val="2"/>
        </w:numPr>
        <w:spacing w:after="40" w:before="40"/>
      </w:pPr>
      <w:r>
        <w:rPr>
          <w:rFonts w:ascii="Arial" w:cs="Arial" w:eastAsia="Arial" w:hAnsi="Arial"/>
          <w:b w:val="false"/>
          <w:bCs w:val="false"/>
          <w:sz w:val="22"/>
          <w:szCs w:val="22"/>
        </w:rPr>
        <w:t xml:space="preserve">Unauthorized access to systems, accounts, or data belonging to others (hacking);</w:t>
      </w:r>
    </w:p>
    <w:p>
      <w:pPr>
        <w:pStyle w:val="ListParagraph"/>
        <w:numPr>
          <w:ilvl w:val="0"/>
          <w:numId w:val="2"/>
        </w:numPr>
        <w:spacing w:after="40" w:before="40"/>
      </w:pPr>
      <w:r>
        <w:rPr>
          <w:rFonts w:ascii="Arial" w:cs="Arial" w:eastAsia="Arial" w:hAnsi="Arial"/>
          <w:b w:val="false"/>
          <w:bCs w:val="false"/>
          <w:sz w:val="22"/>
          <w:szCs w:val="22"/>
        </w:rPr>
        <w:t xml:space="preserve">Installing, distributing, or executing malware or unauthorized software.</w:t>
      </w:r>
    </w:p>
    <w:p>
      <w:pPr>
        <w:pStyle w:val="Heading2"/>
        <w:spacing w:after="80" w:before="240"/>
      </w:pPr>
      <w:r>
        <w:rPr>
          <w:rFonts w:ascii="Arial" w:cs="Arial" w:eastAsia="Arial" w:hAnsi="Arial"/>
          <w:b/>
          <w:bCs/>
          <w:color w:val="2E75B6"/>
          <w:sz w:val="26"/>
          <w:szCs w:val="26"/>
        </w:rPr>
        <w:t xml:space="preserve">5.3  Misuse of Resources</w:t>
      </w:r>
    </w:p>
    <w:p>
      <w:pPr>
        <w:pStyle w:val="ListParagraph"/>
        <w:numPr>
          <w:ilvl w:val="0"/>
          <w:numId w:val="2"/>
        </w:numPr>
        <w:spacing w:after="40" w:before="40"/>
      </w:pPr>
      <w:r>
        <w:rPr>
          <w:rFonts w:ascii="Arial" w:cs="Arial" w:eastAsia="Arial" w:hAnsi="Arial"/>
          <w:b w:val="false"/>
          <w:bCs w:val="false"/>
          <w:sz w:val="22"/>
          <w:szCs w:val="22"/>
        </w:rPr>
        <w:t xml:space="preserve">Excessive personal use that interferes with job performance or consumes significant network bandwidth (e.g., streaming, gaming, large personal downloads);</w:t>
      </w:r>
    </w:p>
    <w:p>
      <w:pPr>
        <w:pStyle w:val="ListParagraph"/>
        <w:numPr>
          <w:ilvl w:val="0"/>
          <w:numId w:val="2"/>
        </w:numPr>
        <w:spacing w:after="40" w:before="40"/>
      </w:pPr>
      <w:r>
        <w:rPr>
          <w:rFonts w:ascii="Arial" w:cs="Arial" w:eastAsia="Arial" w:hAnsi="Arial"/>
          <w:b w:val="false"/>
          <w:bCs w:val="false"/>
          <w:sz w:val="22"/>
          <w:szCs w:val="22"/>
        </w:rPr>
        <w:t xml:space="preserve">Using Organization technology for personal commercial activities, outside employment, or competing business interests;</w:t>
      </w:r>
    </w:p>
    <w:p>
      <w:pPr>
        <w:pStyle w:val="ListParagraph"/>
        <w:numPr>
          <w:ilvl w:val="0"/>
          <w:numId w:val="2"/>
        </w:numPr>
        <w:spacing w:after="40" w:before="40"/>
      </w:pPr>
      <w:r>
        <w:rPr>
          <w:rFonts w:ascii="Arial" w:cs="Arial" w:eastAsia="Arial" w:hAnsi="Arial"/>
          <w:b w:val="false"/>
          <w:bCs w:val="false"/>
          <w:sz w:val="22"/>
          <w:szCs w:val="22"/>
        </w:rPr>
        <w:t xml:space="preserve">Mining cryptocurrency or running unauthorized computational workloads on Organization systems;</w:t>
      </w:r>
    </w:p>
    <w:p>
      <w:pPr>
        <w:pStyle w:val="ListParagraph"/>
        <w:numPr>
          <w:ilvl w:val="0"/>
          <w:numId w:val="2"/>
        </w:numPr>
        <w:spacing w:after="40" w:before="40"/>
      </w:pPr>
      <w:r>
        <w:rPr>
          <w:rFonts w:ascii="Arial" w:cs="Arial" w:eastAsia="Arial" w:hAnsi="Arial"/>
          <w:b w:val="false"/>
          <w:bCs w:val="false"/>
          <w:sz w:val="22"/>
          <w:szCs w:val="22"/>
        </w:rPr>
        <w:t xml:space="preserve">Using Organization systems or credentials to send unsolicited bulk email (spam).</w:t>
      </w:r>
    </w:p>
    <w:p>
      <w:pPr>
        <w:pStyle w:val="Heading2"/>
        <w:spacing w:after="80" w:before="240"/>
      </w:pPr>
      <w:r>
        <w:rPr>
          <w:rFonts w:ascii="Arial" w:cs="Arial" w:eastAsia="Arial" w:hAnsi="Arial"/>
          <w:b/>
          <w:bCs/>
          <w:color w:val="2E75B6"/>
          <w:sz w:val="26"/>
          <w:szCs w:val="26"/>
        </w:rPr>
        <w:t xml:space="preserve">5.4  Circumventing Security Controls</w:t>
      </w:r>
    </w:p>
    <w:p>
      <w:pPr>
        <w:pStyle w:val="ListParagraph"/>
        <w:numPr>
          <w:ilvl w:val="0"/>
          <w:numId w:val="2"/>
        </w:numPr>
        <w:spacing w:after="40" w:before="40"/>
      </w:pPr>
      <w:r>
        <w:rPr>
          <w:rFonts w:ascii="Arial" w:cs="Arial" w:eastAsia="Arial" w:hAnsi="Arial"/>
          <w:b w:val="false"/>
          <w:bCs w:val="false"/>
          <w:sz w:val="22"/>
          <w:szCs w:val="22"/>
        </w:rPr>
        <w:t xml:space="preserve">Disabling, removing, or bypassing security software, firewalls, or monitoring tools;</w:t>
      </w:r>
    </w:p>
    <w:p>
      <w:pPr>
        <w:pStyle w:val="ListParagraph"/>
        <w:numPr>
          <w:ilvl w:val="0"/>
          <w:numId w:val="2"/>
        </w:numPr>
        <w:spacing w:after="40" w:before="40"/>
      </w:pPr>
      <w:r>
        <w:rPr>
          <w:rFonts w:ascii="Arial" w:cs="Arial" w:eastAsia="Arial" w:hAnsi="Arial"/>
          <w:b w:val="false"/>
          <w:bCs w:val="false"/>
          <w:sz w:val="22"/>
          <w:szCs w:val="22"/>
        </w:rPr>
        <w:t xml:space="preserve">Sharing user credentials with any other person;</w:t>
      </w:r>
    </w:p>
    <w:p>
      <w:pPr>
        <w:pStyle w:val="ListParagraph"/>
        <w:numPr>
          <w:ilvl w:val="0"/>
          <w:numId w:val="2"/>
        </w:numPr>
        <w:spacing w:after="40" w:before="40"/>
      </w:pPr>
      <w:r>
        <w:rPr>
          <w:rFonts w:ascii="Arial" w:cs="Arial" w:eastAsia="Arial" w:hAnsi="Arial"/>
          <w:b w:val="false"/>
          <w:bCs w:val="false"/>
          <w:sz w:val="22"/>
          <w:szCs w:val="22"/>
        </w:rPr>
        <w:t xml:space="preserve">Using another person's credentials to access systems;</w:t>
      </w:r>
    </w:p>
    <w:p>
      <w:pPr>
        <w:pStyle w:val="ListParagraph"/>
        <w:numPr>
          <w:ilvl w:val="0"/>
          <w:numId w:val="2"/>
        </w:numPr>
        <w:spacing w:after="40" w:before="40"/>
      </w:pPr>
      <w:r>
        <w:rPr>
          <w:rFonts w:ascii="Arial" w:cs="Arial" w:eastAsia="Arial" w:hAnsi="Arial"/>
          <w:b w:val="false"/>
          <w:bCs w:val="false"/>
          <w:sz w:val="22"/>
          <w:szCs w:val="22"/>
        </w:rPr>
        <w:t xml:space="preserve">Attempting to gain access to systems or data beyond one's authorized level.</w:t>
      </w:r>
    </w:p>
    <w:p>
      <w:pPr>
        <w:pStyle w:val="Heading1"/>
        <w:spacing w:after="120" w:before="360"/>
      </w:pPr>
      <w:r>
        <w:rPr>
          <w:rFonts w:ascii="Arial" w:cs="Arial" w:eastAsia="Arial" w:hAnsi="Arial"/>
          <w:b/>
          <w:bCs/>
          <w:color w:val="1F4E79"/>
          <w:sz w:val="32"/>
          <w:szCs w:val="32"/>
        </w:rPr>
        <w:t xml:space="preserve">6. Internet and Email Use</w:t>
      </w:r>
    </w:p>
    <w:p>
      <w:pPr>
        <w:pStyle w:val="Heading2"/>
        <w:spacing w:after="80" w:before="240"/>
      </w:pPr>
      <w:r>
        <w:rPr>
          <w:rFonts w:ascii="Arial" w:cs="Arial" w:eastAsia="Arial" w:hAnsi="Arial"/>
          <w:b/>
          <w:bCs/>
          <w:color w:val="2E75B6"/>
          <w:sz w:val="26"/>
          <w:szCs w:val="26"/>
        </w:rPr>
        <w:t xml:space="preserve">6.1  Internet Use</w:t>
      </w:r>
    </w:p>
    <w:p>
      <w:pPr>
        <w:spacing w:after="100" w:before="60"/>
      </w:pPr>
      <w:r>
        <w:rPr>
          <w:rFonts w:ascii="Arial" w:cs="Arial" w:eastAsia="Arial" w:hAnsi="Arial"/>
          <w:sz w:val="22"/>
          <w:szCs w:val="22"/>
        </w:rPr>
        <w:t xml:space="preserve">Internet access is provided to support business operations. Workforce members must avoid websites that are unrelated to job duties during work hours if such use is excessive. The Organization's web filtering controls may restrict access to categories of websites inconsistent with business purposes. Workforce members must not attempt to circumvent web filtering.</w:t>
      </w:r>
    </w:p>
    <w:p>
      <w:pPr>
        <w:pStyle w:val="Heading2"/>
        <w:spacing w:after="80" w:before="240"/>
      </w:pPr>
      <w:r>
        <w:rPr>
          <w:rFonts w:ascii="Arial" w:cs="Arial" w:eastAsia="Arial" w:hAnsi="Arial"/>
          <w:b/>
          <w:bCs/>
          <w:color w:val="2E75B6"/>
          <w:sz w:val="26"/>
          <w:szCs w:val="26"/>
        </w:rPr>
        <w:t xml:space="preserve">6.2  Email Use</w:t>
      </w:r>
    </w:p>
    <w:p>
      <w:pPr>
        <w:spacing w:after="100" w:before="60"/>
      </w:pPr>
      <w:r>
        <w:rPr>
          <w:rFonts w:ascii="Arial" w:cs="Arial" w:eastAsia="Arial" w:hAnsi="Arial"/>
          <w:sz w:val="22"/>
          <w:szCs w:val="22"/>
        </w:rPr>
        <w:t xml:space="preserve">Organization email accounts are for business use. Workforce members must:</w:t>
      </w:r>
    </w:p>
    <w:p>
      <w:pPr>
        <w:pStyle w:val="ListParagraph"/>
        <w:numPr>
          <w:ilvl w:val="0"/>
          <w:numId w:val="2"/>
        </w:numPr>
        <w:spacing w:after="40" w:before="40"/>
      </w:pPr>
      <w:r>
        <w:rPr>
          <w:rFonts w:ascii="Arial" w:cs="Arial" w:eastAsia="Arial" w:hAnsi="Arial"/>
          <w:b w:val="false"/>
          <w:bCs w:val="false"/>
          <w:sz w:val="22"/>
          <w:szCs w:val="22"/>
        </w:rPr>
        <w:t xml:space="preserve">Use only Organization-issued email accounts for work-related PHI communications;</w:t>
      </w:r>
    </w:p>
    <w:p>
      <w:pPr>
        <w:pStyle w:val="ListParagraph"/>
        <w:numPr>
          <w:ilvl w:val="0"/>
          <w:numId w:val="2"/>
        </w:numPr>
        <w:spacing w:after="40" w:before="40"/>
      </w:pPr>
      <w:r>
        <w:rPr>
          <w:rFonts w:ascii="Arial" w:cs="Arial" w:eastAsia="Arial" w:hAnsi="Arial"/>
          <w:b w:val="false"/>
          <w:bCs w:val="false"/>
          <w:sz w:val="22"/>
          <w:szCs w:val="22"/>
        </w:rPr>
        <w:t xml:space="preserve">Use encrypted or secure messaging solutions when transmitting PHI;</w:t>
      </w:r>
    </w:p>
    <w:p>
      <w:pPr>
        <w:pStyle w:val="ListParagraph"/>
        <w:numPr>
          <w:ilvl w:val="0"/>
          <w:numId w:val="2"/>
        </w:numPr>
        <w:spacing w:after="40" w:before="40"/>
      </w:pPr>
      <w:r>
        <w:rPr>
          <w:rFonts w:ascii="Arial" w:cs="Arial" w:eastAsia="Arial" w:hAnsi="Arial"/>
          <w:b w:val="false"/>
          <w:bCs w:val="false"/>
          <w:sz w:val="22"/>
          <w:szCs w:val="22"/>
        </w:rPr>
        <w:t xml:space="preserve">Exercise caution when opening attachments or clicking links — when in doubt, report suspicious email to IT Security;</w:t>
      </w:r>
    </w:p>
    <w:p>
      <w:pPr>
        <w:pStyle w:val="ListParagraph"/>
        <w:numPr>
          <w:ilvl w:val="0"/>
          <w:numId w:val="2"/>
        </w:numPr>
        <w:spacing w:after="40" w:before="40"/>
      </w:pPr>
      <w:r>
        <w:rPr>
          <w:rFonts w:ascii="Arial" w:cs="Arial" w:eastAsia="Arial" w:hAnsi="Arial"/>
          <w:b w:val="false"/>
          <w:bCs w:val="false"/>
          <w:sz w:val="22"/>
          <w:szCs w:val="22"/>
        </w:rPr>
        <w:t xml:space="preserve">Not auto-forward Organization email to personal email accounts.</w:t>
      </w:r>
    </w:p>
    <w:p>
      <w:pPr>
        <w:spacing w:after="100" w:before="60"/>
      </w:pPr>
      <w:r>
        <w:rPr>
          <w:rFonts w:ascii="Arial" w:cs="Arial" w:eastAsia="Arial" w:hAnsi="Arial"/>
          <w:sz w:val="22"/>
          <w:szCs w:val="22"/>
        </w:rPr>
        <w:t xml:space="preserve">Phishing awareness is critical. If you receive a suspicious email, do not click any links or open attachments — report it immediately using the Organization's phishing report button or by contacting IT Security.</w:t>
      </w:r>
    </w:p>
    <w:p>
      <w:pPr>
        <w:pStyle w:val="Heading1"/>
        <w:spacing w:after="120" w:before="360"/>
      </w:pPr>
      <w:r>
        <w:rPr>
          <w:rFonts w:ascii="Arial" w:cs="Arial" w:eastAsia="Arial" w:hAnsi="Arial"/>
          <w:b/>
          <w:bCs/>
          <w:color w:val="1F4E79"/>
          <w:sz w:val="32"/>
          <w:szCs w:val="32"/>
        </w:rPr>
        <w:t xml:space="preserve">7. Mobile Devices and Remote Work</w:t>
      </w:r>
    </w:p>
    <w:p>
      <w:pPr>
        <w:pStyle w:val="Heading2"/>
        <w:spacing w:after="80" w:before="240"/>
      </w:pPr>
      <w:r>
        <w:rPr>
          <w:rFonts w:ascii="Arial" w:cs="Arial" w:eastAsia="Arial" w:hAnsi="Arial"/>
          <w:b/>
          <w:bCs/>
          <w:color w:val="2E75B6"/>
          <w:sz w:val="26"/>
          <w:szCs w:val="26"/>
        </w:rPr>
        <w:t xml:space="preserve">7.1  Organization-Owned Devices</w:t>
      </w:r>
    </w:p>
    <w:p>
      <w:pPr>
        <w:spacing w:after="100" w:before="60"/>
      </w:pPr>
      <w:r>
        <w:rPr>
          <w:rFonts w:ascii="Arial" w:cs="Arial" w:eastAsia="Arial" w:hAnsi="Arial"/>
          <w:sz w:val="22"/>
          <w:szCs w:val="22"/>
        </w:rPr>
        <w:t xml:space="preserve">Organization-issued mobile devices (phones, tablets, laptops) must be enrolled in the Organization's Mobile Device Management (MDM) system. These devices are subject to remote wipe capabilities in the event of loss or theft. Lost or stolen Organization devices must be reported to IT immediately.</w:t>
      </w:r>
    </w:p>
    <w:p>
      <w:pPr>
        <w:pStyle w:val="Heading2"/>
        <w:spacing w:after="80" w:before="240"/>
      </w:pPr>
      <w:r>
        <w:rPr>
          <w:rFonts w:ascii="Arial" w:cs="Arial" w:eastAsia="Arial" w:hAnsi="Arial"/>
          <w:b/>
          <w:bCs/>
          <w:color w:val="2E75B6"/>
          <w:sz w:val="26"/>
          <w:szCs w:val="26"/>
        </w:rPr>
        <w:t xml:space="preserve">7.2  Personal Devices (BYOD)</w:t>
      </w:r>
    </w:p>
    <w:p>
      <w:pPr>
        <w:spacing w:after="100" w:before="60"/>
      </w:pPr>
      <w:r>
        <w:rPr>
          <w:rFonts w:ascii="Arial" w:cs="Arial" w:eastAsia="Arial" w:hAnsi="Arial"/>
          <w:sz w:val="22"/>
          <w:szCs w:val="22"/>
        </w:rPr>
        <w:t xml:space="preserve">Personal devices used to access Organization systems or ePHI must comply with the following minimum requirements:</w:t>
      </w:r>
    </w:p>
    <w:p>
      <w:pPr>
        <w:pStyle w:val="ListParagraph"/>
        <w:numPr>
          <w:ilvl w:val="0"/>
          <w:numId w:val="2"/>
        </w:numPr>
        <w:spacing w:after="40" w:before="40"/>
      </w:pPr>
      <w:r>
        <w:rPr>
          <w:rFonts w:ascii="Arial" w:cs="Arial" w:eastAsia="Arial" w:hAnsi="Arial"/>
          <w:b w:val="false"/>
          <w:bCs w:val="false"/>
          <w:sz w:val="22"/>
          <w:szCs w:val="22"/>
        </w:rPr>
        <w:t xml:space="preserve">Screen lock enabled (PIN, biometric, or equivalent) with a maximum 5-minute timeout;</w:t>
      </w:r>
    </w:p>
    <w:p>
      <w:pPr>
        <w:pStyle w:val="ListParagraph"/>
        <w:numPr>
          <w:ilvl w:val="0"/>
          <w:numId w:val="2"/>
        </w:numPr>
        <w:spacing w:after="40" w:before="40"/>
      </w:pPr>
      <w:r>
        <w:rPr>
          <w:rFonts w:ascii="Arial" w:cs="Arial" w:eastAsia="Arial" w:hAnsi="Arial"/>
          <w:b w:val="false"/>
          <w:bCs w:val="false"/>
          <w:sz w:val="22"/>
          <w:szCs w:val="22"/>
        </w:rPr>
        <w:t xml:space="preserve">Current operating system version maintained with security patches;</w:t>
      </w:r>
    </w:p>
    <w:p>
      <w:pPr>
        <w:pStyle w:val="ListParagraph"/>
        <w:numPr>
          <w:ilvl w:val="0"/>
          <w:numId w:val="2"/>
        </w:numPr>
        <w:spacing w:after="40" w:before="40"/>
      </w:pPr>
      <w:r>
        <w:rPr>
          <w:rFonts w:ascii="Arial" w:cs="Arial" w:eastAsia="Arial" w:hAnsi="Arial"/>
          <w:b w:val="false"/>
          <w:bCs w:val="false"/>
          <w:sz w:val="22"/>
          <w:szCs w:val="22"/>
        </w:rPr>
        <w:t xml:space="preserve">Enrollment in MDM for any device used to access Organization email or ePHI;</w:t>
      </w:r>
    </w:p>
    <w:p>
      <w:pPr>
        <w:pStyle w:val="ListParagraph"/>
        <w:numPr>
          <w:ilvl w:val="0"/>
          <w:numId w:val="2"/>
        </w:numPr>
        <w:spacing w:after="40" w:before="40"/>
      </w:pPr>
      <w:r>
        <w:rPr>
          <w:rFonts w:ascii="Arial" w:cs="Arial" w:eastAsia="Arial" w:hAnsi="Arial"/>
          <w:b w:val="false"/>
          <w:bCs w:val="false"/>
          <w:sz w:val="22"/>
          <w:szCs w:val="22"/>
        </w:rPr>
        <w:t xml:space="preserve">Immediate reporting of lost or stolen devices to IT.</w:t>
      </w:r>
    </w:p>
    <w:p>
      <w:pPr>
        <w:spacing w:after="100" w:before="60"/>
      </w:pPr>
      <w:r>
        <w:rPr>
          <w:rFonts w:ascii="Arial" w:cs="Arial" w:eastAsia="Arial" w:hAnsi="Arial"/>
          <w:sz w:val="22"/>
          <w:szCs w:val="22"/>
        </w:rPr>
        <w:t xml:space="preserve">The Organization may require removal of Organization data from personal devices at any time. By using a personal device for Organization purposes, workforce members consent to the Organization's ability to manage and, if necessary, wipe Organization data from the device.</w:t>
      </w:r>
    </w:p>
    <w:p>
      <w:pPr>
        <w:pStyle w:val="Heading2"/>
        <w:spacing w:after="80" w:before="240"/>
      </w:pPr>
      <w:r>
        <w:rPr>
          <w:rFonts w:ascii="Arial" w:cs="Arial" w:eastAsia="Arial" w:hAnsi="Arial"/>
          <w:b/>
          <w:bCs/>
          <w:color w:val="2E75B6"/>
          <w:sz w:val="26"/>
          <w:szCs w:val="26"/>
        </w:rPr>
        <w:t xml:space="preserve">7.3  Remote Work</w:t>
      </w:r>
    </w:p>
    <w:p>
      <w:pPr>
        <w:spacing w:after="100" w:before="60"/>
      </w:pPr>
      <w:r>
        <w:rPr>
          <w:rFonts w:ascii="Arial" w:cs="Arial" w:eastAsia="Arial" w:hAnsi="Arial"/>
          <w:sz w:val="22"/>
          <w:szCs w:val="22"/>
        </w:rPr>
        <w:t xml:space="preserve">Workforce members working remotely must connect to Organization systems using the approved VPN solution. Work involving PHI must not be conducted over public Wi-Fi without VPN active. Screen privacy is the workforce member's responsibility — PHI should not be visible to household members or in public locations.</w:t>
      </w:r>
    </w:p>
    <w:p>
      <w:pPr>
        <w:pStyle w:val="Heading1"/>
        <w:spacing w:after="120" w:before="360"/>
      </w:pPr>
      <w:r>
        <w:rPr>
          <w:rFonts w:ascii="Arial" w:cs="Arial" w:eastAsia="Arial" w:hAnsi="Arial"/>
          <w:b/>
          <w:bCs/>
          <w:color w:val="1F4E79"/>
          <w:sz w:val="32"/>
          <w:szCs w:val="32"/>
        </w:rPr>
        <w:t xml:space="preserve">8. Social Media</w:t>
      </w:r>
    </w:p>
    <w:p>
      <w:pPr>
        <w:spacing w:after="100" w:before="60"/>
      </w:pPr>
      <w:r>
        <w:rPr>
          <w:rFonts w:ascii="Arial" w:cs="Arial" w:eastAsia="Arial" w:hAnsi="Arial"/>
          <w:sz w:val="22"/>
          <w:szCs w:val="22"/>
        </w:rPr>
        <w:t xml:space="preserve">Workforce members must not post, share, or reference patient information in any form on social media platforms, regardless of privacy settings. Workforce members should not represent personal social media communications as official Organization positions unless explicitly authorized. The Organization's name, logo, or marks may not be used in personal social media without prior written approval from Communications or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BDD7EE" w:sz="1"/>
              <w:left w:val="single" w:color="BDD7EE" w:sz="1"/>
              <w:bottom w:val="single" w:color="BDD7EE" w:sz="1"/>
              <w:right w:val="single" w:color="BDD7EE" w:sz="1"/>
            </w:tcBorders>
            <w:shd w:fill="C00000" w:val="clear"/>
            <w:tcMar>
              <w:top w:type="dxa" w:w="100"/>
              <w:left w:type="dxa" w:w="120"/>
              <w:bottom w:type="dxa" w:w="100"/>
              <w:right w:type="dxa" w:w="120"/>
            </w:tcMar>
            <w:vAlign w:val="center"/>
          </w:tcPr>
          <w:p>
            <w:pPr>
              <w:jc w:val="center"/>
            </w:pPr>
            <w:r>
              <w:rPr>
                <w:rFonts w:ascii="Arial" w:cs="Arial" w:eastAsia="Arial" w:hAnsi="Arial"/>
                <w:b/>
                <w:bCs/>
                <w:color w:val="FFFFFF"/>
                <w:sz w:val="28"/>
                <w:szCs w:val="28"/>
              </w:rPr>
              <w:t xml:space="preserve">!</w:t>
            </w:r>
          </w:p>
        </w:tc>
        <w:tc>
          <w:tcPr>
            <w:tcW w:type="dxa" w:w="8660"/>
            <w:tcBorders>
              <w:top w:val="single" w:color="BDD7EE" w:sz="1"/>
              <w:left w:val="single" w:color="BDD7EE" w:sz="1"/>
              <w:bottom w:val="single" w:color="BDD7EE" w:sz="1"/>
              <w:right w:val="single" w:color="BDD7EE" w:sz="1"/>
            </w:tcBorders>
            <w:shd w:fill="FFF2CC" w:val="clear"/>
            <w:tcMar>
              <w:top w:type="dxa" w:w="100"/>
              <w:left w:type="dxa" w:w="160"/>
              <w:bottom w:type="dxa" w:w="100"/>
              <w:right w:type="dxa" w:w="120"/>
            </w:tcMar>
          </w:tcPr>
          <w:p>
            <w:r>
              <w:rPr>
                <w:rFonts w:ascii="Arial" w:cs="Arial" w:eastAsia="Arial" w:hAnsi="Arial"/>
                <w:b/>
                <w:bCs/>
                <w:color w:val="C00000"/>
                <w:sz w:val="22"/>
                <w:szCs w:val="22"/>
              </w:rPr>
              <w:t xml:space="preserve">Social Media and PHI</w:t>
            </w:r>
          </w:p>
          <w:p>
            <w:pPr>
              <w:spacing w:before="40"/>
            </w:pPr>
            <w:r>
              <w:rPr>
                <w:rFonts w:ascii="Arial" w:cs="Arial" w:eastAsia="Arial" w:hAnsi="Arial"/>
                <w:sz w:val="20"/>
                <w:szCs w:val="20"/>
              </w:rPr>
              <w:t xml:space="preserve">Even seemingly innocuous details — clinical setting, patient demographics, or case descriptions without names — can constitute a HIPAA violation if a patient could be identified. When in doubt about a social media post, consult the Privacy Officer before posting.</w:t>
            </w:r>
          </w:p>
        </w:tc>
      </w:tr>
    </w:tbl>
    <w:p>
      <w:pPr>
        <w:pStyle w:val="Heading1"/>
        <w:spacing w:after="120" w:before="360"/>
      </w:pPr>
      <w:r>
        <w:rPr>
          <w:rFonts w:ascii="Arial" w:cs="Arial" w:eastAsia="Arial" w:hAnsi="Arial"/>
          <w:b/>
          <w:bCs/>
          <w:color w:val="1F4E79"/>
          <w:sz w:val="32"/>
          <w:szCs w:val="32"/>
        </w:rPr>
        <w:t xml:space="preserve">9. Software and Application Use</w:t>
      </w:r>
    </w:p>
    <w:p>
      <w:pPr>
        <w:spacing w:after="100" w:before="60"/>
      </w:pPr>
      <w:r>
        <w:rPr>
          <w:rFonts w:ascii="Arial" w:cs="Arial" w:eastAsia="Arial" w:hAnsi="Arial"/>
          <w:sz w:val="22"/>
          <w:szCs w:val="22"/>
        </w:rPr>
        <w:t xml:space="preserve">Only approved software may be installed on Organization devices. Workforce members may not install software without IT authorization. All software procurement must follow the Organization's vendor management and procurement procedures. Use of AI software is governed separately by the AI Acceptable Use Policy (AI-001).</w:t>
      </w:r>
    </w:p>
    <w:p>
      <w:pPr>
        <w:pStyle w:val="Heading1"/>
        <w:spacing w:after="120" w:before="360"/>
      </w:pPr>
      <w:r>
        <w:rPr>
          <w:rFonts w:ascii="Arial" w:cs="Arial" w:eastAsia="Arial" w:hAnsi="Arial"/>
          <w:b/>
          <w:bCs/>
          <w:color w:val="1F4E79"/>
          <w:sz w:val="32"/>
          <w:szCs w:val="32"/>
        </w:rPr>
        <w:t xml:space="preserve">10. Reporting Violations</w:t>
      </w:r>
    </w:p>
    <w:p>
      <w:pPr>
        <w:spacing w:after="100" w:before="60"/>
      </w:pPr>
      <w:r>
        <w:rPr>
          <w:rFonts w:ascii="Arial" w:cs="Arial" w:eastAsia="Arial" w:hAnsi="Arial"/>
          <w:sz w:val="22"/>
          <w:szCs w:val="22"/>
        </w:rPr>
        <w:t xml:space="preserve">Workforce members who observe or suspect a violation of this policy must report it to IT Security, their supervisor, or the Compliance/Privacy Officer. Reports may be made anonymously through the Organization's compliance hotline at [hotline number]. The Organization prohibits retaliation against good-faith reporters.</w:t>
      </w:r>
    </w:p>
    <w:p>
      <w:pPr>
        <w:pStyle w:val="Heading1"/>
        <w:spacing w:after="120" w:before="360"/>
      </w:pPr>
      <w:r>
        <w:rPr>
          <w:rFonts w:ascii="Arial" w:cs="Arial" w:eastAsia="Arial" w:hAnsi="Arial"/>
          <w:b/>
          <w:bCs/>
          <w:color w:val="1F4E79"/>
          <w:sz w:val="32"/>
          <w:szCs w:val="32"/>
        </w:rPr>
        <w:t xml:space="preserve">11. Enforcement</w:t>
      </w:r>
    </w:p>
    <w:p>
      <w:pPr>
        <w:spacing w:after="100" w:before="60"/>
      </w:pPr>
      <w:r>
        <w:rPr>
          <w:rFonts w:ascii="Arial" w:cs="Arial" w:eastAsia="Arial" w:hAnsi="Arial"/>
          <w:sz w:val="22"/>
          <w:szCs w:val="22"/>
        </w:rPr>
        <w:t xml:space="preserve">Violations of this policy are subject to disciplinary action up to and including termination, consistent with the Workforce Sanctions Policy (HR-003). Criminal or regulatory violations may be referred to law enforcement or regulatory authorities.</w:t>
      </w:r>
    </w:p>
    <w:p>
      <w:pPr>
        <w:pStyle w:val="Heading1"/>
        <w:spacing w:after="120" w:before="360"/>
      </w:pPr>
      <w:r>
        <w:rPr>
          <w:rFonts w:ascii="Arial" w:cs="Arial" w:eastAsia="Arial" w:hAnsi="Arial"/>
          <w:b/>
          <w:bCs/>
          <w:color w:val="1F4E79"/>
          <w:sz w:val="32"/>
          <w:szCs w:val="32"/>
        </w:rPr>
        <w:t xml:space="preserve">12. Related Policies</w:t>
      </w:r>
    </w:p>
    <w:p>
      <w:pPr>
        <w:pStyle w:val="ListParagraph"/>
        <w:numPr>
          <w:ilvl w:val="0"/>
          <w:numId w:val="2"/>
        </w:numPr>
        <w:spacing w:after="40" w:before="40"/>
      </w:pPr>
      <w:r>
        <w:rPr>
          <w:rFonts w:ascii="Arial" w:cs="Arial" w:eastAsia="Arial" w:hAnsi="Arial"/>
          <w:b w:val="false"/>
          <w:bCs w:val="false"/>
          <w:sz w:val="22"/>
          <w:szCs w:val="22"/>
        </w:rPr>
        <w:t xml:space="preserve">HIPAA Privacy Policy (PRIV-001)</w:t>
      </w:r>
    </w:p>
    <w:p>
      <w:pPr>
        <w:pStyle w:val="ListParagraph"/>
        <w:numPr>
          <w:ilvl w:val="0"/>
          <w:numId w:val="2"/>
        </w:numPr>
        <w:spacing w:after="40" w:before="40"/>
      </w:pPr>
      <w:r>
        <w:rPr>
          <w:rFonts w:ascii="Arial" w:cs="Arial" w:eastAsia="Arial" w:hAnsi="Arial"/>
          <w:b w:val="false"/>
          <w:bCs w:val="false"/>
          <w:sz w:val="22"/>
          <w:szCs w:val="22"/>
        </w:rPr>
        <w:t xml:space="preserve">HIPAA Security Policy (SEC-001)</w:t>
      </w:r>
    </w:p>
    <w:p>
      <w:pPr>
        <w:pStyle w:val="ListParagraph"/>
        <w:numPr>
          <w:ilvl w:val="0"/>
          <w:numId w:val="2"/>
        </w:numPr>
        <w:spacing w:after="40" w:before="40"/>
      </w:pPr>
      <w:r>
        <w:rPr>
          <w:rFonts w:ascii="Arial" w:cs="Arial" w:eastAsia="Arial" w:hAnsi="Arial"/>
          <w:b w:val="false"/>
          <w:bCs w:val="false"/>
          <w:sz w:val="22"/>
          <w:szCs w:val="22"/>
        </w:rPr>
        <w:t xml:space="preserve">Information Security Policy (IS-001)</w:t>
      </w:r>
    </w:p>
    <w:p>
      <w:pPr>
        <w:pStyle w:val="ListParagraph"/>
        <w:numPr>
          <w:ilvl w:val="0"/>
          <w:numId w:val="2"/>
        </w:numPr>
        <w:spacing w:after="40" w:before="40"/>
      </w:pPr>
      <w:r>
        <w:rPr>
          <w:rFonts w:ascii="Arial" w:cs="Arial" w:eastAsia="Arial" w:hAnsi="Arial"/>
          <w:b w:val="false"/>
          <w:bCs w:val="false"/>
          <w:sz w:val="22"/>
          <w:szCs w:val="22"/>
        </w:rPr>
        <w:t xml:space="preserve">AI Acceptable Use Policy (AI-001)</w:t>
      </w:r>
    </w:p>
    <w:p>
      <w:pPr>
        <w:pStyle w:val="ListParagraph"/>
        <w:numPr>
          <w:ilvl w:val="0"/>
          <w:numId w:val="2"/>
        </w:numPr>
        <w:spacing w:after="40" w:before="40"/>
      </w:pPr>
      <w:r>
        <w:rPr>
          <w:rFonts w:ascii="Arial" w:cs="Arial" w:eastAsia="Arial" w:hAnsi="Arial"/>
          <w:b w:val="false"/>
          <w:bCs w:val="false"/>
          <w:sz w:val="22"/>
          <w:szCs w:val="22"/>
        </w:rPr>
        <w:t xml:space="preserve">Workforce Sanctions Policy (HR-003)</w:t>
      </w:r>
    </w:p>
    <w:p>
      <w:pPr>
        <w:pStyle w:val="ListParagraph"/>
        <w:numPr>
          <w:ilvl w:val="0"/>
          <w:numId w:val="2"/>
        </w:numPr>
        <w:spacing w:after="40" w:before="40"/>
      </w:pPr>
      <w:r>
        <w:rPr>
          <w:rFonts w:ascii="Arial" w:cs="Arial" w:eastAsia="Arial" w:hAnsi="Arial"/>
          <w:b w:val="false"/>
          <w:bCs w:val="false"/>
          <w:sz w:val="22"/>
          <w:szCs w:val="22"/>
        </w:rPr>
        <w:t xml:space="preserve">Breach Notification Policy (BN-001)</w:t>
      </w:r>
    </w:p>
    <w:p>
      <w:pPr>
        <w:spacing w:after="0" w:before="200"/>
      </w:pPr>
      <w:r>
        <w:t xml:space="preserve"/>
      </w:r>
    </w:p>
    <w:p>
      <w:pPr>
        <w:pBdr>
          <w:bottom w:val="single" w:color="2E75B6" w:sz="4" w:space="1"/>
        </w:pBdr>
        <w:spacing w:after="160" w:before="160"/>
      </w:pPr>
      <w:r>
        <w:t xml:space="preserve"/>
      </w:r>
    </w:p>
    <w:p>
      <w:pPr>
        <w:pStyle w:val="Heading1"/>
        <w:spacing w:after="120" w:before="360"/>
      </w:pPr>
      <w:r>
        <w:rPr>
          <w:rFonts w:ascii="Arial" w:cs="Arial" w:eastAsia="Arial" w:hAnsi="Arial"/>
          <w:b/>
          <w:bCs/>
          <w:color w:val="1F4E79"/>
          <w:sz w:val="32"/>
          <w:szCs w:val="32"/>
        </w:rPr>
        <w:t xml:space="preserve">Revision History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3000"/>
      </w:tblGrid>
      <w:tr>
        <w:tc>
          <w:tcPr>
            <w:tcW w:type="dxa" w:w="156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4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3000"/>
            <w:tcBorders>
              <w:top w:val="single" w:color="BDD7EE" w:sz="1"/>
              <w:left w:val="single" w:color="BDD7EE" w:sz="1"/>
              <w:bottom w:val="single" w:color="BDD7EE" w:sz="1"/>
              <w:right w:val="single" w:color="BDD7EE"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[INSERT DATE]</w:t>
            </w:r>
          </w:p>
        </w:tc>
        <w:tc>
          <w:tcPr>
            <w:tcW w:type="dxa" w:w="24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[Author Name]</w:t>
            </w:r>
          </w:p>
        </w:tc>
        <w:tc>
          <w:tcPr>
            <w:tcW w:type="dxa" w:w="3000"/>
            <w:tcBorders>
              <w:top w:val="single" w:color="BDD7EE" w:sz="1"/>
              <w:left w:val="single" w:color="BDD7EE" w:sz="1"/>
              <w:bottom w:val="single" w:color="BDD7EE" w:sz="1"/>
              <w:right w:val="single" w:color="BDD7EE" w:sz="1"/>
            </w:tcBorders>
            <w:tcMar>
              <w:top w:type="dxa" w:w="80"/>
              <w:left w:type="dxa" w:w="120"/>
              <w:bottom w:type="dxa" w:w="80"/>
              <w:right w:type="dxa" w:w="120"/>
            </w:tcMar>
          </w:tcPr>
          <w:p>
            <w:r>
              <w:rPr>
                <w:rFonts w:ascii="Arial" w:cs="Arial" w:eastAsia="Arial" w:hAnsi="Arial"/>
                <w:sz w:val="20"/>
                <w:szCs w:val="20"/>
              </w:rPr>
              <w:t xml:space="preserve">Initial issuance</w:t>
            </w:r>
          </w:p>
        </w:tc>
      </w:tr>
    </w:tbl>
    <w:p>
      <w:pPr>
        <w:spacing w:after="0" w:before="120"/>
      </w:pPr>
      <w:r>
        <w:t xml:space="preserve"/>
      </w:r>
    </w:p>
    <w:p>
      <w:pPr>
        <w:spacing w:after="100" w:before="60"/>
      </w:pPr>
      <w:r>
        <w:rPr>
          <w:rFonts w:ascii="Arial" w:cs="Arial" w:eastAsia="Arial" w:hAnsi="Arial"/>
          <w:sz w:val="22"/>
          <w:szCs w:val="22"/>
        </w:rPr>
        <w:t xml:space="preserve">By signing below, the indicated individuals confirm they have reviewed and approved this policy:</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240"/>
            </w:tcMar>
          </w:tcPr>
          <w:p>
            <w:pPr>
              <w:pBdr>
                <w:bottom w:val="single" w:color="595959" w:sz="4" w:space="1"/>
              </w:pBdr>
            </w:pPr>
            <w:r>
              <w:rPr>
                <w:rFonts w:ascii="Arial" w:cs="Arial" w:eastAsia="Arial" w:hAnsi="Arial"/>
                <w:color w:val="595959"/>
                <w:sz w:val="20"/>
                <w:szCs w:val="20"/>
              </w:rPr>
              <w:t xml:space="preserve">Privacy / Compliance Officer</w:t>
            </w:r>
          </w:p>
          <w:p>
            <w:pPr>
              <w:spacing w:after="0" w:before="60"/>
            </w:pPr>
            <w:r>
              <w:t xml:space="preserve"/>
            </w:r>
          </w:p>
          <w:p>
            <w:r>
              <w:rPr>
                <w:rFonts w:ascii="Arial" w:cs="Arial" w:eastAsia="Arial" w:hAnsi="Arial"/>
                <w:color w:val="595959"/>
                <w:sz w:val="18"/>
                <w:szCs w:val="18"/>
              </w:rPr>
              <w:t xml:space="preserve">Signature / Date</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0"/>
            </w:tcMar>
          </w:tcPr>
          <w:p>
            <w:pPr>
              <w:pBdr>
                <w:bottom w:val="single" w:color="595959" w:sz="4" w:space="1"/>
              </w:pBdr>
            </w:pPr>
            <w:r>
              <w:rPr>
                <w:rFonts w:ascii="Arial" w:cs="Arial" w:eastAsia="Arial" w:hAnsi="Arial"/>
                <w:color w:val="595959"/>
                <w:sz w:val="20"/>
                <w:szCs w:val="20"/>
              </w:rPr>
              <w:t xml:space="preserve">Chief Executive Officer</w:t>
            </w:r>
          </w:p>
          <w:p>
            <w:pPr>
              <w:spacing w:after="0" w:before="60"/>
            </w:pPr>
            <w:r>
              <w:t xml:space="preserve"/>
            </w:r>
          </w:p>
          <w:p>
            <w:r>
              <w:rPr>
                <w:rFonts w:ascii="Arial" w:cs="Arial" w:eastAsia="Arial" w:hAnsi="Arial"/>
                <w:color w:val="595959"/>
                <w:sz w:val="18"/>
                <w:szCs w:val="18"/>
              </w:rPr>
              <w:t xml:space="preserve">Signature / Date</w:t>
            </w:r>
          </w:p>
        </w:tc>
      </w:tr>
    </w:tbl>
    <w:p>
      <w:pPr>
        <w:spacing w:after="0" w:before="200"/>
      </w:pPr>
      <w:r>
        <w:t xml:space="preserve"/>
      </w:r>
    </w:p>
    <w:p>
      <w:pPr>
        <w:pBdr>
          <w:bottom w:val="single" w:color="2E75B6" w:sz="4" w:space="1"/>
        </w:pBdr>
        <w:spacing w:after="160" w:before="160"/>
      </w:pPr>
      <w:r>
        <w:t xml:space="preserve"/>
      </w:r>
    </w:p>
    <w:p>
      <w:pPr>
        <w:spacing w:before="80"/>
        <w:jc w:val="center"/>
      </w:pPr>
      <w:r>
        <w:rPr>
          <w:rFonts w:ascii="Arial" w:cs="Arial" w:eastAsia="Arial" w:hAnsi="Arial"/>
          <w:color w:val="595959"/>
          <w:sz w:val="18"/>
          <w:szCs w:val="18"/>
        </w:rPr>
        <w:t xml:space="preserve">CONFIDENTIAL — FOR INTERNAL USE ONLY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120"/>
      <w:jc w:val="center"/>
    </w:pPr>
    <w:r>
      <w:rPr>
        <w:rFonts w:ascii="Arial" w:cs="Arial" w:eastAsia="Arial" w:hAnsi="Arial"/>
        <w:color w:val="595959"/>
        <w:sz w:val="18"/>
        <w:szCs w:val="18"/>
      </w:rPr>
      <w:t xml:space="preserve">Acceptable Use of Technology Policy (AUT-001)  |  CONFIDENTIAL — FOR INTERNAL USE ONLY  |  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of </w:t>
    </w:r>
    <w:r>
      <w:rPr>
        <w:rFonts w:ascii="Arial" w:cs="Arial" w:eastAsia="Arial" w:hAnsi="Arial"/>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2026-03-19T17:13:21.444Z</dcterms:created>
  <dcterms:modified xsi:type="dcterms:W3CDTF">2026-03-19T17:13:21.446Z</dcterms:modified>
</cp:coreProperties>
</file>

<file path=docProps/custom.xml><?xml version="1.0" encoding="utf-8"?>
<Properties xmlns="http://schemas.openxmlformats.org/officeDocument/2006/custom-properties" xmlns:vt="http://schemas.openxmlformats.org/officeDocument/2006/docPropsVTypes"/>
</file>