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40" w:before="0"/>
        <w:jc w:val="center"/>
      </w:pPr>
      <w:r>
        <w:rPr>
          <w:rFonts w:ascii="Arial" w:cs="Arial" w:eastAsia="Arial" w:hAnsi="Arial"/>
          <w:b/>
          <w:bCs/>
          <w:color w:val="2E75B6"/>
          <w:sz w:val="22"/>
          <w:szCs w:val="22"/>
        </w:rPr>
        <w:t xml:space="preserve">ORGANIZATIONAL POLICY</w:t>
      </w:r>
    </w:p>
    <w:p>
      <w:pPr>
        <w:spacing w:after="60" w:before="0"/>
        <w:jc w:val="center"/>
      </w:pPr>
      <w:r>
        <w:rPr>
          <w:rFonts w:ascii="Arial" w:cs="Arial" w:eastAsia="Arial" w:hAnsi="Arial"/>
          <w:b/>
          <w:bCs/>
          <w:color w:val="1F4E79"/>
          <w:sz w:val="52"/>
          <w:szCs w:val="52"/>
        </w:rPr>
        <w:t xml:space="preserve">Workforce Sanctions Policy</w:t>
      </w:r>
    </w:p>
    <w:p>
      <w:pPr>
        <w:spacing w:after="80" w:before="0"/>
        <w:jc w:val="center"/>
      </w:pPr>
      <w:r>
        <w:rPr>
          <w:rFonts w:ascii="Arial" w:cs="Arial" w:eastAsia="Arial" w:hAnsi="Arial"/>
          <w:color w:val="2E75B6"/>
          <w:sz w:val="30"/>
          <w:szCs w:val="30"/>
        </w:rPr>
        <w:t xml:space="preserve">Disciplinary Framework for Privacy &amp; Security Violations</w:t>
      </w:r>
    </w:p>
    <w:p>
      <w:pPr>
        <w:pBdr>
          <w:bottom w:val="single" w:color="2E75B6" w:sz="4" w:space="1"/>
        </w:pBdr>
        <w:spacing w:after="16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Policy Number:</w:t>
            </w:r>
          </w:p>
          <w:p>
            <w:r>
              <w:rPr>
                <w:rFonts w:ascii="Arial" w:cs="Arial" w:eastAsia="Arial" w:hAnsi="Arial"/>
                <w:sz w:val="20"/>
                <w:szCs w:val="20"/>
              </w:rPr>
              <w:t xml:space="preserve">HR-003</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Effective Date:</w:t>
            </w:r>
          </w:p>
          <w:p>
            <w:r>
              <w:rPr>
                <w:rFonts w:ascii="Arial" w:cs="Arial" w:eastAsia="Arial" w:hAnsi="Arial"/>
                <w:sz w:val="20"/>
                <w:szCs w:val="20"/>
              </w:rPr>
              <w:t xml:space="preserve">[INSERT DATE]</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Department:</w:t>
            </w:r>
          </w:p>
          <w:p>
            <w:r>
              <w:rPr>
                <w:rFonts w:ascii="Arial" w:cs="Arial" w:eastAsia="Arial" w:hAnsi="Arial"/>
                <w:sz w:val="20"/>
                <w:szCs w:val="20"/>
              </w:rPr>
              <w:t xml:space="preserve">Human Resources / Compliance</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Policy Owner:</w:t>
            </w:r>
          </w:p>
          <w:p>
            <w:r>
              <w:rPr>
                <w:rFonts w:ascii="Arial" w:cs="Arial" w:eastAsia="Arial" w:hAnsi="Arial"/>
                <w:sz w:val="20"/>
                <w:szCs w:val="20"/>
              </w:rPr>
              <w:t xml:space="preserve">Privacy Officer / Human Resources Director</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Review Cycle:</w:t>
            </w:r>
          </w:p>
          <w:p>
            <w:r>
              <w:rPr>
                <w:rFonts w:ascii="Arial" w:cs="Arial" w:eastAsia="Arial" w:hAnsi="Arial"/>
                <w:sz w:val="20"/>
                <w:szCs w:val="20"/>
              </w:rPr>
              <w:t xml:space="preserve">Annual</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Classification:</w:t>
            </w:r>
          </w:p>
          <w:p>
            <w:r>
              <w:rPr>
                <w:rFonts w:ascii="Arial" w:cs="Arial" w:eastAsia="Arial" w:hAnsi="Arial"/>
                <w:sz w:val="20"/>
                <w:szCs w:val="20"/>
              </w:rPr>
              <w:t xml:space="preserve">Internal — All Staff</w:t>
            </w:r>
          </w:p>
        </w:tc>
      </w:tr>
    </w:tbl>
    <w:p>
      <w:pPr>
        <w:spacing w:after="0" w:before="200"/>
      </w:pPr>
      <w:r>
        <w:t xml:space="preserve"/>
      </w:r>
    </w:p>
    <w:p>
      <w:pPr>
        <w:jc w:val="center"/>
      </w:pPr>
      <w:r>
        <w:rPr>
          <w:rFonts w:ascii="Arial" w:cs="Arial" w:eastAsia="Arial" w:hAnsi="Arial"/>
          <w:b/>
          <w:bCs/>
          <w:color w:val="595959"/>
          <w:sz w:val="22"/>
          <w:szCs w:val="22"/>
        </w:rPr>
        <w:t xml:space="preserve">[Organization Name]</w:t>
      </w:r>
    </w:p>
    <w:p>
      <w:pPr>
        <w:jc w:val="center"/>
      </w:pPr>
      <w:r>
        <w:rPr>
          <w:rFonts w:ascii="Arial" w:cs="Arial" w:eastAsia="Arial" w:hAnsi="Arial"/>
          <w:color w:val="595959"/>
          <w:sz w:val="20"/>
          <w:szCs w:val="20"/>
        </w:rPr>
        <w:t xml:space="preserve">[Address]  |  [City, State ZIP]  |  [Website]</w:t>
      </w:r>
    </w:p>
    <w:p>
      <w:pPr>
        <w:spacing w:after="0" w:before="30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1. Purpose</w:t>
      </w:r>
    </w:p>
    <w:p>
      <w:pPr>
        <w:spacing w:after="100" w:before="60"/>
      </w:pPr>
      <w:r>
        <w:rPr>
          <w:rFonts w:ascii="Arial" w:cs="Arial" w:eastAsia="Arial" w:hAnsi="Arial"/>
          <w:sz w:val="22"/>
          <w:szCs w:val="22"/>
        </w:rPr>
        <w:t xml:space="preserve">This policy establishes a consistent and documented framework for applying sanctions against workforce members who violate [Organization Name]'s ("the Organization") HIPAA privacy and security policies, information security policies, AI acceptable use policies, and related organizational requirements. As required by 45 CFR §164.308(a)(1)(ii)(C) and §164.530(e), the Organization must apply appropriate sanctions against workforce members who fail to comply with its privacy and security policies.</w:t>
      </w:r>
    </w:p>
    <w:p>
      <w:pPr>
        <w:pStyle w:val="Heading1"/>
        <w:spacing w:after="120" w:before="360"/>
      </w:pPr>
      <w:r>
        <w:rPr>
          <w:rFonts w:ascii="Arial" w:cs="Arial" w:eastAsia="Arial" w:hAnsi="Arial"/>
          <w:b/>
          <w:bCs/>
          <w:color w:val="1F4E79"/>
          <w:sz w:val="32"/>
          <w:szCs w:val="32"/>
        </w:rPr>
        <w:t xml:space="preserve">2. Scope</w:t>
      </w:r>
    </w:p>
    <w:p>
      <w:pPr>
        <w:spacing w:after="100" w:before="60"/>
      </w:pPr>
      <w:r>
        <w:rPr>
          <w:rFonts w:ascii="Arial" w:cs="Arial" w:eastAsia="Arial" w:hAnsi="Arial"/>
          <w:sz w:val="22"/>
          <w:szCs w:val="22"/>
        </w:rPr>
        <w:t xml:space="preserve">This policy applies to all workforce members — employees, contractors, volunteers, students, and trainees — who violate policies protecting PHI, ePHI, or the Organization's information systems. It covers violations of the HIPAA Privacy Policy (PRIV-001), HIPAA Security Policy (SEC-001), Information Security Policy (IS-001), AI Acceptable Use Policy (AI-001), Acceptable Use of Technology Policy (AUT-001), Breach Notification Policy (BN-001), and the Vendor and Business Associate Management Policy (VND-001).</w:t>
      </w:r>
    </w:p>
    <w:p>
      <w:pPr>
        <w:pStyle w:val="Heading1"/>
        <w:spacing w:after="120" w:before="360"/>
      </w:pPr>
      <w:r>
        <w:rPr>
          <w:rFonts w:ascii="Arial" w:cs="Arial" w:eastAsia="Arial" w:hAnsi="Arial"/>
          <w:b/>
          <w:bCs/>
          <w:color w:val="1F4E79"/>
          <w:sz w:val="32"/>
          <w:szCs w:val="32"/>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Workforce Member</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Any employee, volunteer, trainee, contractor, or other person whose conduct is under the direct control of the Organization.</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Policy Violation</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Any action or inaction by a workforce member that contravenes a written organizational policy, regardless of intent or outcome.</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Willful Neglect</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Conscious, intentional failure or reckless indifference to the obligation to comply with an applicable privacy or security requirement.</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Corrective Action Plan (CAP)</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 documented remediation plan that may include additional training, closer supervision, or specific behavioral requirements.</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Sanction</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 disciplinary action taken in response to a policy violation, ranging from informal counseling to termination.</w:t>
            </w:r>
          </w:p>
        </w:tc>
      </w:tr>
    </w:tbl>
    <w:p>
      <w:pPr>
        <w:pStyle w:val="Heading1"/>
        <w:spacing w:after="120" w:before="360"/>
      </w:pPr>
      <w:r>
        <w:rPr>
          <w:rFonts w:ascii="Arial" w:cs="Arial" w:eastAsia="Arial" w:hAnsi="Arial"/>
          <w:b/>
          <w:bCs/>
          <w:color w:val="1F4E79"/>
          <w:sz w:val="32"/>
          <w:szCs w:val="32"/>
        </w:rPr>
        <w:t xml:space="preserve">4. Principles</w:t>
      </w:r>
    </w:p>
    <w:p>
      <w:pPr>
        <w:spacing w:after="100" w:before="60"/>
      </w:pPr>
      <w:r>
        <w:rPr>
          <w:rFonts w:ascii="Arial" w:cs="Arial" w:eastAsia="Arial" w:hAnsi="Arial"/>
          <w:sz w:val="22"/>
          <w:szCs w:val="22"/>
        </w:rPr>
        <w:t xml:space="preserve">Sanctions must be:</w:t>
      </w:r>
    </w:p>
    <w:p>
      <w:pPr>
        <w:pStyle w:val="ListParagraph"/>
        <w:numPr>
          <w:ilvl w:val="0"/>
          <w:numId w:val="2"/>
        </w:numPr>
        <w:spacing w:after="40" w:before="40"/>
      </w:pPr>
      <w:r>
        <w:rPr>
          <w:rFonts w:ascii="Arial" w:cs="Arial" w:eastAsia="Arial" w:hAnsi="Arial"/>
          <w:b w:val="false"/>
          <w:bCs w:val="false"/>
          <w:sz w:val="22"/>
          <w:szCs w:val="22"/>
        </w:rPr>
        <w:t xml:space="preserve">Consistent: Applied uniformly regardless of the workforce member's title, tenure, or role;</w:t>
      </w:r>
    </w:p>
    <w:p>
      <w:pPr>
        <w:pStyle w:val="ListParagraph"/>
        <w:numPr>
          <w:ilvl w:val="0"/>
          <w:numId w:val="2"/>
        </w:numPr>
        <w:spacing w:after="40" w:before="40"/>
      </w:pPr>
      <w:r>
        <w:rPr>
          <w:rFonts w:ascii="Arial" w:cs="Arial" w:eastAsia="Arial" w:hAnsi="Arial"/>
          <w:b w:val="false"/>
          <w:bCs w:val="false"/>
          <w:sz w:val="22"/>
          <w:szCs w:val="22"/>
        </w:rPr>
        <w:t xml:space="preserve">Proportionate: Calibrated to the severity, frequency, and circumstances of the violation;</w:t>
      </w:r>
    </w:p>
    <w:p>
      <w:pPr>
        <w:pStyle w:val="ListParagraph"/>
        <w:numPr>
          <w:ilvl w:val="0"/>
          <w:numId w:val="2"/>
        </w:numPr>
        <w:spacing w:after="40" w:before="40"/>
      </w:pPr>
      <w:r>
        <w:rPr>
          <w:rFonts w:ascii="Arial" w:cs="Arial" w:eastAsia="Arial" w:hAnsi="Arial"/>
          <w:b w:val="false"/>
          <w:bCs w:val="false"/>
          <w:sz w:val="22"/>
          <w:szCs w:val="22"/>
        </w:rPr>
        <w:t xml:space="preserve">Documented: All sanctions and the investigations supporting them must be in writing;</w:t>
      </w:r>
    </w:p>
    <w:p>
      <w:pPr>
        <w:pStyle w:val="ListParagraph"/>
        <w:numPr>
          <w:ilvl w:val="0"/>
          <w:numId w:val="2"/>
        </w:numPr>
        <w:spacing w:after="40" w:before="40"/>
      </w:pPr>
      <w:r>
        <w:rPr>
          <w:rFonts w:ascii="Arial" w:cs="Arial" w:eastAsia="Arial" w:hAnsi="Arial"/>
          <w:b w:val="false"/>
          <w:bCs w:val="false"/>
          <w:sz w:val="22"/>
          <w:szCs w:val="22"/>
        </w:rPr>
        <w:t xml:space="preserve">Transparent: Workforce members must be informed of the potential consequences of violations during onboarding and annual training;</w:t>
      </w:r>
    </w:p>
    <w:p>
      <w:pPr>
        <w:pStyle w:val="ListParagraph"/>
        <w:numPr>
          <w:ilvl w:val="0"/>
          <w:numId w:val="2"/>
        </w:numPr>
        <w:spacing w:after="40" w:before="40"/>
      </w:pPr>
      <w:r>
        <w:rPr>
          <w:rFonts w:ascii="Arial" w:cs="Arial" w:eastAsia="Arial" w:hAnsi="Arial"/>
          <w:b w:val="false"/>
          <w:bCs w:val="false"/>
          <w:sz w:val="22"/>
          <w:szCs w:val="22"/>
        </w:rPr>
        <w:t xml:space="preserve">Non-retaliatory: Sanctions must not be imposed against workforce members who report suspected violations in good faith.</w:t>
      </w:r>
    </w:p>
    <w:p>
      <w:pPr>
        <w:pStyle w:val="Heading1"/>
        <w:spacing w:after="120" w:before="360"/>
      </w:pPr>
      <w:r>
        <w:rPr>
          <w:rFonts w:ascii="Arial" w:cs="Arial" w:eastAsia="Arial" w:hAnsi="Arial"/>
          <w:b/>
          <w:bCs/>
          <w:color w:val="1F4E79"/>
          <w:sz w:val="32"/>
          <w:szCs w:val="32"/>
        </w:rPr>
        <w:t xml:space="preserve">5. Violation Severity Tiers</w:t>
      </w:r>
    </w:p>
    <w:p>
      <w:pPr>
        <w:spacing w:after="100" w:before="60"/>
      </w:pPr>
      <w:r>
        <w:rPr>
          <w:rFonts w:ascii="Arial" w:cs="Arial" w:eastAsia="Arial" w:hAnsi="Arial"/>
          <w:sz w:val="22"/>
          <w:szCs w:val="22"/>
        </w:rPr>
        <w:t xml:space="preserve">Violations are categorized into four tiers to guide proportionate sanctioning. The Privacy Officer and HR Director make final tier determinations based on the full facts of each case.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80"/>
        <w:gridCol w:w="4380"/>
      </w:tblGrid>
      <w:tr>
        <w:tc>
          <w:tcPr>
            <w:tcW w:type="dxa" w:w="1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38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Violations</w:t>
            </w:r>
          </w:p>
        </w:tc>
        <w:tc>
          <w:tcPr>
            <w:tcW w:type="dxa" w:w="438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Sanction Range</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sz w:val="20"/>
                <w:szCs w:val="20"/>
              </w:rPr>
              <w:t xml:space="preserve">Tier 1 — Minor</w:t>
            </w:r>
          </w:p>
        </w:tc>
        <w:tc>
          <w:tcPr>
            <w:tcW w:type="dxa" w:w="338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Inadvertent, isolated policy procedural lapse; no PHI exposure; immediate self-correction</w:t>
            </w:r>
          </w:p>
        </w:tc>
        <w:tc>
          <w:tcPr>
            <w:tcW w:type="dxa" w:w="438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Verbal counseling; documented coaching; re-training</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sz w:val="20"/>
                <w:szCs w:val="20"/>
              </w:rPr>
              <w:t xml:space="preserve">Tier 2 — Moderate</w:t>
            </w:r>
          </w:p>
        </w:tc>
        <w:tc>
          <w:tcPr>
            <w:tcW w:type="dxa" w:w="338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Unintentional PHI exposure with limited impact; repeated Tier 1 violations; failure to follow approved procedures</w:t>
            </w:r>
          </w:p>
        </w:tc>
        <w:tc>
          <w:tcPr>
            <w:tcW w:type="dxa" w:w="438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Written warning; mandatory retraining; Corrective Action Plan; increased supervision</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sz w:val="20"/>
                <w:szCs w:val="20"/>
              </w:rPr>
              <w:t xml:space="preserve">Tier 3 — Serious</w:t>
            </w:r>
          </w:p>
        </w:tc>
        <w:tc>
          <w:tcPr>
            <w:tcW w:type="dxa" w:w="338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Unauthorized access to PHI without malicious intent but without legitimate purpose; inputting PHI into unapproved AI tools; failure to report a known incident</w:t>
            </w:r>
          </w:p>
        </w:tc>
        <w:tc>
          <w:tcPr>
            <w:tcW w:type="dxa" w:w="438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Final written warning; suspension with or without pay; demotion; extended probationary period; mandatory retraining</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sz w:val="20"/>
                <w:szCs w:val="20"/>
              </w:rPr>
              <w:t xml:space="preserve">Tier 4 — Critical</w:t>
            </w:r>
          </w:p>
        </w:tc>
        <w:tc>
          <w:tcPr>
            <w:tcW w:type="dxa" w:w="338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Intentional or malicious PHI disclosure; identity theft; fraud; sale or misuse of PHI for personal gain; repeated Tier 3 violations; obstruction of investigation</w:t>
            </w:r>
          </w:p>
        </w:tc>
        <w:tc>
          <w:tcPr>
            <w:tcW w:type="dxa" w:w="438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Immediate termination; referral to HHS OCR; referral to licensing board; referral to law enforcement</w:t>
            </w:r>
          </w:p>
        </w:tc>
      </w:tr>
    </w:tbl>
    <w:p>
      <w:pPr>
        <w:pStyle w:val="Heading1"/>
        <w:spacing w:after="120" w:before="360"/>
      </w:pPr>
      <w:r>
        <w:rPr>
          <w:rFonts w:ascii="Arial" w:cs="Arial" w:eastAsia="Arial" w:hAnsi="Arial"/>
          <w:b/>
          <w:bCs/>
          <w:color w:val="1F4E79"/>
          <w:sz w:val="32"/>
          <w:szCs w:val="32"/>
        </w:rPr>
        <w:t xml:space="preserve">6. Investigation Procedures</w:t>
      </w:r>
    </w:p>
    <w:p>
      <w:pPr>
        <w:pStyle w:val="Heading2"/>
        <w:spacing w:after="80" w:before="240"/>
      </w:pPr>
      <w:r>
        <w:rPr>
          <w:rFonts w:ascii="Arial" w:cs="Arial" w:eastAsia="Arial" w:hAnsi="Arial"/>
          <w:b/>
          <w:bCs/>
          <w:color w:val="2E75B6"/>
          <w:sz w:val="26"/>
          <w:szCs w:val="26"/>
        </w:rPr>
        <w:t xml:space="preserve">6.1  Reporting</w:t>
      </w:r>
    </w:p>
    <w:p>
      <w:pPr>
        <w:spacing w:after="100" w:before="60"/>
      </w:pPr>
      <w:r>
        <w:rPr>
          <w:rFonts w:ascii="Arial" w:cs="Arial" w:eastAsia="Arial" w:hAnsi="Arial"/>
          <w:sz w:val="22"/>
          <w:szCs w:val="22"/>
        </w:rPr>
        <w:t xml:space="preserve">Suspected violations must be reported to the Privacy Officer, Security Officer, HR Director, or a supervisor. Reports may be made anonymously via the Compliance Hotline at [hotline number]. Anonymous reports will be investigated to the extent the available information permits.</w:t>
      </w:r>
    </w:p>
    <w:p>
      <w:pPr>
        <w:pStyle w:val="Heading2"/>
        <w:spacing w:after="80" w:before="240"/>
      </w:pPr>
      <w:r>
        <w:rPr>
          <w:rFonts w:ascii="Arial" w:cs="Arial" w:eastAsia="Arial" w:hAnsi="Arial"/>
          <w:b/>
          <w:bCs/>
          <w:color w:val="2E75B6"/>
          <w:sz w:val="26"/>
          <w:szCs w:val="26"/>
        </w:rPr>
        <w:t xml:space="preserve">6.2  Initial Assessment</w:t>
      </w:r>
    </w:p>
    <w:p>
      <w:pPr>
        <w:spacing w:after="100" w:before="60"/>
      </w:pPr>
      <w:r>
        <w:rPr>
          <w:rFonts w:ascii="Arial" w:cs="Arial" w:eastAsia="Arial" w:hAnsi="Arial"/>
          <w:sz w:val="22"/>
          <w:szCs w:val="22"/>
        </w:rPr>
        <w:t xml:space="preserve">Upon receiving a report, the Privacy Officer (for privacy violations) or Security Officer (for security/technical violations) will conduct an initial assessment within 5 business days to determine whether the allegation warrants a full investigation. Simultaneous containment of any ongoing harm (e.g., revoking access) will occur regardless of investigation status.</w:t>
      </w:r>
    </w:p>
    <w:p>
      <w:pPr>
        <w:pStyle w:val="Heading2"/>
        <w:spacing w:after="80" w:before="240"/>
      </w:pPr>
      <w:r>
        <w:rPr>
          <w:rFonts w:ascii="Arial" w:cs="Arial" w:eastAsia="Arial" w:hAnsi="Arial"/>
          <w:b/>
          <w:bCs/>
          <w:color w:val="2E75B6"/>
          <w:sz w:val="26"/>
          <w:szCs w:val="26"/>
        </w:rPr>
        <w:t xml:space="preserve">6.3  Investigation</w:t>
      </w:r>
    </w:p>
    <w:p>
      <w:pPr>
        <w:spacing w:after="100" w:before="60"/>
      </w:pPr>
      <w:r>
        <w:rPr>
          <w:rFonts w:ascii="Arial" w:cs="Arial" w:eastAsia="Arial" w:hAnsi="Arial"/>
          <w:sz w:val="22"/>
          <w:szCs w:val="22"/>
        </w:rPr>
        <w:t xml:space="preserve">Full investigations will be conducted by the Privacy Officer or Security Officer, in coordination with HR and Legal as appropriate. Investigations may include:</w:t>
      </w:r>
    </w:p>
    <w:p>
      <w:pPr>
        <w:pStyle w:val="ListParagraph"/>
        <w:numPr>
          <w:ilvl w:val="0"/>
          <w:numId w:val="2"/>
        </w:numPr>
        <w:spacing w:after="40" w:before="40"/>
      </w:pPr>
      <w:r>
        <w:rPr>
          <w:rFonts w:ascii="Arial" w:cs="Arial" w:eastAsia="Arial" w:hAnsi="Arial"/>
          <w:b w:val="false"/>
          <w:bCs w:val="false"/>
          <w:sz w:val="22"/>
          <w:szCs w:val="22"/>
        </w:rPr>
        <w:t xml:space="preserve">Review of system audit logs and access records;</w:t>
      </w:r>
    </w:p>
    <w:p>
      <w:pPr>
        <w:pStyle w:val="ListParagraph"/>
        <w:numPr>
          <w:ilvl w:val="0"/>
          <w:numId w:val="2"/>
        </w:numPr>
        <w:spacing w:after="40" w:before="40"/>
      </w:pPr>
      <w:r>
        <w:rPr>
          <w:rFonts w:ascii="Arial" w:cs="Arial" w:eastAsia="Arial" w:hAnsi="Arial"/>
          <w:b w:val="false"/>
          <w:bCs w:val="false"/>
          <w:sz w:val="22"/>
          <w:szCs w:val="22"/>
        </w:rPr>
        <w:t xml:space="preserve">Interviews with the accused workforce member, witnesses, and supervisors;</w:t>
      </w:r>
    </w:p>
    <w:p>
      <w:pPr>
        <w:pStyle w:val="ListParagraph"/>
        <w:numPr>
          <w:ilvl w:val="0"/>
          <w:numId w:val="2"/>
        </w:numPr>
        <w:spacing w:after="40" w:before="40"/>
      </w:pPr>
      <w:r>
        <w:rPr>
          <w:rFonts w:ascii="Arial" w:cs="Arial" w:eastAsia="Arial" w:hAnsi="Arial"/>
          <w:b w:val="false"/>
          <w:bCs w:val="false"/>
          <w:sz w:val="22"/>
          <w:szCs w:val="22"/>
        </w:rPr>
        <w:t xml:space="preserve">Review of relevant policies, training records, and prior disciplinary history.</w:t>
      </w:r>
    </w:p>
    <w:p>
      <w:pPr>
        <w:spacing w:after="100" w:before="60"/>
      </w:pPr>
      <w:r>
        <w:rPr>
          <w:rFonts w:ascii="Arial" w:cs="Arial" w:eastAsia="Arial" w:hAnsi="Arial"/>
          <w:sz w:val="22"/>
          <w:szCs w:val="22"/>
        </w:rPr>
        <w:t xml:space="preserve">The accused workforce member will have an opportunity to respond to allegations prior to a final determination. Investigations should be completed within 30 business days; extensions must be documented.</w:t>
      </w:r>
    </w:p>
    <w:p>
      <w:pPr>
        <w:pStyle w:val="Heading2"/>
        <w:spacing w:after="80" w:before="240"/>
      </w:pPr>
      <w:r>
        <w:rPr>
          <w:rFonts w:ascii="Arial" w:cs="Arial" w:eastAsia="Arial" w:hAnsi="Arial"/>
          <w:b/>
          <w:bCs/>
          <w:color w:val="2E75B6"/>
          <w:sz w:val="26"/>
          <w:szCs w:val="26"/>
        </w:rPr>
        <w:t xml:space="preserve">6.4  Determination and Documentation</w:t>
      </w:r>
    </w:p>
    <w:p>
      <w:pPr>
        <w:spacing w:after="100" w:before="60"/>
      </w:pPr>
      <w:r>
        <w:rPr>
          <w:rFonts w:ascii="Arial" w:cs="Arial" w:eastAsia="Arial" w:hAnsi="Arial"/>
          <w:sz w:val="22"/>
          <w:szCs w:val="22"/>
        </w:rPr>
        <w:t xml:space="preserve">The Privacy Officer or Security Officer will document findings in a written Investigation Report, including: a summary of the facts, the tier classification, the recommended sanction, and any corrective action requirements. The Investigation Report is reviewed by HR and the relevant department head before sanctions are imposed. All investigation documentation is retained for a minimum of 6 years.</w:t>
      </w:r>
    </w:p>
    <w:p>
      <w:pPr>
        <w:pStyle w:val="Heading1"/>
        <w:spacing w:after="120" w:before="360"/>
      </w:pPr>
      <w:r>
        <w:rPr>
          <w:rFonts w:ascii="Arial" w:cs="Arial" w:eastAsia="Arial" w:hAnsi="Arial"/>
          <w:b/>
          <w:bCs/>
          <w:color w:val="1F4E79"/>
          <w:sz w:val="32"/>
          <w:szCs w:val="32"/>
        </w:rPr>
        <w:t xml:space="preserve">7. Corrective Action Plans</w:t>
      </w:r>
    </w:p>
    <w:p>
      <w:pPr>
        <w:spacing w:after="100" w:before="60"/>
      </w:pPr>
      <w:r>
        <w:rPr>
          <w:rFonts w:ascii="Arial" w:cs="Arial" w:eastAsia="Arial" w:hAnsi="Arial"/>
          <w:sz w:val="22"/>
          <w:szCs w:val="22"/>
        </w:rPr>
        <w:t xml:space="preserve">For Tier 1–3 violations, a Corrective Action Plan (CAP) may be required in addition to other sanctions. A CAP must specify:</w:t>
      </w:r>
    </w:p>
    <w:p>
      <w:pPr>
        <w:pStyle w:val="ListParagraph"/>
        <w:numPr>
          <w:ilvl w:val="0"/>
          <w:numId w:val="2"/>
        </w:numPr>
        <w:spacing w:after="40" w:before="40"/>
      </w:pPr>
      <w:r>
        <w:rPr>
          <w:rFonts w:ascii="Arial" w:cs="Arial" w:eastAsia="Arial" w:hAnsi="Arial"/>
          <w:b w:val="false"/>
          <w:bCs w:val="false"/>
          <w:sz w:val="22"/>
          <w:szCs w:val="22"/>
        </w:rPr>
        <w:t xml:space="preserve">The specific behaviors or procedures the workforce member must change;</w:t>
      </w:r>
    </w:p>
    <w:p>
      <w:pPr>
        <w:pStyle w:val="ListParagraph"/>
        <w:numPr>
          <w:ilvl w:val="0"/>
          <w:numId w:val="2"/>
        </w:numPr>
        <w:spacing w:after="40" w:before="40"/>
      </w:pPr>
      <w:r>
        <w:rPr>
          <w:rFonts w:ascii="Arial" w:cs="Arial" w:eastAsia="Arial" w:hAnsi="Arial"/>
          <w:b w:val="false"/>
          <w:bCs w:val="false"/>
          <w:sz w:val="22"/>
          <w:szCs w:val="22"/>
        </w:rPr>
        <w:t xml:space="preserve">Required training or certification completions and deadlines;</w:t>
      </w:r>
    </w:p>
    <w:p>
      <w:pPr>
        <w:pStyle w:val="ListParagraph"/>
        <w:numPr>
          <w:ilvl w:val="0"/>
          <w:numId w:val="2"/>
        </w:numPr>
        <w:spacing w:after="40" w:before="40"/>
      </w:pPr>
      <w:r>
        <w:rPr>
          <w:rFonts w:ascii="Arial" w:cs="Arial" w:eastAsia="Arial" w:hAnsi="Arial"/>
          <w:b w:val="false"/>
          <w:bCs w:val="false"/>
          <w:sz w:val="22"/>
          <w:szCs w:val="22"/>
        </w:rPr>
        <w:t xml:space="preserve">Supervision or monitoring requirements;</w:t>
      </w:r>
    </w:p>
    <w:p>
      <w:pPr>
        <w:pStyle w:val="ListParagraph"/>
        <w:numPr>
          <w:ilvl w:val="0"/>
          <w:numId w:val="2"/>
        </w:numPr>
        <w:spacing w:after="40" w:before="40"/>
      </w:pPr>
      <w:r>
        <w:rPr>
          <w:rFonts w:ascii="Arial" w:cs="Arial" w:eastAsia="Arial" w:hAnsi="Arial"/>
          <w:b w:val="false"/>
          <w:bCs w:val="false"/>
          <w:sz w:val="22"/>
          <w:szCs w:val="22"/>
        </w:rPr>
        <w:t xml:space="preserve">A review date to assess progress;</w:t>
      </w:r>
    </w:p>
    <w:p>
      <w:pPr>
        <w:pStyle w:val="ListParagraph"/>
        <w:numPr>
          <w:ilvl w:val="0"/>
          <w:numId w:val="2"/>
        </w:numPr>
        <w:spacing w:after="40" w:before="40"/>
      </w:pPr>
      <w:r>
        <w:rPr>
          <w:rFonts w:ascii="Arial" w:cs="Arial" w:eastAsia="Arial" w:hAnsi="Arial"/>
          <w:b w:val="false"/>
          <w:bCs w:val="false"/>
          <w:sz w:val="22"/>
          <w:szCs w:val="22"/>
        </w:rPr>
        <w:t xml:space="preserve">Consequences for failure to complete the CAP.</w:t>
      </w:r>
    </w:p>
    <w:p>
      <w:pPr>
        <w:pStyle w:val="Heading1"/>
        <w:spacing w:after="120" w:before="360"/>
      </w:pPr>
      <w:r>
        <w:rPr>
          <w:rFonts w:ascii="Arial" w:cs="Arial" w:eastAsia="Arial" w:hAnsi="Arial"/>
          <w:b/>
          <w:bCs/>
          <w:color w:val="1F4E79"/>
          <w:sz w:val="32"/>
          <w:szCs w:val="32"/>
        </w:rPr>
        <w:t xml:space="preserve">8. Regulatory Referral</w:t>
      </w:r>
    </w:p>
    <w:p>
      <w:pPr>
        <w:spacing w:after="100" w:before="60"/>
      </w:pPr>
      <w:r>
        <w:rPr>
          <w:rFonts w:ascii="Arial" w:cs="Arial" w:eastAsia="Arial" w:hAnsi="Arial"/>
          <w:sz w:val="22"/>
          <w:szCs w:val="22"/>
        </w:rPr>
        <w:t xml:space="preserve">The Organization reserves the right to refer violations to external authorities, including:</w:t>
      </w:r>
    </w:p>
    <w:p>
      <w:pPr>
        <w:pStyle w:val="ListParagraph"/>
        <w:numPr>
          <w:ilvl w:val="0"/>
          <w:numId w:val="2"/>
        </w:numPr>
        <w:spacing w:after="40" w:before="40"/>
      </w:pPr>
      <w:r>
        <w:rPr>
          <w:rFonts w:ascii="Arial" w:cs="Arial" w:eastAsia="Arial" w:hAnsi="Arial"/>
          <w:b w:val="false"/>
          <w:bCs w:val="false"/>
          <w:sz w:val="22"/>
          <w:szCs w:val="22"/>
        </w:rPr>
        <w:t xml:space="preserve">HHS Office for Civil Rights (OCR) for HIPAA violations warranting regulatory reporting;</w:t>
      </w:r>
    </w:p>
    <w:p>
      <w:pPr>
        <w:pStyle w:val="ListParagraph"/>
        <w:numPr>
          <w:ilvl w:val="0"/>
          <w:numId w:val="2"/>
        </w:numPr>
        <w:spacing w:after="40" w:before="40"/>
      </w:pPr>
      <w:r>
        <w:rPr>
          <w:rFonts w:ascii="Arial" w:cs="Arial" w:eastAsia="Arial" w:hAnsi="Arial"/>
          <w:b w:val="false"/>
          <w:bCs w:val="false"/>
          <w:sz w:val="22"/>
          <w:szCs w:val="22"/>
        </w:rPr>
        <w:t xml:space="preserve">State professional licensing boards for violations by licensed clinicians or other credentialed professionals;</w:t>
      </w:r>
    </w:p>
    <w:p>
      <w:pPr>
        <w:pStyle w:val="ListParagraph"/>
        <w:numPr>
          <w:ilvl w:val="0"/>
          <w:numId w:val="2"/>
        </w:numPr>
        <w:spacing w:after="40" w:before="40"/>
      </w:pPr>
      <w:r>
        <w:rPr>
          <w:rFonts w:ascii="Arial" w:cs="Arial" w:eastAsia="Arial" w:hAnsi="Arial"/>
          <w:b w:val="false"/>
          <w:bCs w:val="false"/>
          <w:sz w:val="22"/>
          <w:szCs w:val="22"/>
        </w:rPr>
        <w:t xml:space="preserve">Law enforcement where violations involve potential criminal conduct (fraud, identity theft, computer intrusion).</w:t>
      </w:r>
    </w:p>
    <w:p>
      <w:pPr>
        <w:pStyle w:val="Heading1"/>
        <w:spacing w:after="120" w:before="360"/>
      </w:pPr>
      <w:r>
        <w:rPr>
          <w:rFonts w:ascii="Arial" w:cs="Arial" w:eastAsia="Arial" w:hAnsi="Arial"/>
          <w:b/>
          <w:bCs/>
          <w:color w:val="1F4E79"/>
          <w:sz w:val="32"/>
          <w:szCs w:val="32"/>
        </w:rPr>
        <w:t xml:space="preserve">9. Non-Retaliation</w:t>
      </w:r>
    </w:p>
    <w:p>
      <w:pPr>
        <w:spacing w:after="100" w:before="60"/>
      </w:pPr>
      <w:r>
        <w:rPr>
          <w:rFonts w:ascii="Arial" w:cs="Arial" w:eastAsia="Arial" w:hAnsi="Arial"/>
          <w:sz w:val="22"/>
          <w:szCs w:val="22"/>
        </w:rPr>
        <w:t xml:space="preserve">The Organization strictly prohibits retaliation against any workforce member who reports a suspected policy violation in good faith or who participates in an investigation. Retaliatory conduct is itself a policy violation subject to disciplinary action. Workforce members who believe they have experienced retaliation should report it to HR or the Compliance Hotline.</w:t>
      </w:r>
    </w:p>
    <w:p>
      <w:pPr>
        <w:pStyle w:val="Heading1"/>
        <w:spacing w:after="120" w:before="360"/>
      </w:pPr>
      <w:r>
        <w:rPr>
          <w:rFonts w:ascii="Arial" w:cs="Arial" w:eastAsia="Arial" w:hAnsi="Arial"/>
          <w:b/>
          <w:bCs/>
          <w:color w:val="1F4E79"/>
          <w:sz w:val="32"/>
          <w:szCs w:val="32"/>
        </w:rPr>
        <w:t xml:space="preserve">10. Contractor and Vendor Violations</w:t>
      </w:r>
    </w:p>
    <w:p>
      <w:pPr>
        <w:spacing w:after="100" w:before="60"/>
      </w:pPr>
      <w:r>
        <w:rPr>
          <w:rFonts w:ascii="Arial" w:cs="Arial" w:eastAsia="Arial" w:hAnsi="Arial"/>
          <w:sz w:val="22"/>
          <w:szCs w:val="22"/>
        </w:rPr>
        <w:t xml:space="preserve">Contractors and vendors who violate Organization policies will be subject to sanctions as defined in their contracts, up to and including immediate termination of the contract. Contractor violations involving PHI will be coordinated with the Vendor and Business Associate Management process (VND-001).</w:t>
      </w:r>
    </w:p>
    <w:p>
      <w:pPr>
        <w:pStyle w:val="Heading1"/>
        <w:spacing w:after="120" w:before="360"/>
      </w:pPr>
      <w:r>
        <w:rPr>
          <w:rFonts w:ascii="Arial" w:cs="Arial" w:eastAsia="Arial" w:hAnsi="Arial"/>
          <w:b/>
          <w:bCs/>
          <w:color w:val="1F4E79"/>
          <w:sz w:val="32"/>
          <w:szCs w:val="32"/>
        </w:rPr>
        <w:t xml:space="preserve">11. Related Policies</w:t>
      </w:r>
    </w:p>
    <w:p>
      <w:pPr>
        <w:pStyle w:val="ListParagraph"/>
        <w:numPr>
          <w:ilvl w:val="0"/>
          <w:numId w:val="2"/>
        </w:numPr>
        <w:spacing w:after="40" w:before="40"/>
      </w:pPr>
      <w:r>
        <w:rPr>
          <w:rFonts w:ascii="Arial" w:cs="Arial" w:eastAsia="Arial" w:hAnsi="Arial"/>
          <w:b w:val="false"/>
          <w:bCs w:val="false"/>
          <w:sz w:val="22"/>
          <w:szCs w:val="22"/>
        </w:rPr>
        <w:t xml:space="preserve">HIPAA Privacy Policy (PRIV-001)</w:t>
      </w:r>
    </w:p>
    <w:p>
      <w:pPr>
        <w:pStyle w:val="ListParagraph"/>
        <w:numPr>
          <w:ilvl w:val="0"/>
          <w:numId w:val="2"/>
        </w:numPr>
        <w:spacing w:after="40" w:before="40"/>
      </w:pPr>
      <w:r>
        <w:rPr>
          <w:rFonts w:ascii="Arial" w:cs="Arial" w:eastAsia="Arial" w:hAnsi="Arial"/>
          <w:b w:val="false"/>
          <w:bCs w:val="false"/>
          <w:sz w:val="22"/>
          <w:szCs w:val="22"/>
        </w:rPr>
        <w:t xml:space="preserve">HIPAA Security Policy (SEC-001)</w:t>
      </w:r>
    </w:p>
    <w:p>
      <w:pPr>
        <w:pStyle w:val="ListParagraph"/>
        <w:numPr>
          <w:ilvl w:val="0"/>
          <w:numId w:val="2"/>
        </w:numPr>
        <w:spacing w:after="40" w:before="40"/>
      </w:pPr>
      <w:r>
        <w:rPr>
          <w:rFonts w:ascii="Arial" w:cs="Arial" w:eastAsia="Arial" w:hAnsi="Arial"/>
          <w:b w:val="false"/>
          <w:bCs w:val="false"/>
          <w:sz w:val="22"/>
          <w:szCs w:val="22"/>
        </w:rPr>
        <w:t xml:space="preserve">Breach Notification Policy (BN-001)</w:t>
      </w:r>
    </w:p>
    <w:p>
      <w:pPr>
        <w:pStyle w:val="ListParagraph"/>
        <w:numPr>
          <w:ilvl w:val="0"/>
          <w:numId w:val="2"/>
        </w:numPr>
        <w:spacing w:after="40" w:before="40"/>
      </w:pPr>
      <w:r>
        <w:rPr>
          <w:rFonts w:ascii="Arial" w:cs="Arial" w:eastAsia="Arial" w:hAnsi="Arial"/>
          <w:b w:val="false"/>
          <w:bCs w:val="false"/>
          <w:sz w:val="22"/>
          <w:szCs w:val="22"/>
        </w:rPr>
        <w:t xml:space="preserve">AI Acceptable Use Policy (AI-001)</w:t>
      </w:r>
    </w:p>
    <w:p>
      <w:pPr>
        <w:pStyle w:val="ListParagraph"/>
        <w:numPr>
          <w:ilvl w:val="0"/>
          <w:numId w:val="2"/>
        </w:numPr>
        <w:spacing w:after="40" w:before="40"/>
      </w:pPr>
      <w:r>
        <w:rPr>
          <w:rFonts w:ascii="Arial" w:cs="Arial" w:eastAsia="Arial" w:hAnsi="Arial"/>
          <w:b w:val="false"/>
          <w:bCs w:val="false"/>
          <w:sz w:val="22"/>
          <w:szCs w:val="22"/>
        </w:rPr>
        <w:t xml:space="preserve">Acceptable Use of Technology Policy (AUT-001)</w:t>
      </w:r>
    </w:p>
    <w:p>
      <w:pPr>
        <w:pStyle w:val="ListParagraph"/>
        <w:numPr>
          <w:ilvl w:val="0"/>
          <w:numId w:val="2"/>
        </w:numPr>
        <w:spacing w:after="40" w:before="40"/>
      </w:pPr>
      <w:r>
        <w:rPr>
          <w:rFonts w:ascii="Arial" w:cs="Arial" w:eastAsia="Arial" w:hAnsi="Arial"/>
          <w:b w:val="false"/>
          <w:bCs w:val="false"/>
          <w:sz w:val="22"/>
          <w:szCs w:val="22"/>
        </w:rPr>
        <w:t xml:space="preserve">Vendor and Business Associate Management Policy (VND-001)</w:t>
      </w:r>
    </w:p>
    <w:p>
      <w:pPr>
        <w:spacing w:after="0" w:before="20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Revision History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[INSERT DATE]</w:t>
            </w:r>
          </w:p>
        </w:tc>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[Author Name]</w:t>
            </w:r>
          </w:p>
        </w:tc>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Initial issuance</w:t>
            </w:r>
          </w:p>
        </w:tc>
      </w:tr>
    </w:tbl>
    <w:p>
      <w:pPr>
        <w:spacing w:after="0" w:before="120"/>
      </w:pPr>
      <w:r>
        <w:t xml:space="preserve"/>
      </w:r>
    </w:p>
    <w:p>
      <w:pPr>
        <w:spacing w:after="100" w:before="60"/>
      </w:pPr>
      <w:r>
        <w:rPr>
          <w:rFonts w:ascii="Arial" w:cs="Arial" w:eastAsia="Arial" w:hAnsi="Arial"/>
          <w:sz w:val="22"/>
          <w:szCs w:val="22"/>
        </w:rPr>
        <w:t xml:space="preserve">By signing below, the indicated individuals confirm they have reviewed and approved this policy: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240"/>
            </w:tcMar>
          </w:tcPr>
          <w:p>
            <w:pPr>
              <w:pBdr>
                <w:bottom w:val="single" w:color="595959" w:sz="4" w:space="1"/>
              </w:pBdr>
            </w:pPr>
            <w:r>
              <w:rPr>
                <w:rFonts w:ascii="Arial" w:cs="Arial" w:eastAsia="Arial" w:hAnsi="Arial"/>
                <w:color w:val="595959"/>
                <w:sz w:val="20"/>
                <w:szCs w:val="20"/>
              </w:rPr>
              <w:t xml:space="preserve">Privacy / Compliance Officer</w:t>
            </w:r>
          </w:p>
          <w:p>
            <w:pPr>
              <w:spacing w:after="0" w:before="60"/>
            </w:pPr>
            <w:r>
              <w:t xml:space="preserve"/>
            </w:r>
          </w:p>
          <w:p>
            <w:r>
              <w:rPr>
                <w:rFonts w:ascii="Arial" w:cs="Arial" w:eastAsia="Arial" w:hAnsi="Arial"/>
                <w:color w:val="595959"/>
                <w:sz w:val="18"/>
                <w:szCs w:val="18"/>
              </w:rPr>
              <w:t xml:space="preserve">Signature / Date</w:t>
            </w:r>
          </w:p>
        </w:tc>
        <w:tc>
          <w:tcPr>
            <w:tcW w:type="dxa" w:w="4680"/>
            <w:tcBorders>
              <w:top w:val="none" w:color="FFFFFF" w:sz="0"/>
              <w:left w:val="none" w:color="FFFFFF" w:sz="0"/>
              <w:bottom w:val="none" w:color="FFFFFF" w:sz="0"/>
              <w:right w:val="none" w:color="FFFFFF" w:sz="0"/>
            </w:tcBorders>
            <w:tcMar>
              <w:top w:type="dxa" w:w="80"/>
              <w:left w:type="dxa" w:w="240"/>
              <w:bottom w:type="dxa" w:w="80"/>
              <w:right w:type="dxa" w:w="0"/>
            </w:tcMar>
          </w:tcPr>
          <w:p>
            <w:pPr>
              <w:pBdr>
                <w:bottom w:val="single" w:color="595959" w:sz="4" w:space="1"/>
              </w:pBdr>
            </w:pPr>
            <w:r>
              <w:rPr>
                <w:rFonts w:ascii="Arial" w:cs="Arial" w:eastAsia="Arial" w:hAnsi="Arial"/>
                <w:color w:val="595959"/>
                <w:sz w:val="20"/>
                <w:szCs w:val="20"/>
              </w:rPr>
              <w:t xml:space="preserve">Chief Executive Officer</w:t>
            </w:r>
          </w:p>
          <w:p>
            <w:pPr>
              <w:spacing w:after="0" w:before="60"/>
            </w:pPr>
            <w:r>
              <w:t xml:space="preserve"/>
            </w:r>
          </w:p>
          <w:p>
            <w:r>
              <w:rPr>
                <w:rFonts w:ascii="Arial" w:cs="Arial" w:eastAsia="Arial" w:hAnsi="Arial"/>
                <w:color w:val="595959"/>
                <w:sz w:val="18"/>
                <w:szCs w:val="18"/>
              </w:rPr>
              <w:t xml:space="preserve">Signature / Date</w:t>
            </w:r>
          </w:p>
        </w:tc>
      </w:tr>
    </w:tbl>
    <w:p>
      <w:pPr>
        <w:spacing w:after="0" w:before="200"/>
      </w:pPr>
      <w:r>
        <w:t xml:space="preserve"/>
      </w:r>
    </w:p>
    <w:p>
      <w:pPr>
        <w:pBdr>
          <w:bottom w:val="single" w:color="2E75B6" w:sz="4" w:space="1"/>
        </w:pBdr>
        <w:spacing w:after="160" w:before="160"/>
      </w:pPr>
      <w:r>
        <w:t xml:space="preserve"/>
      </w:r>
    </w:p>
    <w:p>
      <w:pPr>
        <w:spacing w:before="80"/>
        <w:jc w:val="center"/>
      </w:pPr>
      <w:r>
        <w:rPr>
          <w:rFonts w:ascii="Arial" w:cs="Arial" w:eastAsia="Arial" w:hAnsi="Arial"/>
          <w:color w:val="595959"/>
          <w:sz w:val="18"/>
          <w:szCs w:val="18"/>
        </w:rPr>
        <w:t xml:space="preserve">CONFIDENTIAL — FOR INTERNAL USE ONLY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595959"/>
        <w:sz w:val="18"/>
        <w:szCs w:val="18"/>
      </w:rPr>
      <w:t xml:space="preserve">Workforce Sanctions Policy (HR-003)  |  CONFIDENTIAL — FOR INTERNAL USE ONLY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2026-03-19T17:13:21.854Z</dcterms:created>
  <dcterms:modified xsi:type="dcterms:W3CDTF">2026-03-19T17:13:21.856Z</dcterms:modified>
</cp:coreProperties>
</file>

<file path=docProps/custom.xml><?xml version="1.0" encoding="utf-8"?>
<Properties xmlns="http://schemas.openxmlformats.org/officeDocument/2006/custom-properties" xmlns:vt="http://schemas.openxmlformats.org/officeDocument/2006/docPropsVTypes"/>
</file>