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olor w:val="2E75B6"/>
          <w:sz w:val="22"/>
          <w:szCs w:val="22"/>
        </w:rPr>
        <w:t xml:space="preserve">ORGANIZATIONAL POLICY</w:t>
      </w:r>
    </w:p>
    <w:p>
      <w:pPr>
        <w:spacing w:after="60" w:before="0"/>
        <w:jc w:val="center"/>
      </w:pPr>
      <w:r>
        <w:rPr>
          <w:rFonts w:ascii="Arial" w:cs="Arial" w:eastAsia="Arial" w:hAnsi="Arial"/>
          <w:b/>
          <w:bCs/>
          <w:color w:val="1F4E79"/>
          <w:sz w:val="52"/>
          <w:szCs w:val="52"/>
        </w:rPr>
        <w:t xml:space="preserve">Vendor and Business Associate Management Policy</w:t>
      </w:r>
    </w:p>
    <w:p>
      <w:pPr>
        <w:spacing w:after="80" w:before="0"/>
        <w:jc w:val="center"/>
      </w:pPr>
      <w:r>
        <w:rPr>
          <w:rFonts w:ascii="Arial" w:cs="Arial" w:eastAsia="Arial" w:hAnsi="Arial"/>
          <w:color w:val="2E75B6"/>
          <w:sz w:val="30"/>
          <w:szCs w:val="30"/>
        </w:rPr>
        <w:t xml:space="preserve">HIPAA-Compliant Third-Party Relationship Governance</w:t>
      </w:r>
    </w:p>
    <w:p>
      <w:pPr>
        <w:pBdr>
          <w:bottom w:val="single" w:color="2E75B6" w:sz="4"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Policy Number:</w:t>
            </w:r>
          </w:p>
          <w:p>
            <w:r>
              <w:rPr>
                <w:rFonts w:ascii="Arial" w:cs="Arial" w:eastAsia="Arial" w:hAnsi="Arial"/>
                <w:sz w:val="20"/>
                <w:szCs w:val="20"/>
              </w:rPr>
              <w:t xml:space="preserve">VND-001</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Effective Date:</w:t>
            </w:r>
          </w:p>
          <w:p>
            <w:r>
              <w:rPr>
                <w:rFonts w:ascii="Arial" w:cs="Arial" w:eastAsia="Arial" w:hAnsi="Arial"/>
                <w:sz w:val="20"/>
                <w:szCs w:val="20"/>
              </w:rPr>
              <w:t xml:space="preserve">[INSERT DATE]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Department:</w:t>
            </w:r>
          </w:p>
          <w:p>
            <w:r>
              <w:rPr>
                <w:rFonts w:ascii="Arial" w:cs="Arial" w:eastAsia="Arial" w:hAnsi="Arial"/>
                <w:sz w:val="20"/>
                <w:szCs w:val="20"/>
              </w:rPr>
              <w:t xml:space="preserve">Compliance / Legal / Procurement</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Policy Owner:</w:t>
            </w:r>
          </w:p>
          <w:p>
            <w:r>
              <w:rPr>
                <w:rFonts w:ascii="Arial" w:cs="Arial" w:eastAsia="Arial" w:hAnsi="Arial"/>
                <w:sz w:val="20"/>
                <w:szCs w:val="20"/>
              </w:rPr>
              <w:t xml:space="preserve">Privacy Officer / Legal Counsel</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Review Cycle:</w:t>
            </w:r>
          </w:p>
          <w:p>
            <w:r>
              <w:rPr>
                <w:rFonts w:ascii="Arial" w:cs="Arial" w:eastAsia="Arial" w:hAnsi="Arial"/>
                <w:sz w:val="20"/>
                <w:szCs w:val="20"/>
              </w:rPr>
              <w:t xml:space="preserve">Annual</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Classification:</w:t>
            </w:r>
          </w:p>
          <w:p>
            <w:r>
              <w:rPr>
                <w:rFonts w:ascii="Arial" w:cs="Arial" w:eastAsia="Arial" w:hAnsi="Arial"/>
                <w:sz w:val="20"/>
                <w:szCs w:val="20"/>
              </w:rPr>
              <w:t xml:space="preserve">Internal — All Staff</w:t>
            </w:r>
          </w:p>
        </w:tc>
      </w:tr>
    </w:tbl>
    <w:p>
      <w:pPr>
        <w:spacing w:after="0" w:before="200"/>
      </w:pPr>
      <w:r>
        <w:t xml:space="preserve"/>
      </w:r>
    </w:p>
    <w:p>
      <w:pPr>
        <w:jc w:val="center"/>
      </w:pPr>
      <w:r>
        <w:rPr>
          <w:rFonts w:ascii="Arial" w:cs="Arial" w:eastAsia="Arial" w:hAnsi="Arial"/>
          <w:b/>
          <w:bCs/>
          <w:color w:val="595959"/>
          <w:sz w:val="22"/>
          <w:szCs w:val="22"/>
        </w:rPr>
        <w:t xml:space="preserve">[Organization Name]</w:t>
      </w:r>
    </w:p>
    <w:p>
      <w:pPr>
        <w:jc w:val="center"/>
      </w:pPr>
      <w:r>
        <w:rPr>
          <w:rFonts w:ascii="Arial" w:cs="Arial" w:eastAsia="Arial" w:hAnsi="Arial"/>
          <w:color w:val="595959"/>
          <w:sz w:val="20"/>
          <w:szCs w:val="20"/>
        </w:rPr>
        <w:t xml:space="preserve">[Address]  |  [City, State ZIP]  |  [Website]</w:t>
      </w:r>
    </w:p>
    <w:p>
      <w:pPr>
        <w:spacing w:after="0" w:before="3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1. Purpose</w:t>
      </w:r>
    </w:p>
    <w:p>
      <w:pPr>
        <w:spacing w:after="100" w:before="60"/>
      </w:pPr>
      <w:r>
        <w:rPr>
          <w:rFonts w:ascii="Arial" w:cs="Arial" w:eastAsia="Arial" w:hAnsi="Arial"/>
          <w:sz w:val="22"/>
          <w:szCs w:val="22"/>
        </w:rPr>
        <w:t xml:space="preserve">This policy establishes the requirements for managing relationships with vendors and business associates who create, receive, maintain, or transmit Protected Health Information (PHI) or electronic PHI (ePHI) on behalf of [Organization Name] ("the Organization"). It ensures compliance with the HIPAA Privacy Rule (45 CFR §164.502(e) and §164.504(e)), the HIPAA Security Rule (45 CFR §164.308(b) and §164.314), and the HITECH Act requirements regarding business associate liability and oversight.</w:t>
      </w:r>
    </w:p>
    <w:p>
      <w:pPr>
        <w:pStyle w:val="Heading1"/>
        <w:spacing w:after="120" w:before="360"/>
      </w:pPr>
      <w:r>
        <w:rPr>
          <w:rFonts w:ascii="Arial" w:cs="Arial" w:eastAsia="Arial" w:hAnsi="Arial"/>
          <w:b/>
          <w:bCs/>
          <w:color w:val="1F4E79"/>
          <w:sz w:val="32"/>
          <w:szCs w:val="32"/>
        </w:rPr>
        <w:t xml:space="preserve">2. Scope</w:t>
      </w:r>
    </w:p>
    <w:p>
      <w:pPr>
        <w:spacing w:after="100" w:before="60"/>
      </w:pPr>
      <w:r>
        <w:rPr>
          <w:rFonts w:ascii="Arial" w:cs="Arial" w:eastAsia="Arial" w:hAnsi="Arial"/>
          <w:sz w:val="22"/>
          <w:szCs w:val="22"/>
        </w:rPr>
        <w:t xml:space="preserve">This policy applies to all departments and workforce members involved in procuring, contracting with, or overseeing vendors, service providers, software platforms, cloud services, AI systems, and any other third party that may access or process PHI or ePHI on the Organization's behalf. It applies equally to subcontractors of business associates where they handle PHI.</w:t>
      </w:r>
    </w:p>
    <w:p>
      <w:pPr>
        <w:pStyle w:val="Heading1"/>
        <w:spacing w:after="120" w:before="360"/>
      </w:pPr>
      <w:r>
        <w:rPr>
          <w:rFonts w:ascii="Arial" w:cs="Arial" w:eastAsia="Arial" w:hAnsi="Arial"/>
          <w:b/>
          <w:bCs/>
          <w:color w:val="1F4E79"/>
          <w:sz w:val="32"/>
          <w:szCs w:val="3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Business Associate (BA)</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person or entity that performs a function or activity on behalf of a covered entity that involves the creation, receipt, maintenance, or transmission of PHI, or that provides services to a covered entity where such services involve PHI (as defined in 45 CFR §160.103).</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Business Associate Agreement (BAA)</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written contract between the Organization and a Business Associate that satisfies the requirements of 45 CFR §164.504(e). Required before any PHI may be shared with or processed by the BA.</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Subcontractor</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person or entity to whom a business associate delegates a function, activity, or service that involves PHI. Subcontractors are themselves business associates and must execute BAAs with the primary BA.</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Covered Functions</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Activities or services performed by a vendor that involve creating, receiving, maintaining, or transmitting PHI on behalf of the Organization.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Vendor Risk Assessment</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review of a vendor's security practices, policies, and controls to determine the risk of engaging them as a business associate.</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BAA Registry</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The Organization's centralized record of all executed Business Associate Agreements, maintained by the Compliance/Legal department.</w:t>
            </w:r>
          </w:p>
        </w:tc>
      </w:tr>
    </w:tbl>
    <w:p>
      <w:pPr>
        <w:pStyle w:val="Heading1"/>
        <w:spacing w:after="120" w:before="360"/>
      </w:pPr>
      <w:r>
        <w:rPr>
          <w:rFonts w:ascii="Arial" w:cs="Arial" w:eastAsia="Arial" w:hAnsi="Arial"/>
          <w:b/>
          <w:bCs/>
          <w:color w:val="1F4E79"/>
          <w:sz w:val="32"/>
          <w:szCs w:val="32"/>
        </w:rPr>
        <w:t xml:space="preserve">4. Business Associate Identification</w:t>
      </w:r>
    </w:p>
    <w:p>
      <w:pPr>
        <w:spacing w:after="100" w:before="60"/>
      </w:pPr>
      <w:r>
        <w:rPr>
          <w:rFonts w:ascii="Arial" w:cs="Arial" w:eastAsia="Arial" w:hAnsi="Arial"/>
          <w:sz w:val="22"/>
          <w:szCs w:val="22"/>
        </w:rPr>
        <w:t xml:space="preserve">All departments must review their vendor and service provider relationships to identify business associates. A vendor is a business associate if it:</w:t>
      </w:r>
    </w:p>
    <w:p>
      <w:pPr>
        <w:pStyle w:val="ListParagraph"/>
        <w:numPr>
          <w:ilvl w:val="0"/>
          <w:numId w:val="2"/>
        </w:numPr>
        <w:spacing w:after="40" w:before="40"/>
      </w:pPr>
      <w:r>
        <w:rPr>
          <w:rFonts w:ascii="Arial" w:cs="Arial" w:eastAsia="Arial" w:hAnsi="Arial"/>
          <w:b w:val="false"/>
          <w:bCs w:val="false"/>
          <w:sz w:val="22"/>
          <w:szCs w:val="22"/>
        </w:rPr>
        <w:t xml:space="preserve">Has access to PHI to provide a service (e.g., EHR hosting, cloud storage, billing services, transcription, IT support with access to clinical systems);</w:t>
      </w:r>
    </w:p>
    <w:p>
      <w:pPr>
        <w:pStyle w:val="ListParagraph"/>
        <w:numPr>
          <w:ilvl w:val="0"/>
          <w:numId w:val="2"/>
        </w:numPr>
        <w:spacing w:after="40" w:before="40"/>
      </w:pPr>
      <w:r>
        <w:rPr>
          <w:rFonts w:ascii="Arial" w:cs="Arial" w:eastAsia="Arial" w:hAnsi="Arial"/>
          <w:b w:val="false"/>
          <w:bCs w:val="false"/>
          <w:sz w:val="22"/>
          <w:szCs w:val="22"/>
        </w:rPr>
        <w:t xml:space="preserve">Provides data analysis, processing, or administrative services involving PHI;</w:t>
      </w:r>
    </w:p>
    <w:p>
      <w:pPr>
        <w:pStyle w:val="ListParagraph"/>
        <w:numPr>
          <w:ilvl w:val="0"/>
          <w:numId w:val="2"/>
        </w:numPr>
        <w:spacing w:after="40" w:before="40"/>
      </w:pPr>
      <w:r>
        <w:rPr>
          <w:rFonts w:ascii="Arial" w:cs="Arial" w:eastAsia="Arial" w:hAnsi="Arial"/>
          <w:b w:val="false"/>
          <w:bCs w:val="false"/>
          <w:sz w:val="22"/>
          <w:szCs w:val="22"/>
        </w:rPr>
        <w:t xml:space="preserve">Operates AI, analytics, or technology platforms that process ePHI on the Organization's behalf.</w:t>
      </w:r>
    </w:p>
    <w:p>
      <w:pPr>
        <w:spacing w:after="0" w:before="60"/>
      </w:pPr>
      <w:r>
        <w:t xml:space="preserve"/>
      </w:r>
    </w:p>
    <w:p>
      <w:pPr>
        <w:spacing w:after="100" w:before="60"/>
      </w:pPr>
      <w:r>
        <w:rPr>
          <w:rFonts w:ascii="Arial" w:cs="Arial" w:eastAsia="Arial" w:hAnsi="Arial"/>
          <w:sz w:val="22"/>
          <w:szCs w:val="22"/>
        </w:rPr>
        <w:t xml:space="preserve">The following are NOT business associates: workforce members acting within their employment duties; covered entities receiving PHI for treatment/payment/operations; conduit providers that transmit but do not access or store PHI (e.g., internet service providers with no PHI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i</w:t>
            </w:r>
          </w:p>
        </w:tc>
        <w:tc>
          <w:tcPr>
            <w:tcW w:type="dxa" w:w="86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20"/>
            </w:tcMar>
          </w:tcPr>
          <w:p>
            <w:r>
              <w:rPr>
                <w:rFonts w:ascii="Arial" w:cs="Arial" w:eastAsia="Arial" w:hAnsi="Arial"/>
                <w:b/>
                <w:bCs/>
                <w:color w:val="1F4E79"/>
                <w:sz w:val="22"/>
                <w:szCs w:val="22"/>
              </w:rPr>
              <w:t xml:space="preserve">AI Vendors as Business Associates</w:t>
            </w:r>
          </w:p>
          <w:p>
            <w:pPr>
              <w:spacing w:before="40"/>
            </w:pPr>
            <w:r>
              <w:rPr>
                <w:rFonts w:ascii="Arial" w:cs="Arial" w:eastAsia="Arial" w:hAnsi="Arial"/>
                <w:sz w:val="20"/>
                <w:szCs w:val="20"/>
              </w:rPr>
              <w:t xml:space="preserve">AI tool vendors that process ePHI on behalf of the Organization are business associates and must execute a BAA before use. No AI platform may be used with ePHI without an executed BAA on file. See AI Acceptable Use Policy (AI-001).</w:t>
            </w:r>
          </w:p>
        </w:tc>
      </w:tr>
    </w:tbl>
    <w:p>
      <w:pPr>
        <w:pStyle w:val="Heading1"/>
        <w:spacing w:after="120" w:before="360"/>
      </w:pPr>
      <w:r>
        <w:rPr>
          <w:rFonts w:ascii="Arial" w:cs="Arial" w:eastAsia="Arial" w:hAnsi="Arial"/>
          <w:b/>
          <w:bCs/>
          <w:color w:val="1F4E79"/>
          <w:sz w:val="32"/>
          <w:szCs w:val="32"/>
        </w:rPr>
        <w:t xml:space="preserve">5. Business Associate Agreement Requirements</w:t>
      </w:r>
    </w:p>
    <w:p>
      <w:pPr>
        <w:pStyle w:val="Heading2"/>
        <w:spacing w:after="80" w:before="240"/>
      </w:pPr>
      <w:r>
        <w:rPr>
          <w:rFonts w:ascii="Arial" w:cs="Arial" w:eastAsia="Arial" w:hAnsi="Arial"/>
          <w:b/>
          <w:bCs/>
          <w:color w:val="2E75B6"/>
          <w:sz w:val="26"/>
          <w:szCs w:val="26"/>
        </w:rPr>
        <w:t xml:space="preserve">5.1  When a BAA Is Required</w:t>
      </w:r>
    </w:p>
    <w:p>
      <w:pPr>
        <w:spacing w:after="100" w:before="60"/>
      </w:pPr>
      <w:r>
        <w:rPr>
          <w:rFonts w:ascii="Arial" w:cs="Arial" w:eastAsia="Arial" w:hAnsi="Arial"/>
          <w:sz w:val="22"/>
          <w:szCs w:val="22"/>
        </w:rPr>
        <w:t xml:space="preserve">A BAA must be executed before any PHI is shared with or accessible to a business associate. Sharing PHI with a vendor without an executed BAA is a HIPAA violation and a breach of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66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20"/>
            </w:tcMar>
          </w:tcPr>
          <w:p>
            <w:r>
              <w:rPr>
                <w:rFonts w:ascii="Arial" w:cs="Arial" w:eastAsia="Arial" w:hAnsi="Arial"/>
                <w:b/>
                <w:bCs/>
                <w:color w:val="C00000"/>
                <w:sz w:val="22"/>
                <w:szCs w:val="22"/>
              </w:rPr>
              <w:t xml:space="preserve">No BAA = No PHI Access</w:t>
            </w:r>
          </w:p>
          <w:p>
            <w:pPr>
              <w:spacing w:before="40"/>
            </w:pPr>
            <w:r>
              <w:rPr>
                <w:rFonts w:ascii="Arial" w:cs="Arial" w:eastAsia="Arial" w:hAnsi="Arial"/>
                <w:sz w:val="20"/>
                <w:szCs w:val="20"/>
              </w:rPr>
              <w:t xml:space="preserve">No vendor, contractor, software platform, or AI tool may receive, access, or process PHI or ePHI without an executed, current Business Associate Agreement. This is a hard stop — not a formality to be completed retroactively.</w:t>
            </w:r>
          </w:p>
        </w:tc>
      </w:tr>
    </w:tbl>
    <w:p>
      <w:pPr>
        <w:pStyle w:val="Heading2"/>
        <w:spacing w:after="80" w:before="240"/>
      </w:pPr>
      <w:r>
        <w:rPr>
          <w:rFonts w:ascii="Arial" w:cs="Arial" w:eastAsia="Arial" w:hAnsi="Arial"/>
          <w:b/>
          <w:bCs/>
          <w:color w:val="2E75B6"/>
          <w:sz w:val="26"/>
          <w:szCs w:val="26"/>
        </w:rPr>
        <w:t xml:space="preserve">5.2  Required BAA Provisions</w:t>
      </w:r>
    </w:p>
    <w:p>
      <w:pPr>
        <w:spacing w:after="100" w:before="60"/>
      </w:pPr>
      <w:r>
        <w:rPr>
          <w:rFonts w:ascii="Arial" w:cs="Arial" w:eastAsia="Arial" w:hAnsi="Arial"/>
          <w:sz w:val="22"/>
          <w:szCs w:val="22"/>
        </w:rPr>
        <w:t xml:space="preserve">Every BAA must include at minimum the following provisions as required by 45 CFR §164.504(e):</w:t>
      </w:r>
    </w:p>
    <w:p>
      <w:pPr>
        <w:pStyle w:val="ListParagraph"/>
        <w:numPr>
          <w:ilvl w:val="0"/>
          <w:numId w:val="2"/>
        </w:numPr>
        <w:spacing w:after="40" w:before="40"/>
      </w:pPr>
      <w:r>
        <w:rPr>
          <w:rFonts w:ascii="Arial" w:cs="Arial" w:eastAsia="Arial" w:hAnsi="Arial"/>
          <w:b w:val="false"/>
          <w:bCs w:val="false"/>
          <w:sz w:val="22"/>
          <w:szCs w:val="22"/>
        </w:rPr>
        <w:t xml:space="preserve">Permitted uses and disclosures of PHI by the BA;</w:t>
      </w:r>
    </w:p>
    <w:p>
      <w:pPr>
        <w:pStyle w:val="ListParagraph"/>
        <w:numPr>
          <w:ilvl w:val="0"/>
          <w:numId w:val="2"/>
        </w:numPr>
        <w:spacing w:after="40" w:before="40"/>
      </w:pPr>
      <w:r>
        <w:rPr>
          <w:rFonts w:ascii="Arial" w:cs="Arial" w:eastAsia="Arial" w:hAnsi="Arial"/>
          <w:b w:val="false"/>
          <w:bCs w:val="false"/>
          <w:sz w:val="22"/>
          <w:szCs w:val="22"/>
        </w:rPr>
        <w:t xml:space="preserve">Prohibition on use or disclosure beyond what is permitted in the BAA or required by law;</w:t>
      </w:r>
    </w:p>
    <w:p>
      <w:pPr>
        <w:pStyle w:val="ListParagraph"/>
        <w:numPr>
          <w:ilvl w:val="0"/>
          <w:numId w:val="2"/>
        </w:numPr>
        <w:spacing w:after="40" w:before="40"/>
      </w:pPr>
      <w:r>
        <w:rPr>
          <w:rFonts w:ascii="Arial" w:cs="Arial" w:eastAsia="Arial" w:hAnsi="Arial"/>
          <w:b w:val="false"/>
          <w:bCs w:val="false"/>
          <w:sz w:val="22"/>
          <w:szCs w:val="22"/>
        </w:rPr>
        <w:t xml:space="preserve">Requirement to use appropriate safeguards to prevent unauthorized use/disclosure;</w:t>
      </w:r>
    </w:p>
    <w:p>
      <w:pPr>
        <w:pStyle w:val="ListParagraph"/>
        <w:numPr>
          <w:ilvl w:val="0"/>
          <w:numId w:val="2"/>
        </w:numPr>
        <w:spacing w:after="40" w:before="40"/>
      </w:pPr>
      <w:r>
        <w:rPr>
          <w:rFonts w:ascii="Arial" w:cs="Arial" w:eastAsia="Arial" w:hAnsi="Arial"/>
          <w:b w:val="false"/>
          <w:bCs w:val="false"/>
          <w:sz w:val="22"/>
          <w:szCs w:val="22"/>
        </w:rPr>
        <w:t xml:space="preserve">Obligation to report breaches, security incidents, and impermissible disclosures to the Organization;</w:t>
      </w:r>
    </w:p>
    <w:p>
      <w:pPr>
        <w:pStyle w:val="ListParagraph"/>
        <w:numPr>
          <w:ilvl w:val="0"/>
          <w:numId w:val="2"/>
        </w:numPr>
        <w:spacing w:after="40" w:before="40"/>
      </w:pPr>
      <w:r>
        <w:rPr>
          <w:rFonts w:ascii="Arial" w:cs="Arial" w:eastAsia="Arial" w:hAnsi="Arial"/>
          <w:b w:val="false"/>
          <w:bCs w:val="false"/>
          <w:sz w:val="22"/>
          <w:szCs w:val="22"/>
        </w:rPr>
        <w:t xml:space="preserve">Requirement to flow BAA obligations down to subcontractors;</w:t>
      </w:r>
    </w:p>
    <w:p>
      <w:pPr>
        <w:pStyle w:val="ListParagraph"/>
        <w:numPr>
          <w:ilvl w:val="0"/>
          <w:numId w:val="2"/>
        </w:numPr>
        <w:spacing w:after="40" w:before="40"/>
      </w:pPr>
      <w:r>
        <w:rPr>
          <w:rFonts w:ascii="Arial" w:cs="Arial" w:eastAsia="Arial" w:hAnsi="Arial"/>
          <w:b w:val="false"/>
          <w:bCs w:val="false"/>
          <w:sz w:val="22"/>
          <w:szCs w:val="22"/>
        </w:rPr>
        <w:t xml:space="preserve">Right of the Organization to terminate the agreement if the BA materially breaches the BAA;</w:t>
      </w:r>
    </w:p>
    <w:p>
      <w:pPr>
        <w:pStyle w:val="ListParagraph"/>
        <w:numPr>
          <w:ilvl w:val="0"/>
          <w:numId w:val="2"/>
        </w:numPr>
        <w:spacing w:after="40" w:before="40"/>
      </w:pPr>
      <w:r>
        <w:rPr>
          <w:rFonts w:ascii="Arial" w:cs="Arial" w:eastAsia="Arial" w:hAnsi="Arial"/>
          <w:b w:val="false"/>
          <w:bCs w:val="false"/>
          <w:sz w:val="22"/>
          <w:szCs w:val="22"/>
        </w:rPr>
        <w:t xml:space="preserve">Return or destruction of PHI upon termination of the agreement;</w:t>
      </w:r>
    </w:p>
    <w:p>
      <w:pPr>
        <w:pStyle w:val="ListParagraph"/>
        <w:numPr>
          <w:ilvl w:val="0"/>
          <w:numId w:val="2"/>
        </w:numPr>
        <w:spacing w:after="40" w:before="40"/>
      </w:pPr>
      <w:r>
        <w:rPr>
          <w:rFonts w:ascii="Arial" w:cs="Arial" w:eastAsia="Arial" w:hAnsi="Arial"/>
          <w:b w:val="false"/>
          <w:bCs w:val="false"/>
          <w:sz w:val="22"/>
          <w:szCs w:val="22"/>
        </w:rPr>
        <w:t xml:space="preserve">Compliance with the HIPAA Security Rule for ePHI.</w:t>
      </w:r>
    </w:p>
    <w:p>
      <w:pPr>
        <w:pStyle w:val="Heading2"/>
        <w:spacing w:after="80" w:before="240"/>
      </w:pPr>
      <w:r>
        <w:rPr>
          <w:rFonts w:ascii="Arial" w:cs="Arial" w:eastAsia="Arial" w:hAnsi="Arial"/>
          <w:b/>
          <w:bCs/>
          <w:color w:val="2E75B6"/>
          <w:sz w:val="26"/>
          <w:szCs w:val="26"/>
        </w:rPr>
        <w:t xml:space="preserve">5.3  Negotiation and Execution</w:t>
      </w:r>
    </w:p>
    <w:p>
      <w:pPr>
        <w:spacing w:after="100" w:before="60"/>
      </w:pPr>
      <w:r>
        <w:rPr>
          <w:rFonts w:ascii="Arial" w:cs="Arial" w:eastAsia="Arial" w:hAnsi="Arial"/>
          <w:sz w:val="22"/>
          <w:szCs w:val="22"/>
        </w:rPr>
        <w:t xml:space="preserve">BAAs must be reviewed by Legal Counsel or the Privacy Officer prior to execution. Vendor-provided BAA templates may be used only after review and approval. No department may independently execute a BAA without Compliance/Legal sign-off. Executed BAAs must be submitted to the Compliance department for entry into the BAA Registry.</w:t>
      </w:r>
    </w:p>
    <w:p>
      <w:pPr>
        <w:pStyle w:val="Heading2"/>
        <w:spacing w:after="80" w:before="240"/>
      </w:pPr>
      <w:r>
        <w:rPr>
          <w:rFonts w:ascii="Arial" w:cs="Arial" w:eastAsia="Arial" w:hAnsi="Arial"/>
          <w:b/>
          <w:bCs/>
          <w:color w:val="2E75B6"/>
          <w:sz w:val="26"/>
          <w:szCs w:val="26"/>
        </w:rPr>
        <w:t xml:space="preserve">5.4  BAA Registry</w:t>
      </w:r>
    </w:p>
    <w:p>
      <w:pPr>
        <w:spacing w:after="100" w:before="60"/>
      </w:pPr>
      <w:r>
        <w:rPr>
          <w:rFonts w:ascii="Arial" w:cs="Arial" w:eastAsia="Arial" w:hAnsi="Arial"/>
          <w:sz w:val="22"/>
          <w:szCs w:val="22"/>
        </w:rPr>
        <w:t xml:space="preserve">The Compliance department maintains a centralized BAA Registry containing all active and expired BAAs. The registry includes: vendor name, service description, effective date, expiration/renewal date, and responsible internal contact. The registry is reviewed and reconciled against the active vendor list at least annually.</w:t>
      </w:r>
    </w:p>
    <w:p>
      <w:pPr>
        <w:pStyle w:val="Heading1"/>
        <w:spacing w:after="120" w:before="360"/>
      </w:pPr>
      <w:r>
        <w:rPr>
          <w:rFonts w:ascii="Arial" w:cs="Arial" w:eastAsia="Arial" w:hAnsi="Arial"/>
          <w:b/>
          <w:bCs/>
          <w:color w:val="1F4E79"/>
          <w:sz w:val="32"/>
          <w:szCs w:val="32"/>
        </w:rPr>
        <w:t xml:space="preserve">6. Vendor Risk Assessment</w:t>
      </w:r>
    </w:p>
    <w:p>
      <w:pPr>
        <w:spacing w:after="100" w:before="60"/>
      </w:pPr>
      <w:r>
        <w:rPr>
          <w:rFonts w:ascii="Arial" w:cs="Arial" w:eastAsia="Arial" w:hAnsi="Arial"/>
          <w:sz w:val="22"/>
          <w:szCs w:val="22"/>
        </w:rPr>
        <w:t xml:space="preserve">Before entering into a new business associate relationship involving ePHI, the Organization must conduct a Vendor Risk Assessment to evaluate:</w:t>
      </w:r>
    </w:p>
    <w:p>
      <w:pPr>
        <w:pStyle w:val="ListParagraph"/>
        <w:numPr>
          <w:ilvl w:val="0"/>
          <w:numId w:val="2"/>
        </w:numPr>
        <w:spacing w:after="40" w:before="40"/>
      </w:pPr>
      <w:r>
        <w:rPr>
          <w:rFonts w:ascii="Arial" w:cs="Arial" w:eastAsia="Arial" w:hAnsi="Arial"/>
          <w:b w:val="false"/>
          <w:bCs w:val="false"/>
          <w:sz w:val="22"/>
          <w:szCs w:val="22"/>
        </w:rPr>
        <w:t xml:space="preserve">The vendor's security policies and practices (including data encryption, access controls, audit logging, and incident response);</w:t>
      </w:r>
    </w:p>
    <w:p>
      <w:pPr>
        <w:pStyle w:val="ListParagraph"/>
        <w:numPr>
          <w:ilvl w:val="0"/>
          <w:numId w:val="2"/>
        </w:numPr>
        <w:spacing w:after="40" w:before="40"/>
      </w:pPr>
      <w:r>
        <w:rPr>
          <w:rFonts w:ascii="Arial" w:cs="Arial" w:eastAsia="Arial" w:hAnsi="Arial"/>
          <w:b w:val="false"/>
          <w:bCs w:val="false"/>
          <w:sz w:val="22"/>
          <w:szCs w:val="22"/>
        </w:rPr>
        <w:t xml:space="preserve">Data hosting location and cloud provider security certifications (e.g., SOC 2, HITRUST, ISO 27001);</w:t>
      </w:r>
    </w:p>
    <w:p>
      <w:pPr>
        <w:pStyle w:val="ListParagraph"/>
        <w:numPr>
          <w:ilvl w:val="0"/>
          <w:numId w:val="2"/>
        </w:numPr>
        <w:spacing w:after="40" w:before="40"/>
      </w:pPr>
      <w:r>
        <w:rPr>
          <w:rFonts w:ascii="Arial" w:cs="Arial" w:eastAsia="Arial" w:hAnsi="Arial"/>
          <w:b w:val="false"/>
          <w:bCs w:val="false"/>
          <w:sz w:val="22"/>
          <w:szCs w:val="22"/>
        </w:rPr>
        <w:t xml:space="preserve">Data retention, backup, and destruction practices;</w:t>
      </w:r>
    </w:p>
    <w:p>
      <w:pPr>
        <w:pStyle w:val="ListParagraph"/>
        <w:numPr>
          <w:ilvl w:val="0"/>
          <w:numId w:val="2"/>
        </w:numPr>
        <w:spacing w:after="40" w:before="40"/>
      </w:pPr>
      <w:r>
        <w:rPr>
          <w:rFonts w:ascii="Arial" w:cs="Arial" w:eastAsia="Arial" w:hAnsi="Arial"/>
          <w:b w:val="false"/>
          <w:bCs w:val="false"/>
          <w:sz w:val="22"/>
          <w:szCs w:val="22"/>
        </w:rPr>
        <w:t xml:space="preserve">Breach history and incident response capabilities;</w:t>
      </w:r>
    </w:p>
    <w:p>
      <w:pPr>
        <w:pStyle w:val="ListParagraph"/>
        <w:numPr>
          <w:ilvl w:val="0"/>
          <w:numId w:val="2"/>
        </w:numPr>
        <w:spacing w:after="40" w:before="40"/>
      </w:pPr>
      <w:r>
        <w:rPr>
          <w:rFonts w:ascii="Arial" w:cs="Arial" w:eastAsia="Arial" w:hAnsi="Arial"/>
          <w:b w:val="false"/>
          <w:bCs w:val="false"/>
          <w:sz w:val="22"/>
          <w:szCs w:val="22"/>
        </w:rPr>
        <w:t xml:space="preserve">Subcontractor management and BAA flow-down practices;</w:t>
      </w:r>
    </w:p>
    <w:p>
      <w:pPr>
        <w:pStyle w:val="ListParagraph"/>
        <w:numPr>
          <w:ilvl w:val="0"/>
          <w:numId w:val="2"/>
        </w:numPr>
        <w:spacing w:after="40" w:before="40"/>
      </w:pPr>
      <w:r>
        <w:rPr>
          <w:rFonts w:ascii="Arial" w:cs="Arial" w:eastAsia="Arial" w:hAnsi="Arial"/>
          <w:b w:val="false"/>
          <w:bCs w:val="false"/>
          <w:sz w:val="22"/>
          <w:szCs w:val="22"/>
        </w:rPr>
        <w:t xml:space="preserve">For AI vendors: data training practices, whether PHI may be used to train models, and contractual prohibitions on model training with PHI.</w:t>
      </w:r>
    </w:p>
    <w:p>
      <w:pPr>
        <w:spacing w:after="0" w:before="60"/>
      </w:pPr>
      <w:r>
        <w:t xml:space="preserve"/>
      </w:r>
    </w:p>
    <w:p>
      <w:pPr>
        <w:spacing w:after="100" w:before="60"/>
      </w:pPr>
      <w:r>
        <w:rPr>
          <w:rFonts w:ascii="Arial" w:cs="Arial" w:eastAsia="Arial" w:hAnsi="Arial"/>
          <w:sz w:val="22"/>
          <w:szCs w:val="22"/>
        </w:rPr>
        <w:t xml:space="preserve">Risk Assessment findings must be documented. Vendors with significant unmitigated risks must not be onboarded until risks are resolved or accepted at the appropriate organizational level. Annual re-assessment is required for high-risk or high-volume vendors.</w:t>
      </w:r>
    </w:p>
    <w:p>
      <w:pPr>
        <w:pStyle w:val="Heading1"/>
        <w:spacing w:after="120" w:before="360"/>
      </w:pPr>
      <w:r>
        <w:rPr>
          <w:rFonts w:ascii="Arial" w:cs="Arial" w:eastAsia="Arial" w:hAnsi="Arial"/>
          <w:b/>
          <w:bCs/>
          <w:color w:val="1F4E79"/>
          <w:sz w:val="32"/>
          <w:szCs w:val="32"/>
        </w:rPr>
        <w:t xml:space="preserve">7. Ongoing Vendor Oversight</w:t>
      </w:r>
    </w:p>
    <w:p>
      <w:pPr>
        <w:pStyle w:val="Heading2"/>
        <w:spacing w:after="80" w:before="240"/>
      </w:pPr>
      <w:r>
        <w:rPr>
          <w:rFonts w:ascii="Arial" w:cs="Arial" w:eastAsia="Arial" w:hAnsi="Arial"/>
          <w:b/>
          <w:bCs/>
          <w:color w:val="2E75B6"/>
          <w:sz w:val="26"/>
          <w:szCs w:val="26"/>
        </w:rPr>
        <w:t xml:space="preserve">7.1  Annual Review</w:t>
      </w:r>
    </w:p>
    <w:p>
      <w:pPr>
        <w:spacing w:after="100" w:before="60"/>
      </w:pPr>
      <w:r>
        <w:rPr>
          <w:rFonts w:ascii="Arial" w:cs="Arial" w:eastAsia="Arial" w:hAnsi="Arial"/>
          <w:sz w:val="22"/>
          <w:szCs w:val="22"/>
        </w:rPr>
        <w:t xml:space="preserve">The Compliance department, with input from IT Security, will conduct an annual review of all active business associate relationships to verify:</w:t>
      </w:r>
    </w:p>
    <w:p>
      <w:pPr>
        <w:pStyle w:val="ListParagraph"/>
        <w:numPr>
          <w:ilvl w:val="0"/>
          <w:numId w:val="2"/>
        </w:numPr>
        <w:spacing w:after="40" w:before="40"/>
      </w:pPr>
      <w:r>
        <w:rPr>
          <w:rFonts w:ascii="Arial" w:cs="Arial" w:eastAsia="Arial" w:hAnsi="Arial"/>
          <w:b w:val="false"/>
          <w:bCs w:val="false"/>
          <w:sz w:val="22"/>
          <w:szCs w:val="22"/>
        </w:rPr>
        <w:t xml:space="preserve">BAA is current and not expired;</w:t>
      </w:r>
    </w:p>
    <w:p>
      <w:pPr>
        <w:pStyle w:val="ListParagraph"/>
        <w:numPr>
          <w:ilvl w:val="0"/>
          <w:numId w:val="2"/>
        </w:numPr>
        <w:spacing w:after="40" w:before="40"/>
      </w:pPr>
      <w:r>
        <w:rPr>
          <w:rFonts w:ascii="Arial" w:cs="Arial" w:eastAsia="Arial" w:hAnsi="Arial"/>
          <w:b w:val="false"/>
          <w:bCs w:val="false"/>
          <w:sz w:val="22"/>
          <w:szCs w:val="22"/>
        </w:rPr>
        <w:t xml:space="preserve">Vendor is still in use and the relationship remains appropriate;</w:t>
      </w:r>
    </w:p>
    <w:p>
      <w:pPr>
        <w:pStyle w:val="ListParagraph"/>
        <w:numPr>
          <w:ilvl w:val="0"/>
          <w:numId w:val="2"/>
        </w:numPr>
        <w:spacing w:after="40" w:before="40"/>
      </w:pPr>
      <w:r>
        <w:rPr>
          <w:rFonts w:ascii="Arial" w:cs="Arial" w:eastAsia="Arial" w:hAnsi="Arial"/>
          <w:b w:val="false"/>
          <w:bCs w:val="false"/>
          <w:sz w:val="22"/>
          <w:szCs w:val="22"/>
        </w:rPr>
        <w:t xml:space="preserve">No material changes to the vendor's services or data handling have occurred;</w:t>
      </w:r>
    </w:p>
    <w:p>
      <w:pPr>
        <w:pStyle w:val="ListParagraph"/>
        <w:numPr>
          <w:ilvl w:val="0"/>
          <w:numId w:val="2"/>
        </w:numPr>
        <w:spacing w:after="40" w:before="40"/>
      </w:pPr>
      <w:r>
        <w:rPr>
          <w:rFonts w:ascii="Arial" w:cs="Arial" w:eastAsia="Arial" w:hAnsi="Arial"/>
          <w:b w:val="false"/>
          <w:bCs w:val="false"/>
          <w:sz w:val="22"/>
          <w:szCs w:val="22"/>
        </w:rPr>
        <w:t xml:space="preserve">No unreported incidents or breaches by the vendor have occurred.</w:t>
      </w:r>
    </w:p>
    <w:p>
      <w:pPr>
        <w:pStyle w:val="Heading2"/>
        <w:spacing w:after="80" w:before="240"/>
      </w:pPr>
      <w:r>
        <w:rPr>
          <w:rFonts w:ascii="Arial" w:cs="Arial" w:eastAsia="Arial" w:hAnsi="Arial"/>
          <w:b/>
          <w:bCs/>
          <w:color w:val="2E75B6"/>
          <w:sz w:val="26"/>
          <w:szCs w:val="26"/>
        </w:rPr>
        <w:t xml:space="preserve">7.2  Incident and Breach Reporting by Business Associates</w:t>
      </w:r>
    </w:p>
    <w:p>
      <w:pPr>
        <w:spacing w:after="100" w:before="60"/>
      </w:pPr>
      <w:r>
        <w:rPr>
          <w:rFonts w:ascii="Arial" w:cs="Arial" w:eastAsia="Arial" w:hAnsi="Arial"/>
          <w:sz w:val="22"/>
          <w:szCs w:val="22"/>
        </w:rPr>
        <w:t xml:space="preserve">Business Associates must contractually be required to report any security incident, breach, or impermissible disclosure involving the Organization's PHI without unreasonable delay and no later than 60 calendar days of discovery. Upon receiving such notification, the Organization will assess the incident under the Breach Notification Policy (BN-001).</w:t>
      </w:r>
    </w:p>
    <w:p>
      <w:pPr>
        <w:pStyle w:val="Heading2"/>
        <w:spacing w:after="80" w:before="240"/>
      </w:pPr>
      <w:r>
        <w:rPr>
          <w:rFonts w:ascii="Arial" w:cs="Arial" w:eastAsia="Arial" w:hAnsi="Arial"/>
          <w:b/>
          <w:bCs/>
          <w:color w:val="2E75B6"/>
          <w:sz w:val="26"/>
          <w:szCs w:val="26"/>
        </w:rPr>
        <w:t xml:space="preserve">7.3  Subcontractor Management</w:t>
      </w:r>
    </w:p>
    <w:p>
      <w:pPr>
        <w:spacing w:after="100" w:before="60"/>
      </w:pPr>
      <w:r>
        <w:rPr>
          <w:rFonts w:ascii="Arial" w:cs="Arial" w:eastAsia="Arial" w:hAnsi="Arial"/>
          <w:sz w:val="22"/>
          <w:szCs w:val="22"/>
        </w:rPr>
        <w:t xml:space="preserve">Business Associates must flow BAA obligations to their subcontractors who handle PHI. The Organization may request evidence of subcontractor BAAs as part of vendor oversight. Business Associates remain liable for subcontractor compliance failures.</w:t>
      </w:r>
    </w:p>
    <w:p>
      <w:pPr>
        <w:pStyle w:val="Heading1"/>
        <w:spacing w:after="120" w:before="360"/>
      </w:pPr>
      <w:r>
        <w:rPr>
          <w:rFonts w:ascii="Arial" w:cs="Arial" w:eastAsia="Arial" w:hAnsi="Arial"/>
          <w:b/>
          <w:bCs/>
          <w:color w:val="1F4E79"/>
          <w:sz w:val="32"/>
          <w:szCs w:val="32"/>
        </w:rPr>
        <w:t xml:space="preserve">8. Vendor Termination</w:t>
      </w:r>
    </w:p>
    <w:p>
      <w:pPr>
        <w:spacing w:after="100" w:before="60"/>
      </w:pPr>
      <w:r>
        <w:rPr>
          <w:rFonts w:ascii="Arial" w:cs="Arial" w:eastAsia="Arial" w:hAnsi="Arial"/>
          <w:sz w:val="22"/>
          <w:szCs w:val="22"/>
        </w:rPr>
        <w:t xml:space="preserve">When a vendor relationship ends, the following steps must be completed:</w:t>
      </w:r>
    </w:p>
    <w:p>
      <w:pPr>
        <w:pStyle w:val="ListParagraph"/>
        <w:numPr>
          <w:ilvl w:val="0"/>
          <w:numId w:val="3"/>
        </w:numPr>
        <w:spacing w:after="40" w:before="40"/>
      </w:pPr>
      <w:r>
        <w:rPr>
          <w:rFonts w:ascii="Arial" w:cs="Arial" w:eastAsia="Arial" w:hAnsi="Arial"/>
          <w:b w:val="false"/>
          <w:bCs w:val="false"/>
          <w:sz w:val="22"/>
          <w:szCs w:val="22"/>
        </w:rPr>
        <w:t xml:space="preserve">Revoke all vendor access to Organization systems, networks, and ePHI at or before the contract end date;</w:t>
      </w:r>
    </w:p>
    <w:p>
      <w:pPr>
        <w:pStyle w:val="ListParagraph"/>
        <w:numPr>
          <w:ilvl w:val="0"/>
          <w:numId w:val="3"/>
        </w:numPr>
        <w:spacing w:after="40" w:before="40"/>
      </w:pPr>
      <w:r>
        <w:rPr>
          <w:rFonts w:ascii="Arial" w:cs="Arial" w:eastAsia="Arial" w:hAnsi="Arial"/>
          <w:b w:val="false"/>
          <w:bCs w:val="false"/>
          <w:sz w:val="22"/>
          <w:szCs w:val="22"/>
        </w:rPr>
        <w:t xml:space="preserve">Confirm destruction or return of PHI per the BAA terms and request written certification;</w:t>
      </w:r>
    </w:p>
    <w:p>
      <w:pPr>
        <w:pStyle w:val="ListParagraph"/>
        <w:numPr>
          <w:ilvl w:val="0"/>
          <w:numId w:val="3"/>
        </w:numPr>
        <w:spacing w:after="40" w:before="40"/>
      </w:pPr>
      <w:r>
        <w:rPr>
          <w:rFonts w:ascii="Arial" w:cs="Arial" w:eastAsia="Arial" w:hAnsi="Arial"/>
          <w:b w:val="false"/>
          <w:bCs w:val="false"/>
          <w:sz w:val="22"/>
          <w:szCs w:val="22"/>
        </w:rPr>
        <w:t xml:space="preserve">Archive the executed BAA and termination documentation in the BAA Registry;</w:t>
      </w:r>
    </w:p>
    <w:p>
      <w:pPr>
        <w:pStyle w:val="ListParagraph"/>
        <w:numPr>
          <w:ilvl w:val="0"/>
          <w:numId w:val="3"/>
        </w:numPr>
        <w:spacing w:after="40" w:before="40"/>
      </w:pPr>
      <w:r>
        <w:rPr>
          <w:rFonts w:ascii="Arial" w:cs="Arial" w:eastAsia="Arial" w:hAnsi="Arial"/>
          <w:b w:val="false"/>
          <w:bCs w:val="false"/>
          <w:sz w:val="22"/>
          <w:szCs w:val="22"/>
        </w:rPr>
        <w:t xml:space="preserve">Update the active vendor list and remove from approved vendor registry.</w:t>
      </w:r>
    </w:p>
    <w:p>
      <w:pPr>
        <w:spacing w:after="0" w:before="60"/>
      </w:pPr>
      <w:r>
        <w:t xml:space="preserve"/>
      </w:r>
    </w:p>
    <w:p>
      <w:pPr>
        <w:spacing w:after="100" w:before="60"/>
      </w:pPr>
      <w:r>
        <w:rPr>
          <w:rFonts w:ascii="Arial" w:cs="Arial" w:eastAsia="Arial" w:hAnsi="Arial"/>
          <w:sz w:val="22"/>
          <w:szCs w:val="22"/>
        </w:rPr>
        <w:t xml:space="preserve">If termination is due to a material breach of the BAA, the Privacy Officer must assess whether a HIPAA breach report to HHS is required.</w:t>
      </w:r>
    </w:p>
    <w:p>
      <w:pPr>
        <w:pStyle w:val="Heading1"/>
        <w:spacing w:after="120" w:before="360"/>
      </w:pPr>
      <w:r>
        <w:rPr>
          <w:rFonts w:ascii="Arial" w:cs="Arial" w:eastAsia="Arial" w:hAnsi="Arial"/>
          <w:b/>
          <w:bCs/>
          <w:color w:val="1F4E79"/>
          <w:sz w:val="32"/>
          <w:szCs w:val="32"/>
        </w:rPr>
        <w:t xml:space="preserve">9. Procurement Integration</w:t>
      </w:r>
    </w:p>
    <w:p>
      <w:pPr>
        <w:spacing w:after="100" w:before="60"/>
      </w:pPr>
      <w:r>
        <w:rPr>
          <w:rFonts w:ascii="Arial" w:cs="Arial" w:eastAsia="Arial" w:hAnsi="Arial"/>
          <w:sz w:val="22"/>
          <w:szCs w:val="22"/>
        </w:rPr>
        <w:t xml:space="preserve">Procurement and contracting processes must include a mandatory HIPAA/BAA checkpoint. No contract for services involving PHI access may be executed without Compliance clearance confirming that a BAA is in place or that a BAA is not required. Compliance sign-off must be documented in the contract file.</w:t>
      </w:r>
    </w:p>
    <w:p>
      <w:pPr>
        <w:pStyle w:val="Heading1"/>
        <w:spacing w:after="120" w:before="360"/>
      </w:pPr>
      <w:r>
        <w:rPr>
          <w:rFonts w:ascii="Arial" w:cs="Arial" w:eastAsia="Arial" w:hAnsi="Arial"/>
          <w:b/>
          <w:bCs/>
          <w:color w:val="1F4E79"/>
          <w:sz w:val="32"/>
          <w:szCs w:val="32"/>
        </w:rPr>
        <w:t xml:space="preserve">10. Related Policies</w:t>
      </w:r>
    </w:p>
    <w:p>
      <w:pPr>
        <w:pStyle w:val="ListParagraph"/>
        <w:numPr>
          <w:ilvl w:val="0"/>
          <w:numId w:val="2"/>
        </w:numPr>
        <w:spacing w:after="40" w:before="40"/>
      </w:pPr>
      <w:r>
        <w:rPr>
          <w:rFonts w:ascii="Arial" w:cs="Arial" w:eastAsia="Arial" w:hAnsi="Arial"/>
          <w:b w:val="false"/>
          <w:bCs w:val="false"/>
          <w:sz w:val="22"/>
          <w:szCs w:val="22"/>
        </w:rPr>
        <w:t xml:space="preserve">HIPAA Privacy Policy (PRIV-001)</w:t>
      </w:r>
    </w:p>
    <w:p>
      <w:pPr>
        <w:pStyle w:val="ListParagraph"/>
        <w:numPr>
          <w:ilvl w:val="0"/>
          <w:numId w:val="2"/>
        </w:numPr>
        <w:spacing w:after="40" w:before="40"/>
      </w:pPr>
      <w:r>
        <w:rPr>
          <w:rFonts w:ascii="Arial" w:cs="Arial" w:eastAsia="Arial" w:hAnsi="Arial"/>
          <w:b w:val="false"/>
          <w:bCs w:val="false"/>
          <w:sz w:val="22"/>
          <w:szCs w:val="22"/>
        </w:rPr>
        <w:t xml:space="preserve">HIPAA Security Policy (SEC-001)</w:t>
      </w:r>
    </w:p>
    <w:p>
      <w:pPr>
        <w:pStyle w:val="ListParagraph"/>
        <w:numPr>
          <w:ilvl w:val="0"/>
          <w:numId w:val="2"/>
        </w:numPr>
        <w:spacing w:after="40" w:before="40"/>
      </w:pPr>
      <w:r>
        <w:rPr>
          <w:rFonts w:ascii="Arial" w:cs="Arial" w:eastAsia="Arial" w:hAnsi="Arial"/>
          <w:b w:val="false"/>
          <w:bCs w:val="false"/>
          <w:sz w:val="22"/>
          <w:szCs w:val="22"/>
        </w:rPr>
        <w:t xml:space="preserve">Breach Notification Policy (BN-001)</w:t>
      </w:r>
    </w:p>
    <w:p>
      <w:pPr>
        <w:pStyle w:val="ListParagraph"/>
        <w:numPr>
          <w:ilvl w:val="0"/>
          <w:numId w:val="2"/>
        </w:numPr>
        <w:spacing w:after="40" w:before="40"/>
      </w:pPr>
      <w:r>
        <w:rPr>
          <w:rFonts w:ascii="Arial" w:cs="Arial" w:eastAsia="Arial" w:hAnsi="Arial"/>
          <w:b w:val="false"/>
          <w:bCs w:val="false"/>
          <w:sz w:val="22"/>
          <w:szCs w:val="22"/>
        </w:rPr>
        <w:t xml:space="preserve">Information Security Policy (IS-001)</w:t>
      </w:r>
    </w:p>
    <w:p>
      <w:pPr>
        <w:pStyle w:val="ListParagraph"/>
        <w:numPr>
          <w:ilvl w:val="0"/>
          <w:numId w:val="2"/>
        </w:numPr>
        <w:spacing w:after="40" w:before="40"/>
      </w:pPr>
      <w:r>
        <w:rPr>
          <w:rFonts w:ascii="Arial" w:cs="Arial" w:eastAsia="Arial" w:hAnsi="Arial"/>
          <w:b w:val="false"/>
          <w:bCs w:val="false"/>
          <w:sz w:val="22"/>
          <w:szCs w:val="22"/>
        </w:rPr>
        <w:t xml:space="preserve">AI Acceptable Use Policy (AI-001)</w:t>
      </w:r>
    </w:p>
    <w:p>
      <w:pPr>
        <w:spacing w:after="0" w:before="2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Revision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[INSERT DATE]</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[Author Name]</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Initial issuance</w:t>
            </w:r>
          </w:p>
        </w:tc>
      </w:tr>
    </w:tbl>
    <w:p>
      <w:pPr>
        <w:spacing w:after="0" w:before="120"/>
      </w:pPr>
      <w:r>
        <w:t xml:space="preserve"/>
      </w:r>
    </w:p>
    <w:p>
      <w:pPr>
        <w:spacing w:after="100" w:before="60"/>
      </w:pPr>
      <w:r>
        <w:rPr>
          <w:rFonts w:ascii="Arial" w:cs="Arial" w:eastAsia="Arial" w:hAnsi="Arial"/>
          <w:sz w:val="22"/>
          <w:szCs w:val="22"/>
        </w:rPr>
        <w:t xml:space="preserve">By signing below, the indicated individuals confirm they have reviewed and approved this policy: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40"/>
            </w:tcMar>
          </w:tcPr>
          <w:p>
            <w:pPr>
              <w:pBdr>
                <w:bottom w:val="single" w:color="595959" w:sz="4" w:space="1"/>
              </w:pBdr>
            </w:pPr>
            <w:r>
              <w:rPr>
                <w:rFonts w:ascii="Arial" w:cs="Arial" w:eastAsia="Arial" w:hAnsi="Arial"/>
                <w:color w:val="595959"/>
                <w:sz w:val="20"/>
                <w:szCs w:val="20"/>
              </w:rPr>
              <w:t xml:space="preserve">Privacy / Compliance Officer</w:t>
            </w:r>
          </w:p>
          <w:p>
            <w:pPr>
              <w:spacing w:after="0" w:before="60"/>
            </w:pPr>
            <w:r>
              <w:t xml:space="preserve"/>
            </w:r>
          </w:p>
          <w:p>
            <w:r>
              <w:rPr>
                <w:rFonts w:ascii="Arial" w:cs="Arial" w:eastAsia="Arial" w:hAnsi="Arial"/>
                <w:color w:val="595959"/>
                <w:sz w:val="18"/>
                <w:szCs w:val="18"/>
              </w:rPr>
              <w:t xml:space="preserve">Signature / Date</w:t>
            </w:r>
          </w:p>
        </w:tc>
        <w:tc>
          <w:tcPr>
            <w:tcW w:type="dxa" w:w="4680"/>
            <w:tcBorders>
              <w:top w:val="none" w:color="FFFFFF" w:sz="0"/>
              <w:left w:val="none" w:color="FFFFFF" w:sz="0"/>
              <w:bottom w:val="none" w:color="FFFFFF" w:sz="0"/>
              <w:right w:val="none" w:color="FFFFFF" w:sz="0"/>
            </w:tcBorders>
            <w:tcMar>
              <w:top w:type="dxa" w:w="80"/>
              <w:left w:type="dxa" w:w="240"/>
              <w:bottom w:type="dxa" w:w="80"/>
              <w:right w:type="dxa" w:w="0"/>
            </w:tcMar>
          </w:tcPr>
          <w:p>
            <w:pPr>
              <w:pBdr>
                <w:bottom w:val="single" w:color="595959" w:sz="4" w:space="1"/>
              </w:pBdr>
            </w:pPr>
            <w:r>
              <w:rPr>
                <w:rFonts w:ascii="Arial" w:cs="Arial" w:eastAsia="Arial" w:hAnsi="Arial"/>
                <w:color w:val="595959"/>
                <w:sz w:val="20"/>
                <w:szCs w:val="20"/>
              </w:rPr>
              <w:t xml:space="preserve">Chief Executive Officer</w:t>
            </w:r>
          </w:p>
          <w:p>
            <w:pPr>
              <w:spacing w:after="0" w:before="60"/>
            </w:pPr>
            <w:r>
              <w:t xml:space="preserve"/>
            </w:r>
          </w:p>
          <w:p>
            <w:r>
              <w:rPr>
                <w:rFonts w:ascii="Arial" w:cs="Arial" w:eastAsia="Arial" w:hAnsi="Arial"/>
                <w:color w:val="595959"/>
                <w:sz w:val="18"/>
                <w:szCs w:val="18"/>
              </w:rPr>
              <w:t xml:space="preserve">Signature / Date</w:t>
            </w:r>
          </w:p>
        </w:tc>
      </w:tr>
    </w:tbl>
    <w:p>
      <w:pPr>
        <w:spacing w:after="0" w:before="200"/>
      </w:pPr>
      <w:r>
        <w:t xml:space="preserve"/>
      </w:r>
    </w:p>
    <w:p>
      <w:pPr>
        <w:pBdr>
          <w:bottom w:val="single" w:color="2E75B6" w:sz="4" w:space="1"/>
        </w:pBdr>
        <w:spacing w:after="160" w:before="160"/>
      </w:pPr>
      <w:r>
        <w:t xml:space="preserve"/>
      </w:r>
    </w:p>
    <w:p>
      <w:pPr>
        <w:spacing w:before="80"/>
        <w:jc w:val="center"/>
      </w:pPr>
      <w:r>
        <w:rPr>
          <w:rFonts w:ascii="Arial" w:cs="Arial" w:eastAsia="Arial" w:hAnsi="Arial"/>
          <w:color w:val="595959"/>
          <w:sz w:val="18"/>
          <w:szCs w:val="18"/>
        </w:rPr>
        <w:t xml:space="preserve">CONFIDENTIAL — FOR INTERNAL USE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95959"/>
        <w:sz w:val="18"/>
        <w:szCs w:val="18"/>
      </w:rPr>
      <w:t xml:space="preserve">Vendor &amp; Business Associate Management Policy (VND-001)  |  CONFIDENTIAL — FOR INTERNAL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2026-03-19T17:13:22.238Z</dcterms:created>
  <dcterms:modified xsi:type="dcterms:W3CDTF">2026-03-19T17:13:22.240Z</dcterms:modified>
</cp:coreProperties>
</file>

<file path=docProps/custom.xml><?xml version="1.0" encoding="utf-8"?>
<Properties xmlns="http://schemas.openxmlformats.org/officeDocument/2006/custom-properties" xmlns:vt="http://schemas.openxmlformats.org/officeDocument/2006/docPropsVTypes"/>
</file>