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jc w:val="center"/>
      </w:pPr>
      <w:r>
        <w:rPr>
          <w:rFonts w:ascii="Arial" w:cs="Arial" w:eastAsia="Arial" w:hAnsi="Arial"/>
          <w:b/>
          <w:bCs/>
          <w:color w:val="1F4E79"/>
          <w:sz w:val="64"/>
          <w:szCs w:val="64"/>
        </w:rPr>
        <w:t xml:space="preserve">Microsoft 365</w:t>
      </w:r>
    </w:p>
    <w:p>
      <w:pPr>
        <w:spacing w:before="80" w:after="0"/>
        <w:jc w:val="center"/>
      </w:pPr>
      <w:r>
        <w:rPr>
          <w:rFonts w:ascii="Arial" w:cs="Arial" w:eastAsia="Arial" w:hAnsi="Arial"/>
          <w:b/>
          <w:bCs/>
          <w:color w:val="2E75B6"/>
          <w:sz w:val="44"/>
          <w:szCs w:val="44"/>
        </w:rPr>
        <w:t xml:space="preserve">Zero Trust Security Implementation</w:t>
      </w:r>
    </w:p>
    <w:p>
      <w:pPr>
        <w:spacing w:before="120" w:after="0"/>
        <w:jc w:val="center"/>
      </w:pPr>
      <w:r>
        <w:rPr>
          <w:rFonts w:ascii="Arial" w:cs="Arial" w:eastAsia="Arial" w:hAnsi="Arial"/>
          <w:color w:val="555555"/>
          <w:sz w:val="28"/>
          <w:szCs w:val="28"/>
        </w:rPr>
        <w:t xml:space="preserve">Executive Strategy &amp; Project Plan</w:t>
      </w:r>
    </w:p>
    <w:p>
      <w:pPr>
        <w:spacing w:before="24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75B6" w:sz="1"/>
              <w:left w:val="single" w:color="2E75B6" w:sz="1"/>
              <w:bottom w:val="single" w:color="2E75B6" w:sz="1"/>
              <w:right w:val="single" w:color="2E75B6" w:sz="1"/>
            </w:tcBorders>
            <w:shd w:fill="D6E4F0" w:val="clear"/>
            <w:tcMar>
              <w:top w:type="dxa" w:w="160"/>
              <w:left w:type="dxa" w:w="240"/>
              <w:bottom w:type="dxa" w:w="160"/>
              <w:right w:type="dxa" w:w="240"/>
            </w:tcMar>
          </w:tcPr>
          <w:p>
            <w:pPr>
              <w:jc w:val="center"/>
            </w:pPr>
            <w:r>
              <w:rPr>
                <w:rFonts w:ascii="Arial" w:cs="Arial" w:eastAsia="Arial" w:hAnsi="Arial"/>
                <w:b/>
                <w:bCs/>
                <w:color w:val="1F4E79"/>
                <w:sz w:val="20"/>
                <w:szCs w:val="20"/>
              </w:rPr>
              <w:t xml:space="preserve">Prepared by: Versetal</w:t>
            </w:r>
          </w:p>
          <w:p>
            <w:pPr>
              <w:jc w:val="center"/>
            </w:pPr>
            <w:r>
              <w:rPr>
                <w:rFonts w:ascii="Arial" w:cs="Arial" w:eastAsia="Arial" w:hAnsi="Arial"/>
                <w:color w:val="555555"/>
                <w:sz w:val="20"/>
                <w:szCs w:val="20"/>
              </w:rPr>
              <w:t xml:space="preserve">Classification: Confidential</w:t>
            </w:r>
          </w:p>
          <w:p>
            <w:pPr>
              <w:jc w:val="center"/>
            </w:pPr>
            <w:r>
              <w:rPr>
                <w:rFonts w:ascii="Arial" w:cs="Arial" w:eastAsia="Arial" w:hAnsi="Arial"/>
                <w:color w:val="555555"/>
                <w:sz w:val="20"/>
                <w:szCs w:val="20"/>
              </w:rPr>
              <w:t xml:space="preserve">Version: 1.0</w:t>
            </w:r>
          </w:p>
        </w:tc>
      </w:tr>
    </w:tbl>
    <w:p>
      <w:pPr>
        <w:spacing w:before="400" w:after="0"/>
      </w:pPr>
      <w:r>
        <w:t xml:space="preserve"/>
      </w:r>
    </w:p>
    <w:p>
      <w:r>
        <w:br w:type="page"/>
      </w:r>
    </w:p>
    <w:p>
      <w:pPr>
        <w:pBdr>
          <w:bottom w:val="single" w:color="2E75B6" w:sz="6" w:space="4"/>
        </w:pBdr>
        <w:spacing w:before="360" w:after="120"/>
      </w:pPr>
      <w:r>
        <w:rPr>
          <w:rFonts w:ascii="Arial" w:cs="Arial" w:eastAsia="Arial" w:hAnsi="Arial"/>
          <w:b/>
          <w:bCs/>
          <w:color w:val="1F4E79"/>
          <w:sz w:val="36"/>
          <w:szCs w:val="36"/>
        </w:rPr>
        <w:t xml:space="preserve">Section 1: Executive Summary</w:t>
      </w:r>
    </w:p>
    <w:p>
      <w:pPr>
        <w:spacing w:before="80" w:after="0"/>
      </w:pPr>
      <w:r>
        <w:t xml:space="preserve"/>
      </w:r>
    </w:p>
    <w:p>
      <w:pPr>
        <w:spacing w:before="280" w:after="80"/>
      </w:pPr>
      <w:r>
        <w:rPr>
          <w:rFonts w:ascii="Arial" w:cs="Arial" w:eastAsia="Arial" w:hAnsi="Arial"/>
          <w:b/>
          <w:bCs/>
          <w:color w:val="2E75B6"/>
          <w:sz w:val="26"/>
          <w:szCs w:val="26"/>
        </w:rPr>
        <w:t xml:space="preserve">The Business Case for Zero Trust</w:t>
      </w:r>
    </w:p>
    <w:p>
      <w:pPr>
        <w:spacing w:before="60" w:after="60"/>
      </w:pPr>
      <w:r>
        <w:rPr>
          <w:rFonts w:ascii="Arial" w:cs="Arial" w:eastAsia="Arial" w:hAnsi="Arial"/>
          <w:color w:val="1A1A2E"/>
          <w:sz w:val="20"/>
          <w:szCs w:val="20"/>
        </w:rPr>
        <w:t xml:space="preserve">Traditional network perimeter security — the "castle and moat" model — is no longer sufficient. With workforces operating across managed devices, personal devices, remote locations, and third-party networks, the assumption that users inside the corporate network can be trusted by default represents a critical security gap.</w:t>
      </w:r>
    </w:p>
    <w:p>
      <w:pPr>
        <w:spacing w:before="60" w:after="60"/>
      </w:pPr>
      <w:r>
        <w:rPr>
          <w:rFonts w:ascii="Arial" w:cs="Arial" w:eastAsia="Arial" w:hAnsi="Arial"/>
          <w:color w:val="1A1A2E"/>
          <w:sz w:val="20"/>
          <w:szCs w:val="20"/>
        </w:rPr>
        <w:t xml:space="preserve">Microsoft 365 is the productivity backbone of your organization. It houses your most sensitive business assets: email, files, financial data, HR records, and collaboration spaces. Securing it through a Zero Trust model means every access request — regardless of where it originates — is verified before access is granted.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00"/>
              <w:left w:type="dxa" w:w="200"/>
              <w:bottom w:type="dxa" w:w="100"/>
              <w:right w:type="dxa" w:w="200"/>
            </w:tcMar>
          </w:tcPr>
          <w:p>
            <w:r>
              <w:rPr>
                <w:rFonts w:ascii="Arial" w:cs="Arial" w:eastAsia="Arial" w:hAnsi="Arial"/>
                <w:color w:val="1F4E79"/>
                <w:sz w:val="19"/>
                <w:szCs w:val="19"/>
              </w:rPr>
              <w:t xml:space="preserve">Zero Trust principle: "Never trust, always verify." No user, device, or application is trusted by default — even inside the corporate network. Every access request must be authenticated, authorized, and continuously validated.</w:t>
            </w:r>
          </w:p>
        </w:tc>
      </w:tr>
    </w:tbl>
    <w:p>
      <w:pPr>
        <w:spacing w:before="80" w:after="0"/>
      </w:pPr>
      <w:r>
        <w:t xml:space="preserve"/>
      </w:r>
    </w:p>
    <w:p>
      <w:pPr>
        <w:spacing w:before="280" w:after="80"/>
      </w:pPr>
      <w:r>
        <w:rPr>
          <w:rFonts w:ascii="Arial" w:cs="Arial" w:eastAsia="Arial" w:hAnsi="Arial"/>
          <w:b/>
          <w:bCs/>
          <w:color w:val="2E75B6"/>
          <w:sz w:val="26"/>
          <w:szCs w:val="26"/>
        </w:rPr>
        <w:t xml:space="preserve">What We Are Implementing</w:t>
      </w:r>
    </w:p>
    <w:p>
      <w:pPr>
        <w:spacing w:before="60" w:after="60"/>
      </w:pPr>
      <w:r>
        <w:rPr>
          <w:rFonts w:ascii="Arial" w:cs="Arial" w:eastAsia="Arial" w:hAnsi="Arial"/>
          <w:color w:val="1A1A2E"/>
          <w:sz w:val="20"/>
          <w:szCs w:val="20"/>
        </w:rPr>
        <w:t xml:space="preserve">This initiative implements a layered Zero Trust security model across M365, Entra ID (Azure AD), Microsoft Intune, and Microsoft Purview. The implementation is organized into four sequential phases spanning approximately 16 weeks: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000"/>
        <w:gridCol w:w="2660"/>
      </w:tblGrid>
      <w:tr>
        <w:tc>
          <w:tcPr>
            <w:tcW w:type="dxa" w:w="1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0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c>
          <w:tcPr>
            <w:tcW w:type="dxa" w:w="26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2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bCs/>
                <w:color w:val="1A1A2E"/>
                <w:sz w:val="18"/>
                <w:szCs w:val="18"/>
              </w:rPr>
              <w:t xml:space="preserve">1</w:t>
            </w:r>
          </w:p>
        </w:tc>
        <w:tc>
          <w:tcPr>
            <w:tcW w:type="dxa" w:w="25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bCs/>
                <w:color w:val="1A1A2E"/>
                <w:sz w:val="18"/>
                <w:szCs w:val="18"/>
              </w:rPr>
              <w:t xml:space="preserve">Foundation &amp; Identity Hardening</w:t>
            </w:r>
          </w:p>
        </w:tc>
        <w:tc>
          <w:tcPr>
            <w:tcW w:type="dxa" w:w="30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MFA enforcement, legacy auth block, PIM, Conditional Access baseline</w:t>
            </w:r>
          </w:p>
        </w:tc>
        <w:tc>
          <w:tcPr>
            <w:tcW w:type="dxa" w:w="266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Weeks 1–4</w:t>
            </w:r>
          </w:p>
        </w:tc>
      </w:tr>
      <w:tr>
        <w:tc>
          <w:tcPr>
            <w:tcW w:type="dxa" w:w="1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2</w:t>
            </w:r>
          </w:p>
        </w:tc>
        <w:tc>
          <w:tcPr>
            <w:tcW w:type="dxa" w:w="25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Device Compliance &amp; Endpoint Security</w:t>
            </w:r>
          </w:p>
        </w:tc>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Intune compliance policies, Windows Hello, ASR rules, Defender for Endpoint</w:t>
            </w:r>
          </w:p>
        </w:tc>
        <w:tc>
          <w:tcPr>
            <w:tcW w:type="dxa" w:w="26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Weeks 5–8</w:t>
            </w:r>
          </w:p>
        </w:tc>
      </w:tr>
      <w:tr>
        <w:tc>
          <w:tcPr>
            <w:tcW w:type="dxa" w:w="12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bCs/>
                <w:color w:val="1A1A2E"/>
                <w:sz w:val="18"/>
                <w:szCs w:val="18"/>
              </w:rPr>
              <w:t xml:space="preserve">3</w:t>
            </w:r>
          </w:p>
        </w:tc>
        <w:tc>
          <w:tcPr>
            <w:tcW w:type="dxa" w:w="25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bCs/>
                <w:color w:val="1A1A2E"/>
                <w:sz w:val="18"/>
                <w:szCs w:val="18"/>
              </w:rPr>
              <w:t xml:space="preserve">Data Protection &amp; App Security</w:t>
            </w:r>
          </w:p>
        </w:tc>
        <w:tc>
          <w:tcPr>
            <w:tcW w:type="dxa" w:w="30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Sensitivity labels, DLP, Defender for Cloud Apps, MAM/MDM policies</w:t>
            </w:r>
          </w:p>
        </w:tc>
        <w:tc>
          <w:tcPr>
            <w:tcW w:type="dxa" w:w="266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Weeks 9–12</w:t>
            </w:r>
          </w:p>
        </w:tc>
      </w:tr>
      <w:tr>
        <w:tc>
          <w:tcPr>
            <w:tcW w:type="dxa" w:w="1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4</w:t>
            </w:r>
          </w:p>
        </w:tc>
        <w:tc>
          <w:tcPr>
            <w:tcW w:type="dxa" w:w="25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Monitoring, Alerting &amp; Continuous Improvement</w:t>
            </w:r>
          </w:p>
        </w:tc>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Sentinel SIEM, Entra ID Protection, Secure Score optimization, runbooks</w:t>
            </w:r>
          </w:p>
        </w:tc>
        <w:tc>
          <w:tcPr>
            <w:tcW w:type="dxa" w:w="26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Weeks 13–16</w:t>
            </w:r>
          </w:p>
        </w:tc>
      </w:tr>
    </w:tbl>
    <w:p>
      <w:pPr>
        <w:spacing w:before="80" w:after="0"/>
      </w:pPr>
      <w:r>
        <w:t xml:space="preserve"/>
      </w:r>
    </w:p>
    <w:p>
      <w:pPr>
        <w:spacing w:before="280" w:after="80"/>
      </w:pPr>
      <w:r>
        <w:rPr>
          <w:rFonts w:ascii="Arial" w:cs="Arial" w:eastAsia="Arial" w:hAnsi="Arial"/>
          <w:b/>
          <w:bCs/>
          <w:color w:val="2E75B6"/>
          <w:sz w:val="26"/>
          <w:szCs w:val="26"/>
        </w:rPr>
        <w:t xml:space="preserve">Business Outcomes</w:t>
      </w:r>
    </w:p>
    <w:p>
      <w:pPr>
        <w:pStyle w:val="ListParagraph"/>
        <w:numPr>
          <w:ilvl w:val="0"/>
          <w:numId w:val="2"/>
        </w:numPr>
        <w:spacing w:before="40" w:after="40"/>
      </w:pPr>
      <w:r>
        <w:rPr>
          <w:rFonts w:ascii="Arial" w:cs="Arial" w:eastAsia="Arial" w:hAnsi="Arial"/>
          <w:color w:val="1A1A2E"/>
          <w:sz w:val="20"/>
          <w:szCs w:val="20"/>
        </w:rPr>
        <w:t xml:space="preserve">Significant reduction in risk of account compromise through MFA and phishing-resistant authentication</w:t>
      </w:r>
    </w:p>
    <w:p>
      <w:pPr>
        <w:pStyle w:val="ListParagraph"/>
        <w:numPr>
          <w:ilvl w:val="0"/>
          <w:numId w:val="2"/>
        </w:numPr>
        <w:spacing w:before="40" w:after="40"/>
      </w:pPr>
      <w:r>
        <w:rPr>
          <w:rFonts w:ascii="Arial" w:cs="Arial" w:eastAsia="Arial" w:hAnsi="Arial"/>
          <w:color w:val="1A1A2E"/>
          <w:sz w:val="20"/>
          <w:szCs w:val="20"/>
        </w:rPr>
        <w:t xml:space="preserve">Elimination of lateral movement risk by enforcing device compliance before granting data access</w:t>
      </w:r>
    </w:p>
    <w:p>
      <w:pPr>
        <w:pStyle w:val="ListParagraph"/>
        <w:numPr>
          <w:ilvl w:val="0"/>
          <w:numId w:val="2"/>
        </w:numPr>
        <w:spacing w:before="40" w:after="40"/>
      </w:pPr>
      <w:r>
        <w:rPr>
          <w:rFonts w:ascii="Arial" w:cs="Arial" w:eastAsia="Arial" w:hAnsi="Arial"/>
          <w:color w:val="1A1A2E"/>
          <w:sz w:val="20"/>
          <w:szCs w:val="20"/>
        </w:rPr>
        <w:t xml:space="preserve">Protection of sensitive data at rest and in transit using encryption and classification labels</w:t>
      </w:r>
    </w:p>
    <w:p>
      <w:pPr>
        <w:pStyle w:val="ListParagraph"/>
        <w:numPr>
          <w:ilvl w:val="0"/>
          <w:numId w:val="2"/>
        </w:numPr>
        <w:spacing w:before="40" w:after="40"/>
      </w:pPr>
      <w:r>
        <w:rPr>
          <w:rFonts w:ascii="Arial" w:cs="Arial" w:eastAsia="Arial" w:hAnsi="Arial"/>
          <w:color w:val="1A1A2E"/>
          <w:sz w:val="20"/>
          <w:szCs w:val="20"/>
        </w:rPr>
        <w:t xml:space="preserve">Real-time threat visibility through integrated SIEM and XDR monitoring</w:t>
      </w:r>
    </w:p>
    <w:p>
      <w:pPr>
        <w:pStyle w:val="ListParagraph"/>
        <w:numPr>
          <w:ilvl w:val="0"/>
          <w:numId w:val="2"/>
        </w:numPr>
        <w:spacing w:before="40" w:after="40"/>
      </w:pPr>
      <w:r>
        <w:rPr>
          <w:rFonts w:ascii="Arial" w:cs="Arial" w:eastAsia="Arial" w:hAnsi="Arial"/>
          <w:color w:val="1A1A2E"/>
          <w:sz w:val="20"/>
          <w:szCs w:val="20"/>
        </w:rPr>
        <w:t xml:space="preserve">Demonstrable compliance posture for cyber insurance, regulatory audits, and client due diligence</w:t>
      </w:r>
    </w:p>
    <w:p>
      <w:pPr>
        <w:pStyle w:val="ListParagraph"/>
        <w:numPr>
          <w:ilvl w:val="0"/>
          <w:numId w:val="2"/>
        </w:numPr>
        <w:spacing w:before="40" w:after="40"/>
      </w:pPr>
      <w:r>
        <w:rPr>
          <w:rFonts w:ascii="Arial" w:cs="Arial" w:eastAsia="Arial" w:hAnsi="Arial"/>
          <w:color w:val="1A1A2E"/>
          <w:sz w:val="20"/>
          <w:szCs w:val="20"/>
        </w:rPr>
        <w:t xml:space="preserve">Reduction of attack surface from legacy authentication protocols and unmanaged endpoints</w:t>
      </w:r>
    </w:p>
    <w:p>
      <w:pPr>
        <w:spacing w:before="80" w:after="0"/>
      </w:pPr>
      <w:r>
        <w:t xml:space="preserve"/>
      </w:r>
    </w:p>
    <w:p>
      <w:pPr>
        <w:spacing w:before="280" w:after="80"/>
      </w:pPr>
      <w:r>
        <w:rPr>
          <w:rFonts w:ascii="Arial" w:cs="Arial" w:eastAsia="Arial" w:hAnsi="Arial"/>
          <w:b/>
          <w:bCs/>
          <w:color w:val="2E75B6"/>
          <w:sz w:val="26"/>
          <w:szCs w:val="26"/>
        </w:rPr>
        <w:t xml:space="preserve">Investment &amp; Resource Requirements</w:t>
      </w:r>
    </w:p>
    <w:p>
      <w:pPr>
        <w:spacing w:before="60" w:after="60"/>
      </w:pPr>
      <w:r>
        <w:rPr>
          <w:rFonts w:ascii="Arial" w:cs="Arial" w:eastAsia="Arial" w:hAnsi="Arial"/>
          <w:color w:val="1A1A2E"/>
          <w:sz w:val="20"/>
          <w:szCs w:val="20"/>
        </w:rPr>
        <w:t xml:space="preserve">The primary investment is engineering time and licensing. The implementation does not require new hardware. Required licensing tiers are noted per phase. Where clients already have Microsoft 365 Business Premium or E3/E5, most capabilities are already included.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12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12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bCs/>
                <w:color w:val="1A1A2E"/>
                <w:sz w:val="18"/>
                <w:szCs w:val="18"/>
              </w:rPr>
              <w:t xml:space="preserve">Engineering effort</w:t>
            </w:r>
          </w:p>
        </w:tc>
        <w:tc>
          <w:tcPr>
            <w:tcW w:type="dxa" w:w="31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~120–160 hours total</w:t>
            </w:r>
          </w:p>
        </w:tc>
        <w:tc>
          <w:tcPr>
            <w:tcW w:type="dxa" w:w="31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Across 4 phases</w:t>
            </w:r>
          </w:p>
        </w:tc>
      </w:tr>
      <w:tr>
        <w:tc>
          <w:tcPr>
            <w:tcW w:type="dxa" w:w="31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M365 licensing</w:t>
            </w:r>
          </w:p>
        </w:tc>
        <w:tc>
          <w:tcPr>
            <w:tcW w:type="dxa" w:w="31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Business Premium or E3+</w:t>
            </w:r>
          </w:p>
        </w:tc>
        <w:tc>
          <w:tcPr>
            <w:tcW w:type="dxa" w:w="31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P2 features need AAD P2 / E5</w:t>
            </w:r>
          </w:p>
        </w:tc>
      </w:tr>
      <w:tr>
        <w:tc>
          <w:tcPr>
            <w:tcW w:type="dxa" w:w="31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bCs/>
                <w:color w:val="1A1A2E"/>
                <w:sz w:val="18"/>
                <w:szCs w:val="18"/>
              </w:rPr>
              <w:t xml:space="preserve">User communication</w:t>
            </w:r>
          </w:p>
        </w:tc>
        <w:tc>
          <w:tcPr>
            <w:tcW w:type="dxa" w:w="31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Change management comms</w:t>
            </w:r>
          </w:p>
        </w:tc>
        <w:tc>
          <w:tcPr>
            <w:tcW w:type="dxa" w:w="31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MFA rollout impacts all users</w:t>
            </w:r>
          </w:p>
        </w:tc>
      </w:tr>
      <w:tr>
        <w:tc>
          <w:tcPr>
            <w:tcW w:type="dxa" w:w="31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Training</w:t>
            </w:r>
          </w:p>
        </w:tc>
        <w:tc>
          <w:tcPr>
            <w:tcW w:type="dxa" w:w="31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 + end-user training</w:t>
            </w:r>
          </w:p>
        </w:tc>
        <w:tc>
          <w:tcPr>
            <w:tcW w:type="dxa" w:w="31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Phishing awareness recommended</w:t>
            </w:r>
          </w:p>
        </w:tc>
      </w:tr>
    </w:tbl>
    <w:p>
      <w:pPr>
        <w:spacing w:before="80" w:after="0"/>
      </w:pPr>
      <w:r>
        <w:t xml:space="preserve"/>
      </w:r>
    </w:p>
    <w:p>
      <w:pPr>
        <w:spacing w:before="280" w:after="80"/>
      </w:pPr>
      <w:r>
        <w:rPr>
          <w:rFonts w:ascii="Arial" w:cs="Arial" w:eastAsia="Arial" w:hAnsi="Arial"/>
          <w:b/>
          <w:bCs/>
          <w:color w:val="2E75B6"/>
          <w:sz w:val="26"/>
          <w:szCs w:val="26"/>
        </w:rPr>
        <w:t xml:space="preserve">Risk of Not Acting</w:t>
      </w:r>
    </w:p>
    <w:p>
      <w:pPr>
        <w:spacing w:before="60" w:after="60"/>
      </w:pPr>
      <w:r>
        <w:rPr>
          <w:rFonts w:ascii="Arial" w:cs="Arial" w:eastAsia="Arial" w:hAnsi="Arial"/>
          <w:color w:val="1A1A2E"/>
          <w:sz w:val="20"/>
          <w:szCs w:val="20"/>
        </w:rPr>
        <w:t xml:space="preserve">Organizations that do not enforce Zero Trust principles in M365 remain exposed to the following high-probability threats:</w:t>
      </w:r>
    </w:p>
    <w:p>
      <w:pPr>
        <w:pStyle w:val="ListParagraph"/>
        <w:numPr>
          <w:ilvl w:val="0"/>
          <w:numId w:val="2"/>
        </w:numPr>
        <w:spacing w:before="40" w:after="40"/>
      </w:pPr>
      <w:r>
        <w:rPr>
          <w:rFonts w:ascii="Arial" w:cs="Arial" w:eastAsia="Arial" w:hAnsi="Arial"/>
          <w:color w:val="1A1A2E"/>
          <w:sz w:val="20"/>
          <w:szCs w:val="20"/>
        </w:rPr>
        <w:t xml:space="preserve">Password spray and credential stuffing attacks against accounts without MFA</w:t>
      </w:r>
    </w:p>
    <w:p>
      <w:pPr>
        <w:pStyle w:val="ListParagraph"/>
        <w:numPr>
          <w:ilvl w:val="0"/>
          <w:numId w:val="2"/>
        </w:numPr>
        <w:spacing w:before="40" w:after="40"/>
      </w:pPr>
      <w:r>
        <w:rPr>
          <w:rFonts w:ascii="Arial" w:cs="Arial" w:eastAsia="Arial" w:hAnsi="Arial"/>
          <w:color w:val="1A1A2E"/>
          <w:sz w:val="20"/>
          <w:szCs w:val="20"/>
        </w:rPr>
        <w:t xml:space="preserve">Business Email Compromise (BEC) — the leading cause of cyber insurance claims</w:t>
      </w:r>
    </w:p>
    <w:p>
      <w:pPr>
        <w:pStyle w:val="ListParagraph"/>
        <w:numPr>
          <w:ilvl w:val="0"/>
          <w:numId w:val="2"/>
        </w:numPr>
        <w:spacing w:before="40" w:after="40"/>
      </w:pPr>
      <w:r>
        <w:rPr>
          <w:rFonts w:ascii="Arial" w:cs="Arial" w:eastAsia="Arial" w:hAnsi="Arial"/>
          <w:color w:val="1A1A2E"/>
          <w:sz w:val="20"/>
          <w:szCs w:val="20"/>
        </w:rPr>
        <w:t xml:space="preserve">Ransomware delivery via compromised M365 accounts and file shares</w:t>
      </w:r>
    </w:p>
    <w:p>
      <w:pPr>
        <w:pStyle w:val="ListParagraph"/>
        <w:numPr>
          <w:ilvl w:val="0"/>
          <w:numId w:val="2"/>
        </w:numPr>
        <w:spacing w:before="40" w:after="40"/>
      </w:pPr>
      <w:r>
        <w:rPr>
          <w:rFonts w:ascii="Arial" w:cs="Arial" w:eastAsia="Arial" w:hAnsi="Arial"/>
          <w:color w:val="1A1A2E"/>
          <w:sz w:val="20"/>
          <w:szCs w:val="20"/>
        </w:rPr>
        <w:t xml:space="preserve">Data exfiltration through unmanaged or non-compliant endpoints</w:t>
      </w:r>
    </w:p>
    <w:p>
      <w:pPr>
        <w:pStyle w:val="ListParagraph"/>
        <w:numPr>
          <w:ilvl w:val="0"/>
          <w:numId w:val="2"/>
        </w:numPr>
        <w:spacing w:before="40" w:after="40"/>
      </w:pPr>
      <w:r>
        <w:rPr>
          <w:rFonts w:ascii="Arial" w:cs="Arial" w:eastAsia="Arial" w:hAnsi="Arial"/>
          <w:color w:val="1A1A2E"/>
          <w:sz w:val="20"/>
          <w:szCs w:val="20"/>
        </w:rPr>
        <w:t xml:space="preserve">Regulatory exposure if sensitive client or employee data is inadequately protected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00"/>
              <w:left w:type="dxa" w:w="200"/>
              <w:bottom w:type="dxa" w:w="100"/>
              <w:right w:type="dxa" w:w="200"/>
            </w:tcMar>
          </w:tcPr>
          <w:p>
            <w:r>
              <w:rPr>
                <w:rFonts w:ascii="Arial" w:cs="Arial" w:eastAsia="Arial" w:hAnsi="Arial"/>
                <w:color w:val="1F4E79"/>
                <w:sz w:val="19"/>
                <w:szCs w:val="19"/>
              </w:rPr>
              <w:t xml:space="preserve">Microsoft reports that MFA alone blocks over 99.9% of automated identity attacks. Implementing Conditional Access with device compliance and risk-based policies reduces breach likelihood by an estimated 80% compared to password-only environments.</w:t>
            </w:r>
          </w:p>
        </w:tc>
      </w:tr>
    </w:tbl>
    <w:p>
      <w:pPr>
        <w:spacing w:before="80" w:after="0"/>
      </w:pPr>
      <w:r>
        <w:t xml:space="preserve"/>
      </w:r>
    </w:p>
    <w:p>
      <w:r>
        <w:br w:type="page"/>
      </w:r>
    </w:p>
    <w:p>
      <w:pPr>
        <w:pBdr>
          <w:bottom w:val="single" w:color="2E75B6" w:sz="6" w:space="4"/>
        </w:pBdr>
        <w:spacing w:before="360" w:after="120"/>
      </w:pPr>
      <w:r>
        <w:rPr>
          <w:rFonts w:ascii="Arial" w:cs="Arial" w:eastAsia="Arial" w:hAnsi="Arial"/>
          <w:b/>
          <w:bCs/>
          <w:color w:val="1F4E79"/>
          <w:sz w:val="36"/>
          <w:szCs w:val="36"/>
        </w:rPr>
        <w:t xml:space="preserve">Section 2: Project Plan &amp; Implementation Phases</w:t>
      </w:r>
    </w:p>
    <w:p>
      <w:pPr>
        <w:spacing w:before="80" w:after="0"/>
      </w:pPr>
      <w:r>
        <w:t xml:space="preserve"/>
      </w:r>
    </w:p>
    <w:p>
      <w:pPr>
        <w:spacing w:before="280" w:after="80"/>
      </w:pPr>
      <w:r>
        <w:rPr>
          <w:rFonts w:ascii="Arial" w:cs="Arial" w:eastAsia="Arial" w:hAnsi="Arial"/>
          <w:b/>
          <w:bCs/>
          <w:color w:val="2E75B6"/>
          <w:sz w:val="26"/>
          <w:szCs w:val="26"/>
        </w:rPr>
        <w:t xml:space="preserve">Phase 1: Foundation &amp; Identity Hardening  |  Weeks 1–4</w:t>
      </w:r>
    </w:p>
    <w:p>
      <w:pPr>
        <w:spacing w:before="60" w:after="60"/>
      </w:pPr>
      <w:r>
        <w:rPr>
          <w:rFonts w:ascii="Arial" w:cs="Arial" w:eastAsia="Arial" w:hAnsi="Arial"/>
          <w:color w:val="1A1A2E"/>
          <w:sz w:val="20"/>
          <w:szCs w:val="20"/>
        </w:rPr>
        <w:t xml:space="preserve">Phase 1 establishes the security foundation. Identity is the primary control plane in a cloud-first environment, and this phase ensures every account is verified before any access is permitted.</w:t>
      </w:r>
    </w:p>
    <w:p>
      <w:pPr>
        <w:spacing w:before="40" w:after="0"/>
      </w:pPr>
      <w:r>
        <w:t xml:space="preserve"/>
      </w:r>
    </w:p>
    <w:p>
      <w:pPr>
        <w:spacing w:before="200" w:after="60"/>
      </w:pPr>
      <w:r>
        <w:rPr>
          <w:rFonts w:ascii="Arial" w:cs="Arial" w:eastAsia="Arial" w:hAnsi="Arial"/>
          <w:b/>
          <w:bCs/>
          <w:color w:val="1F4E79"/>
          <w:sz w:val="22"/>
          <w:szCs w:val="22"/>
        </w:rPr>
        <w:t xml:space="preserve">Objectives</w:t>
      </w:r>
    </w:p>
    <w:p>
      <w:pPr>
        <w:pStyle w:val="ListParagraph"/>
        <w:numPr>
          <w:ilvl w:val="0"/>
          <w:numId w:val="2"/>
        </w:numPr>
        <w:spacing w:before="40" w:after="40"/>
      </w:pPr>
      <w:r>
        <w:rPr>
          <w:rFonts w:ascii="Arial" w:cs="Arial" w:eastAsia="Arial" w:hAnsi="Arial"/>
          <w:color w:val="1A1A2E"/>
          <w:sz w:val="20"/>
          <w:szCs w:val="20"/>
        </w:rPr>
        <w:t xml:space="preserve">Enforce MFA for all users via Conditional Access (not legacy per-user MFA)</w:t>
      </w:r>
    </w:p>
    <w:p>
      <w:pPr>
        <w:pStyle w:val="ListParagraph"/>
        <w:numPr>
          <w:ilvl w:val="0"/>
          <w:numId w:val="2"/>
        </w:numPr>
        <w:spacing w:before="40" w:after="40"/>
      </w:pPr>
      <w:r>
        <w:rPr>
          <w:rFonts w:ascii="Arial" w:cs="Arial" w:eastAsia="Arial" w:hAnsi="Arial"/>
          <w:color w:val="1A1A2E"/>
          <w:sz w:val="20"/>
          <w:szCs w:val="20"/>
        </w:rPr>
        <w:t xml:space="preserve">Block all legacy authentication protocols that bypass MFA</w:t>
      </w:r>
    </w:p>
    <w:p>
      <w:pPr>
        <w:pStyle w:val="ListParagraph"/>
        <w:numPr>
          <w:ilvl w:val="0"/>
          <w:numId w:val="2"/>
        </w:numPr>
        <w:spacing w:before="40" w:after="40"/>
      </w:pPr>
      <w:r>
        <w:rPr>
          <w:rFonts w:ascii="Arial" w:cs="Arial" w:eastAsia="Arial" w:hAnsi="Arial"/>
          <w:color w:val="1A1A2E"/>
          <w:sz w:val="20"/>
          <w:szCs w:val="20"/>
        </w:rPr>
        <w:t xml:space="preserve">Deploy Privileged Identity Management (PIM) to eliminate standing admin access</w:t>
      </w:r>
    </w:p>
    <w:p>
      <w:pPr>
        <w:pStyle w:val="ListParagraph"/>
        <w:numPr>
          <w:ilvl w:val="0"/>
          <w:numId w:val="2"/>
        </w:numPr>
        <w:spacing w:before="40" w:after="40"/>
      </w:pPr>
      <w:r>
        <w:rPr>
          <w:rFonts w:ascii="Arial" w:cs="Arial" w:eastAsia="Arial" w:hAnsi="Arial"/>
          <w:color w:val="1A1A2E"/>
          <w:sz w:val="20"/>
          <w:szCs w:val="20"/>
        </w:rPr>
        <w:t xml:space="preserve">Establish Conditional Access baseline policy stack</w:t>
      </w:r>
    </w:p>
    <w:p>
      <w:pPr>
        <w:pStyle w:val="ListParagraph"/>
        <w:numPr>
          <w:ilvl w:val="0"/>
          <w:numId w:val="2"/>
        </w:numPr>
        <w:spacing w:before="40" w:after="40"/>
      </w:pPr>
      <w:r>
        <w:rPr>
          <w:rFonts w:ascii="Arial" w:cs="Arial" w:eastAsia="Arial" w:hAnsi="Arial"/>
          <w:color w:val="1A1A2E"/>
          <w:sz w:val="20"/>
          <w:szCs w:val="20"/>
        </w:rPr>
        <w:t xml:space="preserve">Enforce phishing-resistant MFA (FIDO2 / Windows Hello) for all admin accounts</w:t>
      </w:r>
    </w:p>
    <w:p>
      <w:pPr>
        <w:pStyle w:val="ListParagraph"/>
        <w:numPr>
          <w:ilvl w:val="0"/>
          <w:numId w:val="2"/>
        </w:numPr>
        <w:spacing w:before="40" w:after="40"/>
      </w:pPr>
      <w:r>
        <w:rPr>
          <w:rFonts w:ascii="Arial" w:cs="Arial" w:eastAsia="Arial" w:hAnsi="Arial"/>
          <w:color w:val="1A1A2E"/>
          <w:sz w:val="20"/>
          <w:szCs w:val="20"/>
        </w:rPr>
        <w:t xml:space="preserve">Configure Entra ID Protection risk policies</w:t>
      </w:r>
    </w:p>
    <w:p>
      <w:pPr>
        <w:spacing w:before="40" w:after="0"/>
      </w:pPr>
      <w:r>
        <w:t xml:space="preserve"/>
      </w:r>
    </w:p>
    <w:p>
      <w:pPr>
        <w:spacing w:before="200" w:after="60"/>
      </w:pPr>
      <w:r>
        <w:rPr>
          <w:rFonts w:ascii="Arial" w:cs="Arial" w:eastAsia="Arial" w:hAnsi="Arial"/>
          <w:b/>
          <w:bCs/>
          <w:color w:val="1F4E79"/>
          <w:sz w:val="22"/>
          <w:szCs w:val="22"/>
        </w:rPr>
        <w:t xml:space="preserve">Key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680"/>
        <w:gridCol w:w="1680"/>
        <w:gridCol w:w="1320"/>
      </w:tblGrid>
      <w:t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32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License Req.</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Audit all admin accounts, remove standing GA roles</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1</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Any</w:t>
            </w:r>
          </w:p>
        </w:tc>
      </w:tr>
      <w:tr>
        <w:tc>
          <w:tcPr>
            <w:tcW w:type="dxa" w:w="4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Enable PIM for all privileged Entra roles</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AAD P2</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Deploy SSPR for all users</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1</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AAD P1</w:t>
            </w:r>
          </w:p>
        </w:tc>
      </w:tr>
      <w:tr>
        <w:tc>
          <w:tcPr>
            <w:tcW w:type="dxa" w:w="4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 named locations (trusted IPs)</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Any</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Deploy CA: Require MFA for all users</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2</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AAD P1</w:t>
            </w:r>
          </w:p>
        </w:tc>
      </w:tr>
      <w:tr>
        <w:tc>
          <w:tcPr>
            <w:tcW w:type="dxa" w:w="4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Deploy CA: Block legacy authentication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AAD P1</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Deploy CA: Require MFA for admins (phishing-resistant)</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2</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AAD P2</w:t>
            </w:r>
          </w:p>
        </w:tc>
      </w:tr>
      <w:tr>
        <w:tc>
          <w:tcPr>
            <w:tcW w:type="dxa" w:w="4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Deploy CA: Block high-risk sign-ins (Identity Protection)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3</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AAD P2</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Deploy CA: Block high-risk users (Identity Protection)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3</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AAD P2</w:t>
            </w:r>
          </w:p>
        </w:tc>
      </w:tr>
      <w:tr>
        <w:tc>
          <w:tcPr>
            <w:tcW w:type="dxa" w:w="4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Deploy CA: Require compliant or hybrid-joined device (cloud apps)</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4</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Intune</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Review sign-in logs, tune policies, document exceptions</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4</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Any</w:t>
            </w:r>
          </w:p>
        </w:tc>
      </w:tr>
    </w:tbl>
    <w:p>
      <w:pPr>
        <w:spacing w:before="40" w:after="0"/>
      </w:pPr>
      <w:r>
        <w:t xml:space="preserve"/>
      </w:r>
    </w:p>
    <w:p>
      <w:pPr>
        <w:spacing w:before="200" w:after="60"/>
      </w:pPr>
      <w:r>
        <w:rPr>
          <w:rFonts w:ascii="Arial" w:cs="Arial" w:eastAsia="Arial" w:hAnsi="Arial"/>
          <w:b/>
          <w:bCs/>
          <w:color w:val="1F4E79"/>
          <w:sz w:val="22"/>
          <w:szCs w:val="22"/>
        </w:rPr>
        <w:t xml:space="preserve">Success Criteria</w:t>
      </w:r>
    </w:p>
    <w:p>
      <w:pPr>
        <w:pStyle w:val="ListParagraph"/>
        <w:numPr>
          <w:ilvl w:val="0"/>
          <w:numId w:val="2"/>
        </w:numPr>
        <w:spacing w:before="40" w:after="40"/>
      </w:pPr>
      <w:r>
        <w:rPr>
          <w:rFonts w:ascii="Arial" w:cs="Arial" w:eastAsia="Arial" w:hAnsi="Arial"/>
          <w:color w:val="1A1A2E"/>
          <w:sz w:val="20"/>
          <w:szCs w:val="20"/>
        </w:rPr>
        <w:t xml:space="preserve">Zero standing Global Administrator accounts</w:t>
      </w:r>
    </w:p>
    <w:p>
      <w:pPr>
        <w:pStyle w:val="ListParagraph"/>
        <w:numPr>
          <w:ilvl w:val="0"/>
          <w:numId w:val="2"/>
        </w:numPr>
        <w:spacing w:before="40" w:after="40"/>
      </w:pPr>
      <w:r>
        <w:rPr>
          <w:rFonts w:ascii="Arial" w:cs="Arial" w:eastAsia="Arial" w:hAnsi="Arial"/>
          <w:color w:val="1A1A2E"/>
          <w:sz w:val="20"/>
          <w:szCs w:val="20"/>
        </w:rPr>
        <w:t xml:space="preserve">100% of users covered by MFA CA policy</w:t>
      </w:r>
    </w:p>
    <w:p>
      <w:pPr>
        <w:pStyle w:val="ListParagraph"/>
        <w:numPr>
          <w:ilvl w:val="0"/>
          <w:numId w:val="2"/>
        </w:numPr>
        <w:spacing w:before="40" w:after="40"/>
      </w:pPr>
      <w:r>
        <w:rPr>
          <w:rFonts w:ascii="Arial" w:cs="Arial" w:eastAsia="Arial" w:hAnsi="Arial"/>
          <w:color w:val="1A1A2E"/>
          <w:sz w:val="20"/>
          <w:szCs w:val="20"/>
        </w:rPr>
        <w:t xml:space="preserve">Legacy authentication blocked — confirmed via Sign-in logs (client app = Other Clients shows 0 successful auth)</w:t>
      </w:r>
    </w:p>
    <w:p>
      <w:pPr>
        <w:pStyle w:val="ListParagraph"/>
        <w:numPr>
          <w:ilvl w:val="0"/>
          <w:numId w:val="2"/>
        </w:numPr>
        <w:spacing w:before="40" w:after="40"/>
      </w:pPr>
      <w:r>
        <w:rPr>
          <w:rFonts w:ascii="Arial" w:cs="Arial" w:eastAsia="Arial" w:hAnsi="Arial"/>
          <w:color w:val="1A1A2E"/>
          <w:sz w:val="20"/>
          <w:szCs w:val="20"/>
        </w:rPr>
        <w:t xml:space="preserve">Sign-in Risk and User Risk policies active in Entra ID Protection</w:t>
      </w:r>
    </w:p>
    <w:p>
      <w:pPr>
        <w:spacing w:before="80" w:after="0"/>
      </w:pPr>
      <w:r>
        <w:t xml:space="preserve"/>
      </w:r>
    </w:p>
    <w:p>
      <w:pPr>
        <w:spacing w:before="280" w:after="80"/>
      </w:pPr>
      <w:r>
        <w:rPr>
          <w:rFonts w:ascii="Arial" w:cs="Arial" w:eastAsia="Arial" w:hAnsi="Arial"/>
          <w:b/>
          <w:bCs/>
          <w:color w:val="2E75B6"/>
          <w:sz w:val="26"/>
          <w:szCs w:val="26"/>
        </w:rPr>
        <w:t xml:space="preserve">Phase 2: Device Compliance &amp; Endpoint Security  |  Weeks 5–8</w:t>
      </w:r>
    </w:p>
    <w:p>
      <w:pPr>
        <w:spacing w:before="60" w:after="60"/>
      </w:pPr>
      <w:r>
        <w:rPr>
          <w:rFonts w:ascii="Arial" w:cs="Arial" w:eastAsia="Arial" w:hAnsi="Arial"/>
          <w:color w:val="1A1A2E"/>
          <w:sz w:val="20"/>
          <w:szCs w:val="20"/>
        </w:rPr>
        <w:t xml:space="preserve">Phase 2 extends Zero Trust to the device layer. A verified identity on a compromised or unmanaged device still represents risk. Intune compliance policies, paired with Conditional Access, ensure only healthy, managed devices can access corporate data.</w:t>
      </w:r>
    </w:p>
    <w:p>
      <w:pPr>
        <w:spacing w:before="40" w:after="0"/>
      </w:pPr>
      <w:r>
        <w:t xml:space="preserve"/>
      </w:r>
    </w:p>
    <w:p>
      <w:pPr>
        <w:spacing w:before="200" w:after="60"/>
      </w:pPr>
      <w:r>
        <w:rPr>
          <w:rFonts w:ascii="Arial" w:cs="Arial" w:eastAsia="Arial" w:hAnsi="Arial"/>
          <w:b/>
          <w:bCs/>
          <w:color w:val="1F4E79"/>
          <w:sz w:val="22"/>
          <w:szCs w:val="22"/>
        </w:rPr>
        <w:t xml:space="preserve">Objectives</w:t>
      </w:r>
    </w:p>
    <w:p>
      <w:pPr>
        <w:pStyle w:val="ListParagraph"/>
        <w:numPr>
          <w:ilvl w:val="0"/>
          <w:numId w:val="2"/>
        </w:numPr>
        <w:spacing w:before="40" w:after="40"/>
      </w:pPr>
      <w:r>
        <w:rPr>
          <w:rFonts w:ascii="Arial" w:cs="Arial" w:eastAsia="Arial" w:hAnsi="Arial"/>
          <w:color w:val="1A1A2E"/>
          <w:sz w:val="20"/>
          <w:szCs w:val="20"/>
        </w:rPr>
        <w:t xml:space="preserve">Define and deploy Intune device compliance policies (Windows, iOS, Android)</w:t>
      </w:r>
    </w:p>
    <w:p>
      <w:pPr>
        <w:pStyle w:val="ListParagraph"/>
        <w:numPr>
          <w:ilvl w:val="0"/>
          <w:numId w:val="2"/>
        </w:numPr>
        <w:spacing w:before="40" w:after="40"/>
      </w:pPr>
      <w:r>
        <w:rPr>
          <w:rFonts w:ascii="Arial" w:cs="Arial" w:eastAsia="Arial" w:hAnsi="Arial"/>
          <w:color w:val="1A1A2E"/>
          <w:sz w:val="20"/>
          <w:szCs w:val="20"/>
        </w:rPr>
        <w:t xml:space="preserve">Enforce device compliance as a CA grant control for all cloud apps</w:t>
      </w:r>
    </w:p>
    <w:p>
      <w:pPr>
        <w:pStyle w:val="ListParagraph"/>
        <w:numPr>
          <w:ilvl w:val="0"/>
          <w:numId w:val="2"/>
        </w:numPr>
        <w:spacing w:before="40" w:after="40"/>
      </w:pPr>
      <w:r>
        <w:rPr>
          <w:rFonts w:ascii="Arial" w:cs="Arial" w:eastAsia="Arial" w:hAnsi="Arial"/>
          <w:color w:val="1A1A2E"/>
          <w:sz w:val="20"/>
          <w:szCs w:val="20"/>
        </w:rPr>
        <w:t xml:space="preserve">Deploy Windows Hello for Business as primary authentication method</w:t>
      </w:r>
    </w:p>
    <w:p>
      <w:pPr>
        <w:pStyle w:val="ListParagraph"/>
        <w:numPr>
          <w:ilvl w:val="0"/>
          <w:numId w:val="2"/>
        </w:numPr>
        <w:spacing w:before="40" w:after="40"/>
      </w:pPr>
      <w:r>
        <w:rPr>
          <w:rFonts w:ascii="Arial" w:cs="Arial" w:eastAsia="Arial" w:hAnsi="Arial"/>
          <w:color w:val="1A1A2E"/>
          <w:sz w:val="20"/>
          <w:szCs w:val="20"/>
        </w:rPr>
        <w:t xml:space="preserve">Configure Attack Surface Reduction (ASR) rules via Intune</w:t>
      </w:r>
    </w:p>
    <w:p>
      <w:pPr>
        <w:pStyle w:val="ListParagraph"/>
        <w:numPr>
          <w:ilvl w:val="0"/>
          <w:numId w:val="2"/>
        </w:numPr>
        <w:spacing w:before="40" w:after="40"/>
      </w:pPr>
      <w:r>
        <w:rPr>
          <w:rFonts w:ascii="Arial" w:cs="Arial" w:eastAsia="Arial" w:hAnsi="Arial"/>
          <w:color w:val="1A1A2E"/>
          <w:sz w:val="20"/>
          <w:szCs w:val="20"/>
        </w:rPr>
        <w:t xml:space="preserve">Deploy Microsoft Defender for Endpoint with Intune integration</w:t>
      </w:r>
    </w:p>
    <w:p>
      <w:pPr>
        <w:pStyle w:val="ListParagraph"/>
        <w:numPr>
          <w:ilvl w:val="0"/>
          <w:numId w:val="2"/>
        </w:numPr>
        <w:spacing w:before="40" w:after="40"/>
      </w:pPr>
      <w:r>
        <w:rPr>
          <w:rFonts w:ascii="Arial" w:cs="Arial" w:eastAsia="Arial" w:hAnsi="Arial"/>
          <w:color w:val="1A1A2E"/>
          <w:sz w:val="20"/>
          <w:szCs w:val="20"/>
        </w:rPr>
        <w:t xml:space="preserve">Implement Autopilot enrollment for new device provisioning</w:t>
      </w:r>
    </w:p>
    <w:p>
      <w:pPr>
        <w:spacing w:before="40" w:after="0"/>
      </w:pPr>
      <w:r>
        <w:t xml:space="preserve"/>
      </w:r>
    </w:p>
    <w:p>
      <w:pPr>
        <w:spacing w:before="200" w:after="60"/>
      </w:pPr>
      <w:r>
        <w:rPr>
          <w:rFonts w:ascii="Arial" w:cs="Arial" w:eastAsia="Arial" w:hAnsi="Arial"/>
          <w:b/>
          <w:bCs/>
          <w:color w:val="1F4E79"/>
          <w:sz w:val="22"/>
          <w:szCs w:val="22"/>
        </w:rPr>
        <w:t xml:space="preserve">Key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680"/>
        <w:gridCol w:w="1680"/>
        <w:gridCol w:w="1320"/>
      </w:tblGrid>
      <w:t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32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License Req.</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Define Windows compliance policy (BitLocker, Secure Boot, OS version, Defender)</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5</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Intune P1</w:t>
            </w:r>
          </w:p>
        </w:tc>
      </w:tr>
      <w:tr>
        <w:tc>
          <w:tcPr>
            <w:tcW w:type="dxa" w:w="4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Define iOS/Android compliance policy (OS version, PIN, encryption)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5</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Intune P1</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Enroll existing Windows devices into Intune (SCCM co-mgmt or GPO MDM enrollment)</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5-6</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Intune P1</w:t>
            </w:r>
          </w:p>
        </w:tc>
      </w:tr>
      <w:tr>
        <w:tc>
          <w:tcPr>
            <w:tcW w:type="dxa" w:w="4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Configure Autopilot profile and deployment profile for new devices</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6</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Intune P1</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Deploy Windows Hello for Business policy via Intune</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6</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AAD P1</w:t>
            </w:r>
          </w:p>
        </w:tc>
      </w:tr>
      <w:tr>
        <w:tc>
          <w:tcPr>
            <w:tcW w:type="dxa" w:w="4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Enable Defender for Endpoint / Intune integration (MDE P1 or P2)</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7</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MDE P1</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Deploy ASR rules via Intune (Audit mode first, then Enforce)</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7</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MDE P1</w:t>
            </w:r>
          </w:p>
        </w:tc>
      </w:tr>
      <w:tr>
        <w:tc>
          <w:tcPr>
            <w:tcW w:type="dxa" w:w="4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Update CA: Add device compliance as grant control</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8</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Intune</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Remediate non-compliant devices, document BYOD exceptions</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8</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Any</w:t>
            </w:r>
          </w:p>
        </w:tc>
      </w:tr>
    </w:tbl>
    <w:p>
      <w:pPr>
        <w:spacing w:before="40" w:after="0"/>
      </w:pPr>
      <w:r>
        <w:t xml:space="preserve"/>
      </w:r>
    </w:p>
    <w:p>
      <w:pPr>
        <w:spacing w:before="200" w:after="60"/>
      </w:pPr>
      <w:r>
        <w:rPr>
          <w:rFonts w:ascii="Arial" w:cs="Arial" w:eastAsia="Arial" w:hAnsi="Arial"/>
          <w:b/>
          <w:bCs/>
          <w:color w:val="1F4E79"/>
          <w:sz w:val="22"/>
          <w:szCs w:val="22"/>
        </w:rPr>
        <w:t xml:space="preserve">Success Criteria</w:t>
      </w:r>
    </w:p>
    <w:p>
      <w:pPr>
        <w:pStyle w:val="ListParagraph"/>
        <w:numPr>
          <w:ilvl w:val="0"/>
          <w:numId w:val="2"/>
        </w:numPr>
        <w:spacing w:before="40" w:after="40"/>
      </w:pPr>
      <w:r>
        <w:rPr>
          <w:rFonts w:ascii="Arial" w:cs="Arial" w:eastAsia="Arial" w:hAnsi="Arial"/>
          <w:color w:val="1A1A2E"/>
          <w:sz w:val="20"/>
          <w:szCs w:val="20"/>
        </w:rPr>
        <w:t xml:space="preserve">All corporate Windows devices enrolled in Intune and marked Compliant</w:t>
      </w:r>
    </w:p>
    <w:p>
      <w:pPr>
        <w:pStyle w:val="ListParagraph"/>
        <w:numPr>
          <w:ilvl w:val="0"/>
          <w:numId w:val="2"/>
        </w:numPr>
        <w:spacing w:before="40" w:after="40"/>
      </w:pPr>
      <w:r>
        <w:rPr>
          <w:rFonts w:ascii="Arial" w:cs="Arial" w:eastAsia="Arial" w:hAnsi="Arial"/>
          <w:color w:val="1A1A2E"/>
          <w:sz w:val="20"/>
          <w:szCs w:val="20"/>
        </w:rPr>
        <w:t xml:space="preserve">CA policy enforcing compliant device for all cloud app access</w:t>
      </w:r>
    </w:p>
    <w:p>
      <w:pPr>
        <w:pStyle w:val="ListParagraph"/>
        <w:numPr>
          <w:ilvl w:val="0"/>
          <w:numId w:val="2"/>
        </w:numPr>
        <w:spacing w:before="40" w:after="40"/>
      </w:pPr>
      <w:r>
        <w:rPr>
          <w:rFonts w:ascii="Arial" w:cs="Arial" w:eastAsia="Arial" w:hAnsi="Arial"/>
          <w:color w:val="1A1A2E"/>
          <w:sz w:val="20"/>
          <w:szCs w:val="20"/>
        </w:rPr>
        <w:t xml:space="preserve">Windows Hello for Business deployed and active on enrolled endpoints</w:t>
      </w:r>
    </w:p>
    <w:p>
      <w:pPr>
        <w:pStyle w:val="ListParagraph"/>
        <w:numPr>
          <w:ilvl w:val="0"/>
          <w:numId w:val="2"/>
        </w:numPr>
        <w:spacing w:before="40" w:after="40"/>
      </w:pPr>
      <w:r>
        <w:rPr>
          <w:rFonts w:ascii="Arial" w:cs="Arial" w:eastAsia="Arial" w:hAnsi="Arial"/>
          <w:color w:val="1A1A2E"/>
          <w:sz w:val="20"/>
          <w:szCs w:val="20"/>
        </w:rPr>
        <w:t xml:space="preserve">ASR rules in enforce mode with baseline alerting configured</w:t>
      </w:r>
    </w:p>
    <w:p>
      <w:pPr>
        <w:spacing w:before="80" w:after="0"/>
      </w:pPr>
      <w:r>
        <w:t xml:space="preserve"/>
      </w:r>
    </w:p>
    <w:p>
      <w:pPr>
        <w:spacing w:before="280" w:after="80"/>
      </w:pPr>
      <w:r>
        <w:rPr>
          <w:rFonts w:ascii="Arial" w:cs="Arial" w:eastAsia="Arial" w:hAnsi="Arial"/>
          <w:b/>
          <w:bCs/>
          <w:color w:val="2E75B6"/>
          <w:sz w:val="26"/>
          <w:szCs w:val="26"/>
        </w:rPr>
        <w:t xml:space="preserve">Phase 3: Data Protection &amp; App Security  |  Weeks 9–12</w:t>
      </w:r>
    </w:p>
    <w:p>
      <w:pPr>
        <w:spacing w:before="60" w:after="60"/>
      </w:pPr>
      <w:r>
        <w:rPr>
          <w:rFonts w:ascii="Arial" w:cs="Arial" w:eastAsia="Arial" w:hAnsi="Arial"/>
          <w:color w:val="1A1A2E"/>
          <w:sz w:val="20"/>
          <w:szCs w:val="20"/>
        </w:rPr>
        <w:t xml:space="preserve">Phase 3 protects the data itself. Even with strong identity and device controls, data must be protected at the layer where it lives — in SharePoint, Teams, OneDrive, email, and third-party connected apps.</w:t>
      </w:r>
    </w:p>
    <w:p>
      <w:pPr>
        <w:spacing w:before="40" w:after="0"/>
      </w:pPr>
      <w:r>
        <w:t xml:space="preserve"/>
      </w:r>
    </w:p>
    <w:p>
      <w:pPr>
        <w:spacing w:before="200" w:after="60"/>
      </w:pPr>
      <w:r>
        <w:rPr>
          <w:rFonts w:ascii="Arial" w:cs="Arial" w:eastAsia="Arial" w:hAnsi="Arial"/>
          <w:b/>
          <w:bCs/>
          <w:color w:val="1F4E79"/>
          <w:sz w:val="22"/>
          <w:szCs w:val="22"/>
        </w:rPr>
        <w:t xml:space="preserve">Objectives</w:t>
      </w:r>
    </w:p>
    <w:p>
      <w:pPr>
        <w:pStyle w:val="ListParagraph"/>
        <w:numPr>
          <w:ilvl w:val="0"/>
          <w:numId w:val="2"/>
        </w:numPr>
        <w:spacing w:before="40" w:after="40"/>
      </w:pPr>
      <w:r>
        <w:rPr>
          <w:rFonts w:ascii="Arial" w:cs="Arial" w:eastAsia="Arial" w:hAnsi="Arial"/>
          <w:color w:val="1A1A2E"/>
          <w:sz w:val="20"/>
          <w:szCs w:val="20"/>
        </w:rPr>
        <w:t xml:space="preserve">Deploy Microsoft Purview sensitivity labels across M365 workloads</w:t>
      </w:r>
    </w:p>
    <w:p>
      <w:pPr>
        <w:pStyle w:val="ListParagraph"/>
        <w:numPr>
          <w:ilvl w:val="0"/>
          <w:numId w:val="2"/>
        </w:numPr>
        <w:spacing w:before="40" w:after="40"/>
      </w:pPr>
      <w:r>
        <w:rPr>
          <w:rFonts w:ascii="Arial" w:cs="Arial" w:eastAsia="Arial" w:hAnsi="Arial"/>
          <w:color w:val="1A1A2E"/>
          <w:sz w:val="20"/>
          <w:szCs w:val="20"/>
        </w:rPr>
        <w:t xml:space="preserve">Configure Data Loss Prevention (DLP) policies for PII, PHI, financial data</w:t>
      </w:r>
    </w:p>
    <w:p>
      <w:pPr>
        <w:pStyle w:val="ListParagraph"/>
        <w:numPr>
          <w:ilvl w:val="0"/>
          <w:numId w:val="2"/>
        </w:numPr>
        <w:spacing w:before="40" w:after="40"/>
      </w:pPr>
      <w:r>
        <w:rPr>
          <w:rFonts w:ascii="Arial" w:cs="Arial" w:eastAsia="Arial" w:hAnsi="Arial"/>
          <w:color w:val="1A1A2E"/>
          <w:sz w:val="20"/>
          <w:szCs w:val="20"/>
        </w:rPr>
        <w:t xml:space="preserve">Deploy Defender for Cloud Apps (MCAS) for shadow IT discovery and session controls</w:t>
      </w:r>
    </w:p>
    <w:p>
      <w:pPr>
        <w:pStyle w:val="ListParagraph"/>
        <w:numPr>
          <w:ilvl w:val="0"/>
          <w:numId w:val="2"/>
        </w:numPr>
        <w:spacing w:before="40" w:after="40"/>
      </w:pPr>
      <w:r>
        <w:rPr>
          <w:rFonts w:ascii="Arial" w:cs="Arial" w:eastAsia="Arial" w:hAnsi="Arial"/>
          <w:color w:val="1A1A2E"/>
          <w:sz w:val="20"/>
          <w:szCs w:val="20"/>
        </w:rPr>
        <w:t xml:space="preserve">Configure App Protection Policies (MAM) for BYOD mobile devices</w:t>
      </w:r>
    </w:p>
    <w:p>
      <w:pPr>
        <w:pStyle w:val="ListParagraph"/>
        <w:numPr>
          <w:ilvl w:val="0"/>
          <w:numId w:val="2"/>
        </w:numPr>
        <w:spacing w:before="40" w:after="40"/>
      </w:pPr>
      <w:r>
        <w:rPr>
          <w:rFonts w:ascii="Arial" w:cs="Arial" w:eastAsia="Arial" w:hAnsi="Arial"/>
          <w:color w:val="1A1A2E"/>
          <w:sz w:val="20"/>
          <w:szCs w:val="20"/>
        </w:rPr>
        <w:t xml:space="preserve">Implement Microsoft Secure Score recommendations in Purview + Defender</w:t>
      </w:r>
    </w:p>
    <w:p>
      <w:pPr>
        <w:spacing w:before="40" w:after="0"/>
      </w:pPr>
      <w:r>
        <w:t xml:space="preserve"/>
      </w:r>
    </w:p>
    <w:p>
      <w:pPr>
        <w:spacing w:before="200" w:after="60"/>
      </w:pPr>
      <w:r>
        <w:rPr>
          <w:rFonts w:ascii="Arial" w:cs="Arial" w:eastAsia="Arial" w:hAnsi="Arial"/>
          <w:b/>
          <w:bCs/>
          <w:color w:val="1F4E79"/>
          <w:sz w:val="22"/>
          <w:szCs w:val="22"/>
        </w:rPr>
        <w:t xml:space="preserve">Key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680"/>
        <w:gridCol w:w="1680"/>
        <w:gridCol w:w="1320"/>
      </w:tblGrid>
      <w:t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32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License Req.</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Design sensitivity label taxonomy (Public, Internal, Confidential, Highly Confidential)</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9</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Purview P1</w:t>
            </w:r>
          </w:p>
        </w:tc>
      </w:tr>
      <w:tr>
        <w:tc>
          <w:tcPr>
            <w:tcW w:type="dxa" w:w="4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Deploy sensitivity labels to M365 Apps, SharePoint, Teams, Exchange</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9-10</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Purview P1</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Configure auto-labeling policies for known sensitive data types</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10</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Purview P2</w:t>
            </w:r>
          </w:p>
        </w:tc>
      </w:tr>
      <w:tr>
        <w:tc>
          <w:tcPr>
            <w:tcW w:type="dxa" w:w="4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Build DLP policies: block PII/PHI sharing externally via email and SharePoint</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10</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Purview P1</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Enable Defender for Cloud Apps connector for M365</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11</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MDA</w:t>
            </w:r>
          </w:p>
        </w:tc>
      </w:tr>
      <w:tr>
        <w:tc>
          <w:tcPr>
            <w:tcW w:type="dxa" w:w="4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Configure MCAS session policy: block download on unmanaged devices</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11</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MDA</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Configure MCAS shadow IT discovery and app governance</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11</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MDA</w:t>
            </w:r>
          </w:p>
        </w:tc>
      </w:tr>
      <w:tr>
        <w:tc>
          <w:tcPr>
            <w:tcW w:type="dxa" w:w="4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Deploy Intune App Protection Policies for iOS/Android (Outlook, Teams)</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12</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Intune P1</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Review sharing settings in SharePoint Admin Center (external sharing audit)</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12</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Any</w:t>
            </w:r>
          </w:p>
        </w:tc>
      </w:tr>
    </w:tbl>
    <w:p>
      <w:pPr>
        <w:spacing w:before="40" w:after="0"/>
      </w:pPr>
      <w:r>
        <w:t xml:space="preserve"/>
      </w:r>
    </w:p>
    <w:p>
      <w:pPr>
        <w:spacing w:before="200" w:after="60"/>
      </w:pPr>
      <w:r>
        <w:rPr>
          <w:rFonts w:ascii="Arial" w:cs="Arial" w:eastAsia="Arial" w:hAnsi="Arial"/>
          <w:b/>
          <w:bCs/>
          <w:color w:val="1F4E79"/>
          <w:sz w:val="22"/>
          <w:szCs w:val="22"/>
        </w:rPr>
        <w:t xml:space="preserve">Success Criteria</w:t>
      </w:r>
    </w:p>
    <w:p>
      <w:pPr>
        <w:pStyle w:val="ListParagraph"/>
        <w:numPr>
          <w:ilvl w:val="0"/>
          <w:numId w:val="2"/>
        </w:numPr>
        <w:spacing w:before="40" w:after="40"/>
      </w:pPr>
      <w:r>
        <w:rPr>
          <w:rFonts w:ascii="Arial" w:cs="Arial" w:eastAsia="Arial" w:hAnsi="Arial"/>
          <w:color w:val="1A1A2E"/>
          <w:sz w:val="20"/>
          <w:szCs w:val="20"/>
        </w:rPr>
        <w:t xml:space="preserve">All M365 workloads covered by sensitivity labels with default labeling active</w:t>
      </w:r>
    </w:p>
    <w:p>
      <w:pPr>
        <w:pStyle w:val="ListParagraph"/>
        <w:numPr>
          <w:ilvl w:val="0"/>
          <w:numId w:val="2"/>
        </w:numPr>
        <w:spacing w:before="40" w:after="40"/>
      </w:pPr>
      <w:r>
        <w:rPr>
          <w:rFonts w:ascii="Arial" w:cs="Arial" w:eastAsia="Arial" w:hAnsi="Arial"/>
          <w:color w:val="1A1A2E"/>
          <w:sz w:val="20"/>
          <w:szCs w:val="20"/>
        </w:rPr>
        <w:t xml:space="preserve">DLP policies active and generating alerts (not just audit mode)</w:t>
      </w:r>
    </w:p>
    <w:p>
      <w:pPr>
        <w:pStyle w:val="ListParagraph"/>
        <w:numPr>
          <w:ilvl w:val="0"/>
          <w:numId w:val="2"/>
        </w:numPr>
        <w:spacing w:before="40" w:after="40"/>
      </w:pPr>
      <w:r>
        <w:rPr>
          <w:rFonts w:ascii="Arial" w:cs="Arial" w:eastAsia="Arial" w:hAnsi="Arial"/>
          <w:color w:val="1A1A2E"/>
          <w:sz w:val="20"/>
          <w:szCs w:val="20"/>
        </w:rPr>
        <w:t xml:space="preserve">MCAS blocking downloads to unmanaged devices</w:t>
      </w:r>
    </w:p>
    <w:p>
      <w:pPr>
        <w:pStyle w:val="ListParagraph"/>
        <w:numPr>
          <w:ilvl w:val="0"/>
          <w:numId w:val="2"/>
        </w:numPr>
        <w:spacing w:before="40" w:after="40"/>
      </w:pPr>
      <w:r>
        <w:rPr>
          <w:rFonts w:ascii="Arial" w:cs="Arial" w:eastAsia="Arial" w:hAnsi="Arial"/>
          <w:color w:val="1A1A2E"/>
          <w:sz w:val="20"/>
          <w:szCs w:val="20"/>
        </w:rPr>
        <w:t xml:space="preserve">BYOD mobile devices managed via MAM with PIN and wipe capability</w:t>
      </w:r>
    </w:p>
    <w:p>
      <w:pPr>
        <w:spacing w:before="80" w:after="0"/>
      </w:pPr>
      <w:r>
        <w:t xml:space="preserve"/>
      </w:r>
    </w:p>
    <w:p>
      <w:pPr>
        <w:spacing w:before="280" w:after="80"/>
      </w:pPr>
      <w:r>
        <w:rPr>
          <w:rFonts w:ascii="Arial" w:cs="Arial" w:eastAsia="Arial" w:hAnsi="Arial"/>
          <w:b/>
          <w:bCs/>
          <w:color w:val="2E75B6"/>
          <w:sz w:val="26"/>
          <w:szCs w:val="26"/>
        </w:rPr>
        <w:t xml:space="preserve">Phase 4: Monitoring, Alerting &amp; Continuous Improvement  |  Weeks 13–16</w:t>
      </w:r>
    </w:p>
    <w:p>
      <w:pPr>
        <w:spacing w:before="60" w:after="60"/>
      </w:pPr>
      <w:r>
        <w:rPr>
          <w:rFonts w:ascii="Arial" w:cs="Arial" w:eastAsia="Arial" w:hAnsi="Arial"/>
          <w:color w:val="1A1A2E"/>
          <w:sz w:val="20"/>
          <w:szCs w:val="20"/>
        </w:rPr>
        <w:t xml:space="preserve">Phase 4 operationalizes the security posture. Technology alone is insufficient — the organization needs visibility, alerting, and documented response processes to sustain Zero Trust over time.</w:t>
      </w:r>
    </w:p>
    <w:p>
      <w:pPr>
        <w:spacing w:before="40" w:after="0"/>
      </w:pPr>
      <w:r>
        <w:t xml:space="preserve"/>
      </w:r>
    </w:p>
    <w:p>
      <w:pPr>
        <w:spacing w:before="200" w:after="60"/>
      </w:pPr>
      <w:r>
        <w:rPr>
          <w:rFonts w:ascii="Arial" w:cs="Arial" w:eastAsia="Arial" w:hAnsi="Arial"/>
          <w:b/>
          <w:bCs/>
          <w:color w:val="1F4E79"/>
          <w:sz w:val="22"/>
          <w:szCs w:val="22"/>
        </w:rPr>
        <w:t xml:space="preserve">Objectives</w:t>
      </w:r>
    </w:p>
    <w:p>
      <w:pPr>
        <w:pStyle w:val="ListParagraph"/>
        <w:numPr>
          <w:ilvl w:val="0"/>
          <w:numId w:val="2"/>
        </w:numPr>
        <w:spacing w:before="40" w:after="40"/>
      </w:pPr>
      <w:r>
        <w:rPr>
          <w:rFonts w:ascii="Arial" w:cs="Arial" w:eastAsia="Arial" w:hAnsi="Arial"/>
          <w:color w:val="1A1A2E"/>
          <w:sz w:val="20"/>
          <w:szCs w:val="20"/>
        </w:rPr>
        <w:t xml:space="preserve">Deploy and configure Microsoft Sentinel (or Defender XDR) as the primary SIEM</w:t>
      </w:r>
    </w:p>
    <w:p>
      <w:pPr>
        <w:pStyle w:val="ListParagraph"/>
        <w:numPr>
          <w:ilvl w:val="0"/>
          <w:numId w:val="2"/>
        </w:numPr>
        <w:spacing w:before="40" w:after="40"/>
      </w:pPr>
      <w:r>
        <w:rPr>
          <w:rFonts w:ascii="Arial" w:cs="Arial" w:eastAsia="Arial" w:hAnsi="Arial"/>
          <w:color w:val="1A1A2E"/>
          <w:sz w:val="20"/>
          <w:szCs w:val="20"/>
        </w:rPr>
        <w:t xml:space="preserve">Connect all M365 data connectors to Sentinel</w:t>
      </w:r>
    </w:p>
    <w:p>
      <w:pPr>
        <w:pStyle w:val="ListParagraph"/>
        <w:numPr>
          <w:ilvl w:val="0"/>
          <w:numId w:val="2"/>
        </w:numPr>
        <w:spacing w:before="40" w:after="40"/>
      </w:pPr>
      <w:r>
        <w:rPr>
          <w:rFonts w:ascii="Arial" w:cs="Arial" w:eastAsia="Arial" w:hAnsi="Arial"/>
          <w:color w:val="1A1A2E"/>
          <w:sz w:val="20"/>
          <w:szCs w:val="20"/>
        </w:rPr>
        <w:t xml:space="preserve">Define and deploy analytics rules for key threat scenarios</w:t>
      </w:r>
    </w:p>
    <w:p>
      <w:pPr>
        <w:pStyle w:val="ListParagraph"/>
        <w:numPr>
          <w:ilvl w:val="0"/>
          <w:numId w:val="2"/>
        </w:numPr>
        <w:spacing w:before="40" w:after="40"/>
      </w:pPr>
      <w:r>
        <w:rPr>
          <w:rFonts w:ascii="Arial" w:cs="Arial" w:eastAsia="Arial" w:hAnsi="Arial"/>
          <w:color w:val="1A1A2E"/>
          <w:sz w:val="20"/>
          <w:szCs w:val="20"/>
        </w:rPr>
        <w:t xml:space="preserve">Establish Secure Score review cadence and remediation process</w:t>
      </w:r>
    </w:p>
    <w:p>
      <w:pPr>
        <w:pStyle w:val="ListParagraph"/>
        <w:numPr>
          <w:ilvl w:val="0"/>
          <w:numId w:val="2"/>
        </w:numPr>
        <w:spacing w:before="40" w:after="40"/>
      </w:pPr>
      <w:r>
        <w:rPr>
          <w:rFonts w:ascii="Arial" w:cs="Arial" w:eastAsia="Arial" w:hAnsi="Arial"/>
          <w:color w:val="1A1A2E"/>
          <w:sz w:val="20"/>
          <w:szCs w:val="20"/>
        </w:rPr>
        <w:t xml:space="preserve">Document Incident Response runbooks for identity and data breach scenarios</w:t>
      </w:r>
    </w:p>
    <w:p>
      <w:pPr>
        <w:pStyle w:val="ListParagraph"/>
        <w:numPr>
          <w:ilvl w:val="0"/>
          <w:numId w:val="2"/>
        </w:numPr>
        <w:spacing w:before="40" w:after="40"/>
      </w:pPr>
      <w:r>
        <w:rPr>
          <w:rFonts w:ascii="Arial" w:cs="Arial" w:eastAsia="Arial" w:hAnsi="Arial"/>
          <w:color w:val="1A1A2E"/>
          <w:sz w:val="20"/>
          <w:szCs w:val="20"/>
        </w:rPr>
        <w:t xml:space="preserve">Conduct tabletop exercise and access review</w:t>
      </w:r>
    </w:p>
    <w:p>
      <w:pPr>
        <w:spacing w:before="40" w:after="0"/>
      </w:pPr>
      <w:r>
        <w:t xml:space="preserve"/>
      </w:r>
    </w:p>
    <w:p>
      <w:pPr>
        <w:spacing w:before="200" w:after="60"/>
      </w:pPr>
      <w:r>
        <w:rPr>
          <w:rFonts w:ascii="Arial" w:cs="Arial" w:eastAsia="Arial" w:hAnsi="Arial"/>
          <w:b/>
          <w:bCs/>
          <w:color w:val="1F4E79"/>
          <w:sz w:val="22"/>
          <w:szCs w:val="22"/>
        </w:rPr>
        <w:t xml:space="preserve">Key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680"/>
        <w:gridCol w:w="1680"/>
        <w:gridCol w:w="1320"/>
      </w:tblGrid>
      <w:tr>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32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License Req.</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Deploy Microsoft Sentinel workspace (or validate Defender XDR is licensed)</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13</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Sentinel</w:t>
            </w:r>
          </w:p>
        </w:tc>
      </w:tr>
      <w:tr>
        <w:tc>
          <w:tcPr>
            <w:tcW w:type="dxa" w:w="4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Connect M365 Defender, Entra ID, Intune data connectors to Sentinel</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13</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Sentinel</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Enable Entra ID Protection analytics rules in Sentinel</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14</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AAD P2</w:t>
            </w:r>
          </w:p>
        </w:tc>
      </w:tr>
      <w:tr>
        <w:tc>
          <w:tcPr>
            <w:tcW w:type="dxa" w:w="4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Deploy UEBA (User Entity Behavior Analytics) in Sentinel</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14</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Sentinel</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Define analytics rules: impossible travel, MFA fatigue, bulk download</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14</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Sentinel</w:t>
            </w:r>
          </w:p>
        </w:tc>
      </w:tr>
      <w:tr>
        <w:tc>
          <w:tcPr>
            <w:tcW w:type="dxa" w:w="4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Configure automated response playbooks (Logic Apps): disable risky user</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15</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Sentinel</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Establish monthly Secure Score review process with ownership assignments</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15</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Any</w:t>
            </w:r>
          </w:p>
        </w:tc>
      </w:tr>
      <w:tr>
        <w:tc>
          <w:tcPr>
            <w:tcW w:type="dxa" w:w="4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Document IR runbooks: compromised account, data exfil, ransomware</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15</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Any</w:t>
            </w:r>
          </w:p>
        </w:tc>
      </w:tr>
      <w:tr>
        <w:tc>
          <w:tcPr>
            <w:tcW w:type="dxa" w:w="4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Conduct access review for all privileged roles via Entra Access Reviews</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16</w:t>
            </w:r>
          </w:p>
        </w:tc>
        <w:tc>
          <w:tcPr>
            <w:tcW w:type="dxa" w:w="132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AAD P2</w:t>
            </w:r>
          </w:p>
        </w:tc>
      </w:tr>
      <w:tr>
        <w:tc>
          <w:tcPr>
            <w:tcW w:type="dxa" w:w="4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Tabletop exercise: simulate BEC scenario end-to-end detection and response</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16</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Any</w:t>
            </w:r>
          </w:p>
        </w:tc>
      </w:tr>
    </w:tbl>
    <w:p>
      <w:pPr>
        <w:spacing w:before="40" w:after="0"/>
      </w:pPr>
      <w:r>
        <w:t xml:space="preserve"/>
      </w:r>
    </w:p>
    <w:p>
      <w:pPr>
        <w:spacing w:before="200" w:after="60"/>
      </w:pPr>
      <w:r>
        <w:rPr>
          <w:rFonts w:ascii="Arial" w:cs="Arial" w:eastAsia="Arial" w:hAnsi="Arial"/>
          <w:b/>
          <w:bCs/>
          <w:color w:val="1F4E79"/>
          <w:sz w:val="22"/>
          <w:szCs w:val="22"/>
        </w:rPr>
        <w:t xml:space="preserve">Success Criteria</w:t>
      </w:r>
    </w:p>
    <w:p>
      <w:pPr>
        <w:pStyle w:val="ListParagraph"/>
        <w:numPr>
          <w:ilvl w:val="0"/>
          <w:numId w:val="2"/>
        </w:numPr>
        <w:spacing w:before="40" w:after="40"/>
      </w:pPr>
      <w:r>
        <w:rPr>
          <w:rFonts w:ascii="Arial" w:cs="Arial" w:eastAsia="Arial" w:hAnsi="Arial"/>
          <w:color w:val="1A1A2E"/>
          <w:sz w:val="20"/>
          <w:szCs w:val="20"/>
        </w:rPr>
        <w:t xml:space="preserve">Sentinel receiving logs from Entra ID, Defender, Intune, and M365 Defender</w:t>
      </w:r>
    </w:p>
    <w:p>
      <w:pPr>
        <w:pStyle w:val="ListParagraph"/>
        <w:numPr>
          <w:ilvl w:val="0"/>
          <w:numId w:val="2"/>
        </w:numPr>
        <w:spacing w:before="40" w:after="40"/>
      </w:pPr>
      <w:r>
        <w:rPr>
          <w:rFonts w:ascii="Arial" w:cs="Arial" w:eastAsia="Arial" w:hAnsi="Arial"/>
          <w:color w:val="1A1A2E"/>
          <w:sz w:val="20"/>
          <w:szCs w:val="20"/>
        </w:rPr>
        <w:t xml:space="preserve">At least 5 analytics rules active with confirmed alert generation</w:t>
      </w:r>
    </w:p>
    <w:p>
      <w:pPr>
        <w:pStyle w:val="ListParagraph"/>
        <w:numPr>
          <w:ilvl w:val="0"/>
          <w:numId w:val="2"/>
        </w:numPr>
        <w:spacing w:before="40" w:after="40"/>
      </w:pPr>
      <w:r>
        <w:rPr>
          <w:rFonts w:ascii="Arial" w:cs="Arial" w:eastAsia="Arial" w:hAnsi="Arial"/>
          <w:color w:val="1A1A2E"/>
          <w:sz w:val="20"/>
          <w:szCs w:val="20"/>
        </w:rPr>
        <w:t xml:space="preserve">Incident Response runbooks documented and reviewed</w:t>
      </w:r>
    </w:p>
    <w:p>
      <w:pPr>
        <w:pStyle w:val="ListParagraph"/>
        <w:numPr>
          <w:ilvl w:val="0"/>
          <w:numId w:val="2"/>
        </w:numPr>
        <w:spacing w:before="40" w:after="40"/>
      </w:pPr>
      <w:r>
        <w:rPr>
          <w:rFonts w:ascii="Arial" w:cs="Arial" w:eastAsia="Arial" w:hAnsi="Arial"/>
          <w:color w:val="1A1A2E"/>
          <w:sz w:val="20"/>
          <w:szCs w:val="20"/>
        </w:rPr>
        <w:t xml:space="preserve">Secure Score above 70% in Microsoft Defender portal</w:t>
      </w:r>
    </w:p>
    <w:p>
      <w:pPr>
        <w:spacing w:before="80" w:after="0"/>
      </w:pPr>
      <w:r>
        <w:t xml:space="preserve"/>
      </w:r>
    </w:p>
    <w:p>
      <w:r>
        <w:br w:type="page"/>
      </w:r>
    </w:p>
    <w:p>
      <w:pPr>
        <w:pBdr>
          <w:bottom w:val="single" w:color="2E75B6" w:sz="6" w:space="4"/>
        </w:pBdr>
        <w:spacing w:before="360" w:after="120"/>
      </w:pPr>
      <w:r>
        <w:rPr>
          <w:rFonts w:ascii="Arial" w:cs="Arial" w:eastAsia="Arial" w:hAnsi="Arial"/>
          <w:b/>
          <w:bCs/>
          <w:color w:val="1F4E79"/>
          <w:sz w:val="36"/>
          <w:szCs w:val="36"/>
        </w:rPr>
        <w:t xml:space="preserve">Section 3: Conditional Access Policy Stack</w:t>
      </w:r>
    </w:p>
    <w:p>
      <w:pPr>
        <w:spacing w:before="80" w:after="0"/>
      </w:pPr>
      <w:r>
        <w:t xml:space="preserve"/>
      </w:r>
    </w:p>
    <w:p>
      <w:pPr>
        <w:spacing w:before="60" w:after="60"/>
      </w:pPr>
      <w:r>
        <w:rPr>
          <w:rFonts w:ascii="Arial" w:cs="Arial" w:eastAsia="Arial" w:hAnsi="Arial"/>
          <w:color w:val="1A1A2E"/>
          <w:sz w:val="20"/>
          <w:szCs w:val="20"/>
        </w:rPr>
        <w:t xml:space="preserve">The following Conditional Access policies form the core enforcement layer of the Zero Trust implementation. All policies are deployable via the Microsoft Graph API (see the accompanying PowerShell script). Policies should be deployed in Report-only mode first, reviewed for 7–14 days, then switched to Enabled.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00"/>
              <w:left w:type="dxa" w:w="200"/>
              <w:bottom w:type="dxa" w:w="100"/>
              <w:right w:type="dxa" w:w="200"/>
            </w:tcMar>
          </w:tcPr>
          <w:p>
            <w:r>
              <w:rPr>
                <w:rFonts w:ascii="Arial" w:cs="Arial" w:eastAsia="Arial" w:hAnsi="Arial"/>
                <w:color w:val="1F4E79"/>
                <w:sz w:val="19"/>
                <w:szCs w:val="19"/>
              </w:rPr>
              <w:t xml:space="preserve">Best practice: Always deploy new CA policies in Report-only mode. Monitor the sign-in logs for expected vs. unexpected impacts before enabling. Never enable a policy that blocks all users simultaneously without a break-glass account exclusion.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 Name</w:t>
            </w:r>
          </w:p>
        </w:tc>
        <w:tc>
          <w:tcPr>
            <w:tcW w:type="dxa" w:w="2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Who it Applies To</w:t>
            </w:r>
          </w:p>
        </w:tc>
        <w:tc>
          <w:tcPr>
            <w:tcW w:type="dxa" w:w="2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3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6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bCs/>
                <w:color w:val="1A1A2E"/>
                <w:sz w:val="18"/>
                <w:szCs w:val="18"/>
              </w:rPr>
              <w:t xml:space="preserve">CA001 – Require MFA for all users</w:t>
            </w:r>
          </w:p>
        </w:tc>
        <w:tc>
          <w:tcPr>
            <w:tcW w:type="dxa" w:w="22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All users</w:t>
            </w:r>
          </w:p>
        </w:tc>
        <w:tc>
          <w:tcPr>
            <w:tcW w:type="dxa" w:w="22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MFA on every sign-in</w:t>
            </w:r>
          </w:p>
        </w:tc>
        <w:tc>
          <w:tcPr>
            <w:tcW w:type="dxa" w:w="236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Baseline MFA enforcement. Blocks &gt;99% of automated credential attacks.</w:t>
            </w:r>
          </w:p>
        </w:tc>
      </w:tr>
      <w:tr>
        <w:tc>
          <w:tcPr>
            <w:tcW w:type="dxa" w:w="2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CA002 – Block legacy authentication</w:t>
            </w:r>
          </w:p>
        </w:tc>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All users</w:t>
            </w:r>
          </w:p>
        </w:tc>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Block if using legacy auth client</w:t>
            </w:r>
          </w:p>
        </w:tc>
        <w:tc>
          <w:tcPr>
            <w:tcW w:type="dxa" w:w="2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Legacy protocols (IMAP, POP, SMTP AUTH) cannot enforce MFA. Must be blocked.</w:t>
            </w:r>
          </w:p>
        </w:tc>
      </w:tr>
      <w:tr>
        <w:tc>
          <w:tcPr>
            <w:tcW w:type="dxa" w:w="26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bCs/>
                <w:color w:val="1A1A2E"/>
                <w:sz w:val="18"/>
                <w:szCs w:val="18"/>
              </w:rPr>
              <w:t xml:space="preserve">CA003 – Require phishing-resistant MFA for admins</w:t>
            </w:r>
          </w:p>
        </w:tc>
        <w:tc>
          <w:tcPr>
            <w:tcW w:type="dxa" w:w="22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Privileged roles only</w:t>
            </w:r>
          </w:p>
        </w:tc>
        <w:tc>
          <w:tcPr>
            <w:tcW w:type="dxa" w:w="22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FIDO2 or WHfB only</w:t>
            </w:r>
          </w:p>
        </w:tc>
        <w:tc>
          <w:tcPr>
            <w:tcW w:type="dxa" w:w="236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Standard TOTP/SMS MFA is phishable. Admins must use hardware-bound credentials.</w:t>
            </w:r>
          </w:p>
        </w:tc>
      </w:tr>
      <w:tr>
        <w:tc>
          <w:tcPr>
            <w:tcW w:type="dxa" w:w="2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CA004 – Block high-risk sign-ins</w:t>
            </w:r>
          </w:p>
        </w:tc>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All users</w:t>
            </w:r>
          </w:p>
        </w:tc>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Block if sign-in risk = High</w:t>
            </w:r>
          </w:p>
        </w:tc>
        <w:tc>
          <w:tcPr>
            <w:tcW w:type="dxa" w:w="2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Entra ID Protection ML flags anomalous sign-ins. Block automatically, no manual review needed.</w:t>
            </w:r>
          </w:p>
        </w:tc>
      </w:tr>
      <w:tr>
        <w:tc>
          <w:tcPr>
            <w:tcW w:type="dxa" w:w="26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bCs/>
                <w:color w:val="1A1A2E"/>
                <w:sz w:val="18"/>
                <w:szCs w:val="18"/>
              </w:rPr>
              <w:t xml:space="preserve">CA005 – Require password change for high-risk users</w:t>
            </w:r>
          </w:p>
        </w:tc>
        <w:tc>
          <w:tcPr>
            <w:tcW w:type="dxa" w:w="22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All users</w:t>
            </w:r>
          </w:p>
        </w:tc>
        <w:tc>
          <w:tcPr>
            <w:tcW w:type="dxa" w:w="22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MFA + password change if user risk = High</w:t>
            </w:r>
          </w:p>
        </w:tc>
        <w:tc>
          <w:tcPr>
            <w:tcW w:type="dxa" w:w="236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Compromised credential detection. Forces credential rotation before re-granting access.</w:t>
            </w:r>
          </w:p>
        </w:tc>
      </w:tr>
      <w:tr>
        <w:tc>
          <w:tcPr>
            <w:tcW w:type="dxa" w:w="2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CA006 – Require compliant device for cloud apps</w:t>
            </w:r>
          </w:p>
        </w:tc>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All users</w:t>
            </w:r>
          </w:p>
        </w:tc>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Compliant OR Entra-joined device</w:t>
            </w:r>
          </w:p>
        </w:tc>
        <w:tc>
          <w:tcPr>
            <w:tcW w:type="dxa" w:w="2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Unmanaged devices are an uncontrolled risk surface. Blocks browser-only access to corporate apps from unknown devices.</w:t>
            </w:r>
          </w:p>
        </w:tc>
      </w:tr>
      <w:tr>
        <w:tc>
          <w:tcPr>
            <w:tcW w:type="dxa" w:w="26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bCs/>
                <w:color w:val="1A1A2E"/>
                <w:sz w:val="18"/>
                <w:szCs w:val="18"/>
              </w:rPr>
              <w:t xml:space="preserve">CA007 – App protection policy for mobile (MAM)</w:t>
            </w:r>
          </w:p>
        </w:tc>
        <w:tc>
          <w:tcPr>
            <w:tcW w:type="dxa" w:w="22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All users, iOS/Android</w:t>
            </w:r>
          </w:p>
        </w:tc>
        <w:tc>
          <w:tcPr>
            <w:tcW w:type="dxa" w:w="22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Approved app + App Protection Policy</w:t>
            </w:r>
          </w:p>
        </w:tc>
        <w:tc>
          <w:tcPr>
            <w:tcW w:type="dxa" w:w="236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Enforces Intune MAM on BYOD mobile devices without requiring full enrollment.</w:t>
            </w:r>
          </w:p>
        </w:tc>
      </w:tr>
      <w:tr>
        <w:tc>
          <w:tcPr>
            <w:tcW w:type="dxa" w:w="2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CA008 – Restrict access from unknown/untrusted locations</w:t>
            </w:r>
          </w:p>
        </w:tc>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All users</w:t>
            </w:r>
          </w:p>
        </w:tc>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MFA if outside named locations</w:t>
            </w:r>
          </w:p>
        </w:tc>
        <w:tc>
          <w:tcPr>
            <w:tcW w:type="dxa" w:w="2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Adds friction for access from unexpected geographies. Can escalate to block for high-sensitivity tenants.</w:t>
            </w:r>
          </w:p>
        </w:tc>
      </w:tr>
      <w:tr>
        <w:tc>
          <w:tcPr>
            <w:tcW w:type="dxa" w:w="26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bCs/>
                <w:color w:val="1A1A2E"/>
                <w:sz w:val="18"/>
                <w:szCs w:val="18"/>
              </w:rPr>
              <w:t xml:space="preserve">CA009 – Require MFA for Azure management</w:t>
            </w:r>
          </w:p>
        </w:tc>
        <w:tc>
          <w:tcPr>
            <w:tcW w:type="dxa" w:w="22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All users</w:t>
            </w:r>
          </w:p>
        </w:tc>
        <w:tc>
          <w:tcPr>
            <w:tcW w:type="dxa" w:w="22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MFA for Azure portal, ARM, CLI</w:t>
            </w:r>
          </w:p>
        </w:tc>
        <w:tc>
          <w:tcPr>
            <w:tcW w:type="dxa" w:w="236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Azure management plane is high-value. Separate policy ensures it is always protected even if other policies change.</w:t>
            </w:r>
          </w:p>
        </w:tc>
      </w:tr>
      <w:tr>
        <w:tc>
          <w:tcPr>
            <w:tcW w:type="dxa" w:w="2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CA010 – Session controls for unmanaged devices</w:t>
            </w:r>
          </w:p>
        </w:tc>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All users, unmanaged devices</w:t>
            </w:r>
          </w:p>
        </w:tc>
        <w:tc>
          <w:tcPr>
            <w:tcW w:type="dxa" w:w="2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Limited session: no download, no print</w:t>
            </w:r>
          </w:p>
        </w:tc>
        <w:tc>
          <w:tcPr>
            <w:tcW w:type="dxa" w:w="2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MCAS-enforced session policy. Allows browser-only access while preventing data exfiltration.</w:t>
            </w:r>
          </w:p>
        </w:tc>
      </w:tr>
    </w:tbl>
    <w:p>
      <w:pPr>
        <w:spacing w:before="80" w:after="0"/>
      </w:pPr>
      <w:r>
        <w:t xml:space="preserve"/>
      </w:r>
    </w:p>
    <w:p>
      <w:r>
        <w:br w:type="page"/>
      </w:r>
    </w:p>
    <w:p>
      <w:pPr>
        <w:pBdr>
          <w:bottom w:val="single" w:color="2E75B6" w:sz="6" w:space="4"/>
        </w:pBdr>
        <w:spacing w:before="360" w:after="120"/>
      </w:pPr>
      <w:r>
        <w:rPr>
          <w:rFonts w:ascii="Arial" w:cs="Arial" w:eastAsia="Arial" w:hAnsi="Arial"/>
          <w:b/>
          <w:bCs/>
          <w:color w:val="1F4E79"/>
          <w:sz w:val="36"/>
          <w:szCs w:val="36"/>
        </w:rPr>
        <w:t xml:space="preserve">Section 4: Risk Register</w:t>
      </w:r>
    </w:p>
    <w:p>
      <w:pPr>
        <w:spacing w:before="80" w:after="0"/>
      </w:pPr>
      <w:r>
        <w:t xml:space="preserve"/>
      </w:r>
    </w:p>
    <w:p>
      <w:pPr>
        <w:spacing w:before="60" w:after="60"/>
      </w:pPr>
      <w:r>
        <w:rPr>
          <w:rFonts w:ascii="Arial" w:cs="Arial" w:eastAsia="Arial" w:hAnsi="Arial"/>
          <w:color w:val="1A1A2E"/>
          <w:sz w:val="20"/>
          <w:szCs w:val="20"/>
        </w:rPr>
        <w:t xml:space="preserve">The following risks have been identified for this implementation. Each has been assessed and a mitigation has been defined. This register should be reviewed at the start of each phase.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c>
          <w:tcPr>
            <w:tcW w:type="dxa" w:w="26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6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6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5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bCs/>
                <w:color w:val="1A1A2E"/>
                <w:sz w:val="18"/>
                <w:szCs w:val="18"/>
              </w:rPr>
              <w:t xml:space="preserve">MFA rollout causes user lockout</w:t>
            </w:r>
          </w:p>
        </w:tc>
        <w:tc>
          <w:tcPr>
            <w:tcW w:type="dxa" w:w="16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Medium</w:t>
            </w:r>
          </w:p>
        </w:tc>
        <w:tc>
          <w:tcPr>
            <w:tcW w:type="dxa" w:w="16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High</w:t>
            </w:r>
          </w:p>
        </w:tc>
        <w:tc>
          <w:tcPr>
            <w:tcW w:type="dxa" w:w="356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Deploy in Report-only mode first. Communicate to users 2 weeks in advance. Maintain break-glass accounts excluded from CA.</w:t>
            </w:r>
          </w:p>
        </w:tc>
      </w:tr>
      <w:tr>
        <w:tc>
          <w:tcPr>
            <w:tcW w:type="dxa" w:w="2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Legacy apps break when legacy auth is blocked</w:t>
            </w:r>
          </w:p>
        </w:tc>
        <w:tc>
          <w:tcPr>
            <w:tcW w:type="dxa" w:w="1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Medium</w:t>
            </w:r>
          </w:p>
        </w:tc>
        <w:tc>
          <w:tcPr>
            <w:tcW w:type="dxa" w:w="1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Medium</w:t>
            </w:r>
          </w:p>
        </w:tc>
        <w:tc>
          <w:tcPr>
            <w:tcW w:type="dxa" w:w="35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Audit legacy auth usage in Sign-in logs before blocking. Create time-limited exclusions for documented exceptions.</w:t>
            </w:r>
          </w:p>
        </w:tc>
      </w:tr>
      <w:tr>
        <w:tc>
          <w:tcPr>
            <w:tcW w:type="dxa" w:w="26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bCs/>
                <w:color w:val="1A1A2E"/>
                <w:sz w:val="18"/>
                <w:szCs w:val="18"/>
              </w:rPr>
              <w:t xml:space="preserve">Non-compliant devices lose access before remediation</w:t>
            </w:r>
          </w:p>
        </w:tc>
        <w:tc>
          <w:tcPr>
            <w:tcW w:type="dxa" w:w="16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High</w:t>
            </w:r>
          </w:p>
        </w:tc>
        <w:tc>
          <w:tcPr>
            <w:tcW w:type="dxa" w:w="16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Medium</w:t>
            </w:r>
          </w:p>
        </w:tc>
        <w:tc>
          <w:tcPr>
            <w:tcW w:type="dxa" w:w="356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Run compliance enforcement in grace period mode (7-day grace). Prioritize enrollment before enabling compliance CA policy.</w:t>
            </w:r>
          </w:p>
        </w:tc>
      </w:tr>
      <w:tr>
        <w:tc>
          <w:tcPr>
            <w:tcW w:type="dxa" w:w="2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Break-glass accounts not maintained</w:t>
            </w:r>
          </w:p>
        </w:tc>
        <w:tc>
          <w:tcPr>
            <w:tcW w:type="dxa" w:w="1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Low</w:t>
            </w:r>
          </w:p>
        </w:tc>
        <w:tc>
          <w:tcPr>
            <w:tcW w:type="dxa" w:w="1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Critical</w:t>
            </w:r>
          </w:p>
        </w:tc>
        <w:tc>
          <w:tcPr>
            <w:tcW w:type="dxa" w:w="35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 two break-glass accounts excluded from all CA. Store credentials in physical safe. Alert on any sign-in.</w:t>
            </w:r>
          </w:p>
        </w:tc>
      </w:tr>
      <w:tr>
        <w:tc>
          <w:tcPr>
            <w:tcW w:type="dxa" w:w="26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bCs/>
                <w:color w:val="1A1A2E"/>
                <w:sz w:val="18"/>
                <w:szCs w:val="18"/>
              </w:rPr>
              <w:t xml:space="preserve">PIM activation delays for urgent admin work</w:t>
            </w:r>
          </w:p>
        </w:tc>
        <w:tc>
          <w:tcPr>
            <w:tcW w:type="dxa" w:w="16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Medium</w:t>
            </w:r>
          </w:p>
        </w:tc>
        <w:tc>
          <w:tcPr>
            <w:tcW w:type="dxa" w:w="16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Low</w:t>
            </w:r>
          </w:p>
        </w:tc>
        <w:tc>
          <w:tcPr>
            <w:tcW w:type="dxa" w:w="356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Set activation time to 4–8 hours. Allow self-approval for non-sensitive roles. Document escalation path.</w:t>
            </w:r>
          </w:p>
        </w:tc>
      </w:tr>
      <w:tr>
        <w:tc>
          <w:tcPr>
            <w:tcW w:type="dxa" w:w="2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Sentinel cost overrun</w:t>
            </w:r>
          </w:p>
        </w:tc>
        <w:tc>
          <w:tcPr>
            <w:tcW w:type="dxa" w:w="1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Medium</w:t>
            </w:r>
          </w:p>
        </w:tc>
        <w:tc>
          <w:tcPr>
            <w:tcW w:type="dxa" w:w="1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Medium</w:t>
            </w:r>
          </w:p>
        </w:tc>
        <w:tc>
          <w:tcPr>
            <w:tcW w:type="dxa" w:w="35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Set data ingestion caps and commitment tier. Scope connector data to security-relevant tables only (SigninLogs, AuditLogs, AlertsInfo).</w:t>
            </w:r>
          </w:p>
        </w:tc>
      </w:tr>
    </w:tbl>
    <w:p>
      <w:pPr>
        <w:spacing w:before="80" w:after="0"/>
      </w:pPr>
      <w:r>
        <w:t xml:space="preserve"/>
      </w:r>
    </w:p>
    <w:p>
      <w:r>
        <w:br w:type="page"/>
      </w:r>
    </w:p>
    <w:p>
      <w:pPr>
        <w:pBdr>
          <w:bottom w:val="single" w:color="2E75B6" w:sz="6" w:space="4"/>
        </w:pBdr>
        <w:spacing w:before="360" w:after="120"/>
      </w:pPr>
      <w:r>
        <w:rPr>
          <w:rFonts w:ascii="Arial" w:cs="Arial" w:eastAsia="Arial" w:hAnsi="Arial"/>
          <w:b/>
          <w:bCs/>
          <w:color w:val="1F4E79"/>
          <w:sz w:val="36"/>
          <w:szCs w:val="36"/>
        </w:rPr>
        <w:t xml:space="preserve">Section 5: Governance &amp; Ongoing Management</w:t>
      </w:r>
    </w:p>
    <w:p>
      <w:pPr>
        <w:spacing w:before="80" w:after="0"/>
      </w:pPr>
      <w:r>
        <w:t xml:space="preserve"/>
      </w:r>
    </w:p>
    <w:p>
      <w:pPr>
        <w:spacing w:before="280" w:after="80"/>
      </w:pPr>
      <w:r>
        <w:rPr>
          <w:rFonts w:ascii="Arial" w:cs="Arial" w:eastAsia="Arial" w:hAnsi="Arial"/>
          <w:b/>
          <w:bCs/>
          <w:color w:val="2E75B6"/>
          <w:sz w:val="26"/>
          <w:szCs w:val="26"/>
        </w:rPr>
        <w:t xml:space="preserve">Ongoing Operational Cadence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0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Weekly</w:t>
            </w:r>
          </w:p>
        </w:tc>
        <w:tc>
          <w:tcPr>
            <w:tcW w:type="dxa" w:w="3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Review Entra ID Protection risky users and sign-in risk alerts</w:t>
            </w:r>
          </w:p>
        </w:tc>
        <w:tc>
          <w:tcPr>
            <w:tcW w:type="dxa" w:w="3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r>
      <w:tr>
        <w:tc>
          <w:tcPr>
            <w:tcW w:type="dxa" w:w="2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Weekly</w:t>
            </w:r>
          </w:p>
        </w:tc>
        <w:tc>
          <w:tcPr>
            <w:tcW w:type="dxa" w:w="3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Review Secure Score delta and action new recommendations</w:t>
            </w:r>
          </w:p>
        </w:tc>
        <w:tc>
          <w:tcPr>
            <w:tcW w:type="dxa" w:w="3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r>
      <w:tr>
        <w:tc>
          <w:tcPr>
            <w:tcW w:type="dxa" w:w="20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Monthly</w:t>
            </w:r>
          </w:p>
        </w:tc>
        <w:tc>
          <w:tcPr>
            <w:tcW w:type="dxa" w:w="3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Privileged role access review (Entra Access Reviews)</w:t>
            </w:r>
          </w:p>
        </w:tc>
        <w:tc>
          <w:tcPr>
            <w:tcW w:type="dxa" w:w="3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 / Management</w:t>
            </w:r>
          </w:p>
        </w:tc>
      </w:tr>
      <w:tr>
        <w:tc>
          <w:tcPr>
            <w:tcW w:type="dxa" w:w="2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Monthly</w:t>
            </w:r>
          </w:p>
        </w:tc>
        <w:tc>
          <w:tcPr>
            <w:tcW w:type="dxa" w:w="3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Review CA policy change log — no unauthorized policy modifications</w:t>
            </w:r>
          </w:p>
        </w:tc>
        <w:tc>
          <w:tcPr>
            <w:tcW w:type="dxa" w:w="3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r>
      <w:tr>
        <w:tc>
          <w:tcPr>
            <w:tcW w:type="dxa" w:w="20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Quarterly</w:t>
            </w:r>
          </w:p>
        </w:tc>
        <w:tc>
          <w:tcPr>
            <w:tcW w:type="dxa" w:w="3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Full Conditional Access policy audit and re-validation</w:t>
            </w:r>
          </w:p>
        </w:tc>
        <w:tc>
          <w:tcPr>
            <w:tcW w:type="dxa" w:w="3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r>
      <w:tr>
        <w:tc>
          <w:tcPr>
            <w:tcW w:type="dxa" w:w="2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Quarterly</w:t>
            </w:r>
          </w:p>
        </w:tc>
        <w:tc>
          <w:tcPr>
            <w:tcW w:type="dxa" w:w="3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DLP policy review — tune for false positives/negatives</w:t>
            </w:r>
          </w:p>
        </w:tc>
        <w:tc>
          <w:tcPr>
            <w:tcW w:type="dxa" w:w="3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r>
      <w:tr>
        <w:tc>
          <w:tcPr>
            <w:tcW w:type="dxa" w:w="200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Quarterly</w:t>
            </w:r>
          </w:p>
        </w:tc>
        <w:tc>
          <w:tcPr>
            <w:tcW w:type="dxa" w:w="3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Penetration test or adversarial tabletop exercise</w:t>
            </w:r>
          </w:p>
        </w:tc>
        <w:tc>
          <w:tcPr>
            <w:tcW w:type="dxa" w:w="3680"/>
            <w:tcBorders>
              <w:top w:val="single" w:color="AECCE4" w:sz="1"/>
              <w:left w:val="single" w:color="AECCE4" w:sz="1"/>
              <w:bottom w:val="single" w:color="AECCE4" w:sz="1"/>
              <w:right w:val="single" w:color="AECCE4" w:sz="1"/>
            </w:tcBorders>
            <w:shd w:fill="E8F0FE" w:val="clear"/>
            <w:tcMar>
              <w:top w:type="dxa" w:w="80"/>
              <w:left w:type="dxa" w:w="120"/>
              <w:bottom w:type="dxa" w:w="80"/>
              <w:right w:type="dxa" w:w="120"/>
            </w:tcMar>
          </w:tcPr>
          <w:p>
            <w:r>
              <w:rPr>
                <w:rFonts w:ascii="Arial" w:cs="Arial" w:eastAsia="Arial" w:hAnsi="Arial"/>
                <w:b w:val="false"/>
                <w:bCs w:val="false"/>
                <w:color w:val="1A1A2E"/>
                <w:sz w:val="18"/>
                <w:szCs w:val="18"/>
              </w:rPr>
              <w:t xml:space="preserve">External or Internal</w:t>
            </w:r>
          </w:p>
        </w:tc>
      </w:tr>
      <w:tr>
        <w:tc>
          <w:tcPr>
            <w:tcW w:type="dxa" w:w="2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Annually</w:t>
            </w:r>
          </w:p>
        </w:tc>
        <w:tc>
          <w:tcPr>
            <w:tcW w:type="dxa" w:w="3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Full Zero Trust maturity assessment against Microsoft ZT Model</w:t>
            </w:r>
          </w:p>
        </w:tc>
        <w:tc>
          <w:tcPr>
            <w:tcW w:type="dxa" w:w="3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IT Admin</w:t>
            </w:r>
          </w:p>
        </w:tc>
      </w:tr>
    </w:tbl>
    <w:p>
      <w:pPr>
        <w:spacing w:before="80" w:after="0"/>
      </w:pPr>
      <w:r>
        <w:t xml:space="preserve"/>
      </w:r>
    </w:p>
    <w:p>
      <w:pPr>
        <w:spacing w:before="280" w:after="80"/>
      </w:pPr>
      <w:r>
        <w:rPr>
          <w:rFonts w:ascii="Arial" w:cs="Arial" w:eastAsia="Arial" w:hAnsi="Arial"/>
          <w:b/>
          <w:bCs/>
          <w:color w:val="2E75B6"/>
          <w:sz w:val="26"/>
          <w:szCs w:val="26"/>
        </w:rPr>
        <w:t xml:space="preserve">Break-Glass Account Requirements</w:t>
      </w:r>
    </w:p>
    <w:p>
      <w:pPr>
        <w:spacing w:before="60" w:after="60"/>
      </w:pPr>
      <w:r>
        <w:rPr>
          <w:rFonts w:ascii="Arial" w:cs="Arial" w:eastAsia="Arial" w:hAnsi="Arial"/>
          <w:color w:val="1A1A2E"/>
          <w:sz w:val="20"/>
          <w:szCs w:val="20"/>
        </w:rPr>
        <w:t xml:space="preserve">Two emergency access (break-glass) accounts must be created and maintained throughout the lifetime of this implementation. These accounts are the only exception to the Conditional Access policy stack.</w:t>
      </w:r>
    </w:p>
    <w:p>
      <w:pPr>
        <w:pStyle w:val="ListParagraph"/>
        <w:numPr>
          <w:ilvl w:val="0"/>
          <w:numId w:val="2"/>
        </w:numPr>
        <w:spacing w:before="40" w:after="40"/>
      </w:pPr>
      <w:r>
        <w:rPr>
          <w:rFonts w:ascii="Arial" w:cs="Arial" w:eastAsia="Arial" w:hAnsi="Arial"/>
          <w:color w:val="1A1A2E"/>
          <w:sz w:val="20"/>
          <w:szCs w:val="20"/>
        </w:rPr>
        <w:t xml:space="preserve">Use a naming convention that identifies them as emergency accounts (e.g., emergency-admin-01@domain.com)</w:t>
      </w:r>
    </w:p>
    <w:p>
      <w:pPr>
        <w:pStyle w:val="ListParagraph"/>
        <w:numPr>
          <w:ilvl w:val="0"/>
          <w:numId w:val="2"/>
        </w:numPr>
        <w:spacing w:before="40" w:after="40"/>
      </w:pPr>
      <w:r>
        <w:rPr>
          <w:rFonts w:ascii="Arial" w:cs="Arial" w:eastAsia="Arial" w:hAnsi="Arial"/>
          <w:color w:val="1A1A2E"/>
          <w:sz w:val="20"/>
          <w:szCs w:val="20"/>
        </w:rPr>
        <w:t xml:space="preserve">Store credentials in a physically secured location — not in a password manager</w:t>
      </w:r>
    </w:p>
    <w:p>
      <w:pPr>
        <w:pStyle w:val="ListParagraph"/>
        <w:numPr>
          <w:ilvl w:val="0"/>
          <w:numId w:val="2"/>
        </w:numPr>
        <w:spacing w:before="40" w:after="40"/>
      </w:pPr>
      <w:r>
        <w:rPr>
          <w:rFonts w:ascii="Arial" w:cs="Arial" w:eastAsia="Arial" w:hAnsi="Arial"/>
          <w:color w:val="1A1A2E"/>
          <w:sz w:val="20"/>
          <w:szCs w:val="20"/>
        </w:rPr>
        <w:t xml:space="preserve">Exclude from all Conditional Access policies, PIM, and MFA requirements</w:t>
      </w:r>
    </w:p>
    <w:p>
      <w:pPr>
        <w:pStyle w:val="ListParagraph"/>
        <w:numPr>
          <w:ilvl w:val="0"/>
          <w:numId w:val="2"/>
        </w:numPr>
        <w:spacing w:before="40" w:after="40"/>
      </w:pPr>
      <w:r>
        <w:rPr>
          <w:rFonts w:ascii="Arial" w:cs="Arial" w:eastAsia="Arial" w:hAnsi="Arial"/>
          <w:color w:val="1A1A2E"/>
          <w:sz w:val="20"/>
          <w:szCs w:val="20"/>
        </w:rPr>
        <w:t xml:space="preserve">Configure an alert in Sentinel to immediately notify on any sign-in by these accounts</w:t>
      </w:r>
    </w:p>
    <w:p>
      <w:pPr>
        <w:pStyle w:val="ListParagraph"/>
        <w:numPr>
          <w:ilvl w:val="0"/>
          <w:numId w:val="2"/>
        </w:numPr>
        <w:spacing w:before="40" w:after="40"/>
      </w:pPr>
      <w:r>
        <w:rPr>
          <w:rFonts w:ascii="Arial" w:cs="Arial" w:eastAsia="Arial" w:hAnsi="Arial"/>
          <w:color w:val="1A1A2E"/>
          <w:sz w:val="20"/>
          <w:szCs w:val="20"/>
        </w:rPr>
        <w:t xml:space="preserve">Test access quarterly — verify they can still authenticate</w:t>
      </w:r>
    </w:p>
    <w:p>
      <w:pPr>
        <w:pStyle w:val="ListParagraph"/>
        <w:numPr>
          <w:ilvl w:val="0"/>
          <w:numId w:val="2"/>
        </w:numPr>
        <w:spacing w:before="40" w:after="40"/>
      </w:pPr>
      <w:r>
        <w:rPr>
          <w:rFonts w:ascii="Arial" w:cs="Arial" w:eastAsia="Arial" w:hAnsi="Arial"/>
          <w:color w:val="1A1A2E"/>
          <w:sz w:val="20"/>
          <w:szCs w:val="20"/>
        </w:rPr>
        <w:t xml:space="preserve">Never use for day-to-day administration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00"/>
              <w:left w:type="dxa" w:w="200"/>
              <w:bottom w:type="dxa" w:w="100"/>
              <w:right w:type="dxa" w:w="200"/>
            </w:tcMar>
          </w:tcPr>
          <w:p>
            <w:r>
              <w:rPr>
                <w:rFonts w:ascii="Arial" w:cs="Arial" w:eastAsia="Arial" w:hAnsi="Arial"/>
                <w:color w:val="1F4E79"/>
                <w:sz w:val="19"/>
                <w:szCs w:val="19"/>
              </w:rPr>
              <w:t xml:space="preserve">Microsoft explicitly requires break-glass accounts as a prerequisite before enabling any Conditional Access policy. Failure to maintain these accounts could result in a complete tenant lockout with no recovery path other than a Microsoft support escalation.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6"/>
        <w:szCs w:val="16"/>
      </w:rPr>
      <w:t xml:space="preserve">CONFIDENTIAL | Versetal MSP  |  M365 Zero Trust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2026-03-20T13:57:19.418Z</dcterms:created>
  <dcterms:modified xsi:type="dcterms:W3CDTF">2026-03-20T13:57:19.419Z</dcterms:modified>
</cp:coreProperties>
</file>

<file path=docProps/custom.xml><?xml version="1.0" encoding="utf-8"?>
<Properties xmlns="http://schemas.openxmlformats.org/officeDocument/2006/custom-properties" xmlns:vt="http://schemas.openxmlformats.org/officeDocument/2006/docPropsVTypes"/>
</file>