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543" w:val="clear"/>
            <w:tcMar>
              <w:top w:type="dxa" w:w="480"/>
              <w:left w:type="dxa" w:w="400"/>
              <w:bottom w:type="dxa" w:w="480"/>
              <w:right w:type="dxa" w:w="400"/>
            </w:tcMar>
          </w:tcPr>
          <w:p>
            <w:pPr>
              <w:jc w:val="left"/>
            </w:pPr>
            <w:r>
              <w:rPr>
                <w:rFonts w:ascii="Arial" w:cs="Arial" w:eastAsia="Arial" w:hAnsi="Arial"/>
                <w:b/>
                <w:bCs/>
                <w:color w:val="FFFFFF"/>
                <w:sz w:val="72"/>
                <w:szCs w:val="72"/>
              </w:rPr>
              <w:t xml:space="preserve">Conditional Access</w:t>
            </w:r>
          </w:p>
          <w:p>
            <w:pPr>
              <w:spacing w:before="40"/>
              <w:jc w:val="left"/>
            </w:pPr>
            <w:r>
              <w:rPr>
                <w:rFonts w:ascii="Arial" w:cs="Arial" w:eastAsia="Arial" w:hAnsi="Arial"/>
                <w:b/>
                <w:bCs/>
                <w:color w:val="5BBF46"/>
                <w:sz w:val="52"/>
                <w:szCs w:val="52"/>
              </w:rPr>
              <w:t xml:space="preserve">Policy Reference Guide</w:t>
            </w:r>
          </w:p>
          <w:p>
            <w:pPr>
              <w:spacing w:before="80"/>
              <w:jc w:val="left"/>
            </w:pPr>
            <w:r>
              <w:rPr>
                <w:rFonts w:ascii="Arial" w:cs="Arial" w:eastAsia="Arial" w:hAnsi="Arial"/>
                <w:color w:val="8BAFC8"/>
                <w:sz w:val="26"/>
                <w:szCs w:val="26"/>
              </w:rPr>
              <w:t xml:space="preserve">What each policy does, why it exists, and what it protects against</w:t>
            </w:r>
          </w:p>
          <w:p>
            <w:pPr>
              <w:spacing w:before="80" w:after="0"/>
            </w:pPr>
            <w:r>
              <w:t xml:space="preserve"/>
            </w:r>
          </w:p>
          <w:p>
            <w:pPr>
              <w:pBdr>
                <w:bottom w:val="single" w:color="5BBF46" w:sz="6" w:space="1"/>
              </w:pBdr>
              <w:spacing w:before="0" w:after="0"/>
            </w:pPr>
            <w:r>
              <w:rPr>
                <w:sz w:val="2"/>
                <w:szCs w:val="2"/>
              </w:rPr>
              <w:t xml:space="preserve"/>
            </w:r>
          </w:p>
          <w:p>
            <w:pPr>
              <w:spacing w:before="40" w:after="0"/>
            </w:pPr>
            <w:r>
              <w:t xml:space="preserve"/>
            </w:r>
          </w:p>
          <w:p>
            <w:pPr>
              <w:spacing w:before="40"/>
            </w:pPr>
            <w:r>
              <w:rPr>
                <w:rFonts w:ascii="Arial" w:cs="Arial" w:eastAsia="Arial" w:hAnsi="Arial"/>
                <w:color w:val="8BAFC8"/>
                <w:sz w:val="18"/>
                <w:szCs w:val="18"/>
              </w:rPr>
              <w:t xml:space="preserve">Prepared by Versetal</w:t>
            </w:r>
          </w:p>
          <w:p>
            <w:pPr>
              <w:spacing w:before="40"/>
            </w:pPr>
            <w:r>
              <w:rPr>
                <w:rFonts w:ascii="Arial" w:cs="Arial" w:eastAsia="Arial" w:hAnsi="Arial"/>
                <w:color w:val="8BAFC8"/>
                <w:sz w:val="18"/>
                <w:szCs w:val="18"/>
              </w:rPr>
              <w:t xml:space="preserve">Audience: IT Administration Team</w:t>
            </w:r>
          </w:p>
          <w:p>
            <w:pPr>
              <w:spacing w:before="40"/>
            </w:pPr>
            <w:r>
              <w:rPr>
                <w:rFonts w:ascii="Arial" w:cs="Arial" w:eastAsia="Arial" w:hAnsi="Arial"/>
                <w:color w:val="8BAFC8"/>
                <w:sz w:val="18"/>
                <w:szCs w:val="18"/>
              </w:rPr>
              <w:t xml:space="preserve">Classification: Confidential</w:t>
            </w:r>
          </w:p>
          <w:p>
            <w:pPr>
              <w:spacing w:before="40"/>
            </w:pPr>
            <w:r>
              <w:rPr>
                <w:rFonts w:ascii="Arial" w:cs="Arial" w:eastAsia="Arial" w:hAnsi="Arial"/>
                <w:color w:val="8BAFC8"/>
                <w:sz w:val="18"/>
                <w:szCs w:val="18"/>
              </w:rPr>
              <w:t xml:space="preserve">Version 1.0</w:t>
            </w:r>
          </w:p>
        </w:tc>
      </w:tr>
    </w:tbl>
    <w:p>
      <w:r>
        <w:br w:type="page"/>
      </w:r>
    </w:p>
    <w:p>
      <w:pPr>
        <w:pBdr>
          <w:bottom w:val="single" w:color="5BBF46" w:sz="8" w:space="4"/>
        </w:pBdr>
        <w:spacing w:before="320" w:after="80"/>
      </w:pPr>
      <w:r>
        <w:rPr>
          <w:rFonts w:ascii="Arial" w:cs="Arial" w:eastAsia="Arial" w:hAnsi="Arial"/>
          <w:b/>
          <w:bCs/>
          <w:color w:val="0A2543"/>
          <w:sz w:val="38"/>
          <w:szCs w:val="38"/>
        </w:rPr>
        <w:t xml:space="preserve">Overview</w:t>
      </w:r>
    </w:p>
    <w:p>
      <w:pPr>
        <w:spacing w:before="40" w:after="0"/>
      </w:pPr>
      <w:r>
        <w:t xml:space="preserve"/>
      </w:r>
    </w:p>
    <w:p>
      <w:pPr>
        <w:spacing w:before="60" w:after="60"/>
        <w:jc w:val="left"/>
      </w:pPr>
      <w:r>
        <w:rPr>
          <w:rFonts w:ascii="Arial" w:cs="Arial" w:eastAsia="Arial" w:hAnsi="Arial"/>
          <w:color w:val="0A2543"/>
          <w:sz w:val="20"/>
          <w:szCs w:val="20"/>
        </w:rPr>
        <w:t xml:space="preserve">Conditional Access is the enforcement engine of Zero Trust in Microsoft 365. It sits between every authentication attempt and the resource being accessed, evaluating signals in real time — who is the user, what device are they on, where are they signing in from, what risk level has been detected — and makes an immediate decision to grant access, require additional verification, or block the request.</w:t>
      </w:r>
    </w:p>
    <w:p>
      <w:pPr>
        <w:spacing w:before="40" w:after="0"/>
      </w:pPr>
      <w:r>
        <w:t xml:space="preserve"/>
      </w:r>
    </w:p>
    <w:p>
      <w:pPr>
        <w:spacing w:before="60" w:after="60"/>
        <w:jc w:val="left"/>
      </w:pPr>
      <w:r>
        <w:rPr>
          <w:rFonts w:ascii="Arial" w:cs="Arial" w:eastAsia="Arial" w:hAnsi="Arial"/>
          <w:color w:val="0A2543"/>
          <w:sz w:val="20"/>
          <w:szCs w:val="20"/>
        </w:rPr>
        <w:t xml:space="preserve">This document describes each of the ten policies in the Zero Trust Conditional Access stack. For each policy it explains what the policy does in plain terms, what specific threats it protects against, a concrete real-world attack scenario it addresses, and how the policy works technically.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8"/>
              <w:bottom w:val="single" w:color="2AA7DF" w:sz="1"/>
              <w:right w:val="single" w:color="2AA7DF" w:sz="1"/>
            </w:tcBorders>
            <w:shd w:fill="EBF6FD" w:val="clear"/>
            <w:tcMar>
              <w:top w:type="dxa" w:w="140"/>
              <w:left w:type="dxa" w:w="240"/>
              <w:bottom w:type="dxa" w:w="140"/>
              <w:right w:type="dxa" w:w="200"/>
            </w:tcMar>
          </w:tcPr>
          <w:p>
            <w:pPr>
              <w:jc w:val="left"/>
            </w:pPr>
            <w:r>
              <w:rPr>
                <w:rFonts w:ascii="Arial" w:cs="Arial" w:eastAsia="Arial" w:hAnsi="Arial"/>
                <w:color w:val="0D3060"/>
                <w:sz w:val="19"/>
                <w:szCs w:val="19"/>
              </w:rPr>
              <w:t xml:space="preserve">These policies work as a stack, not in isolation. Each addresses a different attack surface. Together they provide layered, defense-in-depth protection across identity, device, location, application, and session dimensions.</w:t>
            </w:r>
          </w:p>
        </w:tc>
      </w:tr>
    </w:tbl>
    <w:p>
      <w:pPr>
        <w:spacing w:before="80" w:after="0"/>
      </w:pPr>
      <w:r>
        <w:t xml:space="preserve"/>
      </w:r>
    </w:p>
    <w:p>
      <w:pPr>
        <w:pBdr>
          <w:bottom w:val="single" w:color="5BBF46" w:sz="8" w:space="4"/>
        </w:pBdr>
        <w:spacing w:before="320" w:after="80"/>
      </w:pPr>
      <w:r>
        <w:rPr>
          <w:rFonts w:ascii="Arial" w:cs="Arial" w:eastAsia="Arial" w:hAnsi="Arial"/>
          <w:b/>
          <w:bCs/>
          <w:color w:val="0A2543"/>
          <w:sz w:val="38"/>
          <w:szCs w:val="38"/>
        </w:rPr>
        <w:t xml:space="preserve">Policy Summary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2760"/>
        <w:gridCol w:w="1440"/>
        <w:gridCol w:w="1760"/>
      </w:tblGrid>
      <w:tr>
        <w:tc>
          <w:tcPr>
            <w:tcW w:type="dxa" w:w="7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ID</w:t>
            </w:r>
          </w:p>
        </w:tc>
        <w:tc>
          <w:tcPr>
            <w:tcW w:type="dxa" w:w="27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Policy Name</w:t>
            </w:r>
          </w:p>
        </w:tc>
        <w:tc>
          <w:tcPr>
            <w:tcW w:type="dxa" w:w="276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Primary Threat</w:t>
            </w:r>
          </w:p>
        </w:tc>
        <w:tc>
          <w:tcPr>
            <w:tcW w:type="dxa" w:w="144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License</w:t>
            </w:r>
          </w:p>
        </w:tc>
        <w:tc>
          <w:tcPr>
            <w:tcW w:type="dxa" w:w="176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Phase</w:t>
            </w:r>
          </w:p>
        </w:tc>
      </w:tr>
      <w:tr>
        <w:tc>
          <w:tcPr>
            <w:tcW w:type="dxa" w:w="700"/>
            <w:tcBorders>
              <w:top w:val="single" w:color="B8D4E8" w:sz="1"/>
              <w:left w:val="single" w:color="B8D4E8" w:sz="1"/>
              <w:bottom w:val="single" w:color="B8D4E8" w:sz="1"/>
              <w:right w:val="single" w:color="B8D4E8" w:sz="1"/>
            </w:tcBorders>
            <w:shd w:fill="D6E8F5" w:val="clear"/>
            <w:tcMar>
              <w:top w:type="dxa" w:w="90"/>
              <w:left w:type="dxa" w:w="60"/>
              <w:bottom w:type="dxa" w:w="90"/>
              <w:right w:type="dxa" w:w="100"/>
            </w:tcMar>
          </w:tcPr>
          <w:p>
            <w:pPr>
              <w:jc w:val="center"/>
            </w:pPr>
            <w:r>
              <w:rPr>
                <w:rFonts w:ascii="Arial" w:cs="Arial" w:eastAsia="Arial" w:hAnsi="Arial"/>
                <w:b/>
                <w:bCs/>
                <w:color w:val="0A2543"/>
                <w:sz w:val="18"/>
                <w:szCs w:val="18"/>
              </w:rPr>
              <w:t xml:space="preserve">CA001</w:t>
            </w:r>
          </w:p>
        </w:tc>
        <w:tc>
          <w:tcPr>
            <w:tcW w:type="dxa" w:w="2700"/>
            <w:tcBorders>
              <w:top w:val="single" w:color="B8D4E8" w:sz="1"/>
              <w:left w:val="single" w:color="B8D4E8" w:sz="1"/>
              <w:bottom w:val="single" w:color="B8D4E8" w:sz="1"/>
              <w:right w:val="single" w:color="B8D4E8" w:sz="1"/>
            </w:tcBorders>
            <w:shd w:fill="D6E8F5"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Require MFA for all users</w:t>
            </w:r>
          </w:p>
        </w:tc>
        <w:tc>
          <w:tcPr>
            <w:tcW w:type="dxa" w:w="2760"/>
            <w:tcBorders>
              <w:top w:val="single" w:color="B8D4E8" w:sz="1"/>
              <w:left w:val="single" w:color="B8D4E8" w:sz="1"/>
              <w:bottom w:val="single" w:color="B8D4E8" w:sz="1"/>
              <w:right w:val="single" w:color="B8D4E8" w:sz="1"/>
            </w:tcBorders>
            <w:shd w:fill="D6E8F5"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Credential theft, password spray, brute force</w:t>
            </w:r>
          </w:p>
        </w:tc>
        <w:tc>
          <w:tcPr>
            <w:tcW w:type="dxa" w:w="1440"/>
            <w:tcBorders>
              <w:top w:val="single" w:color="B8D4E8" w:sz="1"/>
              <w:left w:val="single" w:color="B8D4E8" w:sz="1"/>
              <w:bottom w:val="single" w:color="B8D4E8" w:sz="1"/>
              <w:right w:val="single" w:color="B8D4E8" w:sz="1"/>
            </w:tcBorders>
            <w:shd w:fill="D6E8F5"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Entra P1</w:t>
            </w:r>
          </w:p>
        </w:tc>
        <w:tc>
          <w:tcPr>
            <w:tcW w:type="dxa" w:w="1760"/>
            <w:tcBorders>
              <w:top w:val="single" w:color="B8D4E8" w:sz="1"/>
              <w:left w:val="single" w:color="B8D4E8" w:sz="1"/>
              <w:bottom w:val="single" w:color="B8D4E8" w:sz="1"/>
              <w:right w:val="single" w:color="B8D4E8" w:sz="1"/>
            </w:tcBorders>
            <w:shd w:fill="D6E8F5"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Phase 1</w:t>
            </w:r>
          </w:p>
        </w:tc>
      </w:tr>
      <w:tr>
        <w:tc>
          <w:tcPr>
            <w:tcW w:type="dxa" w:w="700"/>
            <w:tcBorders>
              <w:top w:val="single" w:color="B8D4E8" w:sz="1"/>
              <w:left w:val="single" w:color="B8D4E8" w:sz="1"/>
              <w:bottom w:val="single" w:color="B8D4E8" w:sz="1"/>
              <w:right w:val="single" w:color="B8D4E8" w:sz="1"/>
            </w:tcBorders>
            <w:shd w:fill="FFFFFF" w:val="clear"/>
            <w:tcMar>
              <w:top w:type="dxa" w:w="90"/>
              <w:left w:type="dxa" w:w="60"/>
              <w:bottom w:type="dxa" w:w="90"/>
              <w:right w:type="dxa" w:w="100"/>
            </w:tcMar>
          </w:tcPr>
          <w:p>
            <w:pPr>
              <w:jc w:val="center"/>
            </w:pPr>
            <w:r>
              <w:rPr>
                <w:rFonts w:ascii="Arial" w:cs="Arial" w:eastAsia="Arial" w:hAnsi="Arial"/>
                <w:b/>
                <w:bCs/>
                <w:color w:val="0A2543"/>
                <w:sz w:val="18"/>
                <w:szCs w:val="18"/>
              </w:rPr>
              <w:t xml:space="preserve">CA002</w:t>
            </w:r>
          </w:p>
        </w:tc>
        <w:tc>
          <w:tcPr>
            <w:tcW w:type="dxa" w:w="2700"/>
            <w:tcBorders>
              <w:top w:val="single" w:color="B8D4E8" w:sz="1"/>
              <w:left w:val="single" w:color="B8D4E8" w:sz="1"/>
              <w:bottom w:val="single" w:color="B8D4E8" w:sz="1"/>
              <w:right w:val="single" w:color="B8D4E8" w:sz="1"/>
            </w:tcBorders>
            <w:shd w:fill="FFFFFF"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Block legacy authentication</w:t>
            </w:r>
          </w:p>
        </w:tc>
        <w:tc>
          <w:tcPr>
            <w:tcW w:type="dxa" w:w="2760"/>
            <w:tcBorders>
              <w:top w:val="single" w:color="B8D4E8" w:sz="1"/>
              <w:left w:val="single" w:color="B8D4E8" w:sz="1"/>
              <w:bottom w:val="single" w:color="B8D4E8" w:sz="1"/>
              <w:right w:val="single" w:color="B8D4E8" w:sz="1"/>
            </w:tcBorders>
            <w:shd w:fill="FFFFFF"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Legacy protocol bypass of MFA</w:t>
            </w:r>
          </w:p>
        </w:tc>
        <w:tc>
          <w:tcPr>
            <w:tcW w:type="dxa" w:w="1440"/>
            <w:tcBorders>
              <w:top w:val="single" w:color="B8D4E8" w:sz="1"/>
              <w:left w:val="single" w:color="B8D4E8" w:sz="1"/>
              <w:bottom w:val="single" w:color="B8D4E8" w:sz="1"/>
              <w:right w:val="single" w:color="B8D4E8" w:sz="1"/>
            </w:tcBorders>
            <w:shd w:fill="FFFFFF"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Entra P1</w:t>
            </w:r>
          </w:p>
        </w:tc>
        <w:tc>
          <w:tcPr>
            <w:tcW w:type="dxa" w:w="1760"/>
            <w:tcBorders>
              <w:top w:val="single" w:color="B8D4E8" w:sz="1"/>
              <w:left w:val="single" w:color="B8D4E8" w:sz="1"/>
              <w:bottom w:val="single" w:color="B8D4E8" w:sz="1"/>
              <w:right w:val="single" w:color="B8D4E8" w:sz="1"/>
            </w:tcBorders>
            <w:shd w:fill="FFFFFF"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Phase 1</w:t>
            </w:r>
          </w:p>
        </w:tc>
      </w:tr>
      <w:tr>
        <w:tc>
          <w:tcPr>
            <w:tcW w:type="dxa" w:w="700"/>
            <w:tcBorders>
              <w:top w:val="single" w:color="B8D4E8" w:sz="1"/>
              <w:left w:val="single" w:color="B8D4E8" w:sz="1"/>
              <w:bottom w:val="single" w:color="B8D4E8" w:sz="1"/>
              <w:right w:val="single" w:color="B8D4E8" w:sz="1"/>
            </w:tcBorders>
            <w:shd w:fill="D6E8F5" w:val="clear"/>
            <w:tcMar>
              <w:top w:type="dxa" w:w="90"/>
              <w:left w:type="dxa" w:w="60"/>
              <w:bottom w:type="dxa" w:w="90"/>
              <w:right w:type="dxa" w:w="100"/>
            </w:tcMar>
          </w:tcPr>
          <w:p>
            <w:pPr>
              <w:jc w:val="center"/>
            </w:pPr>
            <w:r>
              <w:rPr>
                <w:rFonts w:ascii="Arial" w:cs="Arial" w:eastAsia="Arial" w:hAnsi="Arial"/>
                <w:b/>
                <w:bCs/>
                <w:color w:val="0A2543"/>
                <w:sz w:val="18"/>
                <w:szCs w:val="18"/>
              </w:rPr>
              <w:t xml:space="preserve">CA003</w:t>
            </w:r>
          </w:p>
        </w:tc>
        <w:tc>
          <w:tcPr>
            <w:tcW w:type="dxa" w:w="2700"/>
            <w:tcBorders>
              <w:top w:val="single" w:color="B8D4E8" w:sz="1"/>
              <w:left w:val="single" w:color="B8D4E8" w:sz="1"/>
              <w:bottom w:val="single" w:color="B8D4E8" w:sz="1"/>
              <w:right w:val="single" w:color="B8D4E8" w:sz="1"/>
            </w:tcBorders>
            <w:shd w:fill="D6E8F5"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Phishing-resistant MFA for admins</w:t>
            </w:r>
          </w:p>
        </w:tc>
        <w:tc>
          <w:tcPr>
            <w:tcW w:type="dxa" w:w="2760"/>
            <w:tcBorders>
              <w:top w:val="single" w:color="B8D4E8" w:sz="1"/>
              <w:left w:val="single" w:color="B8D4E8" w:sz="1"/>
              <w:bottom w:val="single" w:color="B8D4E8" w:sz="1"/>
              <w:right w:val="single" w:color="B8D4E8" w:sz="1"/>
            </w:tcBorders>
            <w:shd w:fill="D6E8F5"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AiTM phishing, token relay attacks on admin accounts</w:t>
            </w:r>
          </w:p>
        </w:tc>
        <w:tc>
          <w:tcPr>
            <w:tcW w:type="dxa" w:w="1440"/>
            <w:tcBorders>
              <w:top w:val="single" w:color="B8D4E8" w:sz="1"/>
              <w:left w:val="single" w:color="B8D4E8" w:sz="1"/>
              <w:bottom w:val="single" w:color="B8D4E8" w:sz="1"/>
              <w:right w:val="single" w:color="B8D4E8" w:sz="1"/>
            </w:tcBorders>
            <w:shd w:fill="D6E8F5"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Entra P1</w:t>
            </w:r>
          </w:p>
        </w:tc>
        <w:tc>
          <w:tcPr>
            <w:tcW w:type="dxa" w:w="1760"/>
            <w:tcBorders>
              <w:top w:val="single" w:color="B8D4E8" w:sz="1"/>
              <w:left w:val="single" w:color="B8D4E8" w:sz="1"/>
              <w:bottom w:val="single" w:color="B8D4E8" w:sz="1"/>
              <w:right w:val="single" w:color="B8D4E8" w:sz="1"/>
            </w:tcBorders>
            <w:shd w:fill="D6E8F5"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Phase 1</w:t>
            </w:r>
          </w:p>
        </w:tc>
      </w:tr>
      <w:tr>
        <w:tc>
          <w:tcPr>
            <w:tcW w:type="dxa" w:w="700"/>
            <w:tcBorders>
              <w:top w:val="single" w:color="B8D4E8" w:sz="1"/>
              <w:left w:val="single" w:color="B8D4E8" w:sz="1"/>
              <w:bottom w:val="single" w:color="B8D4E8" w:sz="1"/>
              <w:right w:val="single" w:color="B8D4E8" w:sz="1"/>
            </w:tcBorders>
            <w:shd w:fill="FFFFFF" w:val="clear"/>
            <w:tcMar>
              <w:top w:type="dxa" w:w="90"/>
              <w:left w:type="dxa" w:w="60"/>
              <w:bottom w:type="dxa" w:w="90"/>
              <w:right w:type="dxa" w:w="100"/>
            </w:tcMar>
          </w:tcPr>
          <w:p>
            <w:pPr>
              <w:jc w:val="center"/>
            </w:pPr>
            <w:r>
              <w:rPr>
                <w:rFonts w:ascii="Arial" w:cs="Arial" w:eastAsia="Arial" w:hAnsi="Arial"/>
                <w:b/>
                <w:bCs/>
                <w:color w:val="0A2543"/>
                <w:sz w:val="18"/>
                <w:szCs w:val="18"/>
              </w:rPr>
              <w:t xml:space="preserve">CA004</w:t>
            </w:r>
          </w:p>
        </w:tc>
        <w:tc>
          <w:tcPr>
            <w:tcW w:type="dxa" w:w="2700"/>
            <w:tcBorders>
              <w:top w:val="single" w:color="B8D4E8" w:sz="1"/>
              <w:left w:val="single" w:color="B8D4E8" w:sz="1"/>
              <w:bottom w:val="single" w:color="B8D4E8" w:sz="1"/>
              <w:right w:val="single" w:color="B8D4E8" w:sz="1"/>
            </w:tcBorders>
            <w:shd w:fill="FFFFFF"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Block high-risk sign-ins</w:t>
            </w:r>
          </w:p>
        </w:tc>
        <w:tc>
          <w:tcPr>
            <w:tcW w:type="dxa" w:w="2760"/>
            <w:tcBorders>
              <w:top w:val="single" w:color="B8D4E8" w:sz="1"/>
              <w:left w:val="single" w:color="B8D4E8" w:sz="1"/>
              <w:bottom w:val="single" w:color="B8D4E8" w:sz="1"/>
              <w:right w:val="single" w:color="B8D4E8" w:sz="1"/>
            </w:tcBorders>
            <w:shd w:fill="FFFFFF"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Compromised account access, attacker infrastructure</w:t>
            </w:r>
          </w:p>
        </w:tc>
        <w:tc>
          <w:tcPr>
            <w:tcW w:type="dxa" w:w="1440"/>
            <w:tcBorders>
              <w:top w:val="single" w:color="B8D4E8" w:sz="1"/>
              <w:left w:val="single" w:color="B8D4E8" w:sz="1"/>
              <w:bottom w:val="single" w:color="B8D4E8" w:sz="1"/>
              <w:right w:val="single" w:color="B8D4E8" w:sz="1"/>
            </w:tcBorders>
            <w:shd w:fill="FFFFFF"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Entra P2</w:t>
            </w:r>
          </w:p>
        </w:tc>
        <w:tc>
          <w:tcPr>
            <w:tcW w:type="dxa" w:w="1760"/>
            <w:tcBorders>
              <w:top w:val="single" w:color="B8D4E8" w:sz="1"/>
              <w:left w:val="single" w:color="B8D4E8" w:sz="1"/>
              <w:bottom w:val="single" w:color="B8D4E8" w:sz="1"/>
              <w:right w:val="single" w:color="B8D4E8" w:sz="1"/>
            </w:tcBorders>
            <w:shd w:fill="FFFFFF"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Phase 1</w:t>
            </w:r>
          </w:p>
        </w:tc>
      </w:tr>
      <w:tr>
        <w:tc>
          <w:tcPr>
            <w:tcW w:type="dxa" w:w="700"/>
            <w:tcBorders>
              <w:top w:val="single" w:color="B8D4E8" w:sz="1"/>
              <w:left w:val="single" w:color="B8D4E8" w:sz="1"/>
              <w:bottom w:val="single" w:color="B8D4E8" w:sz="1"/>
              <w:right w:val="single" w:color="B8D4E8" w:sz="1"/>
            </w:tcBorders>
            <w:shd w:fill="D6E8F5" w:val="clear"/>
            <w:tcMar>
              <w:top w:type="dxa" w:w="90"/>
              <w:left w:type="dxa" w:w="60"/>
              <w:bottom w:type="dxa" w:w="90"/>
              <w:right w:type="dxa" w:w="100"/>
            </w:tcMar>
          </w:tcPr>
          <w:p>
            <w:pPr>
              <w:jc w:val="center"/>
            </w:pPr>
            <w:r>
              <w:rPr>
                <w:rFonts w:ascii="Arial" w:cs="Arial" w:eastAsia="Arial" w:hAnsi="Arial"/>
                <w:b/>
                <w:bCs/>
                <w:color w:val="0A2543"/>
                <w:sz w:val="18"/>
                <w:szCs w:val="18"/>
              </w:rPr>
              <w:t xml:space="preserve">CA005</w:t>
            </w:r>
          </w:p>
        </w:tc>
        <w:tc>
          <w:tcPr>
            <w:tcW w:type="dxa" w:w="2700"/>
            <w:tcBorders>
              <w:top w:val="single" w:color="B8D4E8" w:sz="1"/>
              <w:left w:val="single" w:color="B8D4E8" w:sz="1"/>
              <w:bottom w:val="single" w:color="B8D4E8" w:sz="1"/>
              <w:right w:val="single" w:color="B8D4E8" w:sz="1"/>
            </w:tcBorders>
            <w:shd w:fill="D6E8F5"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Password change for high-risk users</w:t>
            </w:r>
          </w:p>
        </w:tc>
        <w:tc>
          <w:tcPr>
            <w:tcW w:type="dxa" w:w="2760"/>
            <w:tcBorders>
              <w:top w:val="single" w:color="B8D4E8" w:sz="1"/>
              <w:left w:val="single" w:color="B8D4E8" w:sz="1"/>
              <w:bottom w:val="single" w:color="B8D4E8" w:sz="1"/>
              <w:right w:val="single" w:color="B8D4E8" w:sz="1"/>
            </w:tcBorders>
            <w:shd w:fill="D6E8F5"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Leaked or breached credentials actively in use</w:t>
            </w:r>
          </w:p>
        </w:tc>
        <w:tc>
          <w:tcPr>
            <w:tcW w:type="dxa" w:w="1440"/>
            <w:tcBorders>
              <w:top w:val="single" w:color="B8D4E8" w:sz="1"/>
              <w:left w:val="single" w:color="B8D4E8" w:sz="1"/>
              <w:bottom w:val="single" w:color="B8D4E8" w:sz="1"/>
              <w:right w:val="single" w:color="B8D4E8" w:sz="1"/>
            </w:tcBorders>
            <w:shd w:fill="D6E8F5"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Entra P2</w:t>
            </w:r>
          </w:p>
        </w:tc>
        <w:tc>
          <w:tcPr>
            <w:tcW w:type="dxa" w:w="1760"/>
            <w:tcBorders>
              <w:top w:val="single" w:color="B8D4E8" w:sz="1"/>
              <w:left w:val="single" w:color="B8D4E8" w:sz="1"/>
              <w:bottom w:val="single" w:color="B8D4E8" w:sz="1"/>
              <w:right w:val="single" w:color="B8D4E8" w:sz="1"/>
            </w:tcBorders>
            <w:shd w:fill="D6E8F5"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Phase 1</w:t>
            </w:r>
          </w:p>
        </w:tc>
      </w:tr>
      <w:tr>
        <w:tc>
          <w:tcPr>
            <w:tcW w:type="dxa" w:w="700"/>
            <w:tcBorders>
              <w:top w:val="single" w:color="B8D4E8" w:sz="1"/>
              <w:left w:val="single" w:color="B8D4E8" w:sz="1"/>
              <w:bottom w:val="single" w:color="B8D4E8" w:sz="1"/>
              <w:right w:val="single" w:color="B8D4E8" w:sz="1"/>
            </w:tcBorders>
            <w:shd w:fill="FFFFFF" w:val="clear"/>
            <w:tcMar>
              <w:top w:type="dxa" w:w="90"/>
              <w:left w:type="dxa" w:w="60"/>
              <w:bottom w:type="dxa" w:w="90"/>
              <w:right w:type="dxa" w:w="100"/>
            </w:tcMar>
          </w:tcPr>
          <w:p>
            <w:pPr>
              <w:jc w:val="center"/>
            </w:pPr>
            <w:r>
              <w:rPr>
                <w:rFonts w:ascii="Arial" w:cs="Arial" w:eastAsia="Arial" w:hAnsi="Arial"/>
                <w:b/>
                <w:bCs/>
                <w:color w:val="0A2543"/>
                <w:sz w:val="18"/>
                <w:szCs w:val="18"/>
              </w:rPr>
              <w:t xml:space="preserve">CA006</w:t>
            </w:r>
          </w:p>
        </w:tc>
        <w:tc>
          <w:tcPr>
            <w:tcW w:type="dxa" w:w="2700"/>
            <w:tcBorders>
              <w:top w:val="single" w:color="B8D4E8" w:sz="1"/>
              <w:left w:val="single" w:color="B8D4E8" w:sz="1"/>
              <w:bottom w:val="single" w:color="B8D4E8" w:sz="1"/>
              <w:right w:val="single" w:color="B8D4E8" w:sz="1"/>
            </w:tcBorders>
            <w:shd w:fill="FFFFFF"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Require compliant device</w:t>
            </w:r>
          </w:p>
        </w:tc>
        <w:tc>
          <w:tcPr>
            <w:tcW w:type="dxa" w:w="2760"/>
            <w:tcBorders>
              <w:top w:val="single" w:color="B8D4E8" w:sz="1"/>
              <w:left w:val="single" w:color="B8D4E8" w:sz="1"/>
              <w:bottom w:val="single" w:color="B8D4E8" w:sz="1"/>
              <w:right w:val="single" w:color="B8D4E8" w:sz="1"/>
            </w:tcBorders>
            <w:shd w:fill="FFFFFF"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Unmanaged device access, session token replay</w:t>
            </w:r>
          </w:p>
        </w:tc>
        <w:tc>
          <w:tcPr>
            <w:tcW w:type="dxa" w:w="1440"/>
            <w:tcBorders>
              <w:top w:val="single" w:color="B8D4E8" w:sz="1"/>
              <w:left w:val="single" w:color="B8D4E8" w:sz="1"/>
              <w:bottom w:val="single" w:color="B8D4E8" w:sz="1"/>
              <w:right w:val="single" w:color="B8D4E8" w:sz="1"/>
            </w:tcBorders>
            <w:shd w:fill="FFFFFF"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Intune</w:t>
            </w:r>
          </w:p>
        </w:tc>
        <w:tc>
          <w:tcPr>
            <w:tcW w:type="dxa" w:w="1760"/>
            <w:tcBorders>
              <w:top w:val="single" w:color="B8D4E8" w:sz="1"/>
              <w:left w:val="single" w:color="B8D4E8" w:sz="1"/>
              <w:bottom w:val="single" w:color="B8D4E8" w:sz="1"/>
              <w:right w:val="single" w:color="B8D4E8" w:sz="1"/>
            </w:tcBorders>
            <w:shd w:fill="FFFFFF"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Phase 2</w:t>
            </w:r>
          </w:p>
        </w:tc>
      </w:tr>
      <w:tr>
        <w:tc>
          <w:tcPr>
            <w:tcW w:type="dxa" w:w="700"/>
            <w:tcBorders>
              <w:top w:val="single" w:color="B8D4E8" w:sz="1"/>
              <w:left w:val="single" w:color="B8D4E8" w:sz="1"/>
              <w:bottom w:val="single" w:color="B8D4E8" w:sz="1"/>
              <w:right w:val="single" w:color="B8D4E8" w:sz="1"/>
            </w:tcBorders>
            <w:shd w:fill="D6E8F5" w:val="clear"/>
            <w:tcMar>
              <w:top w:type="dxa" w:w="90"/>
              <w:left w:type="dxa" w:w="60"/>
              <w:bottom w:type="dxa" w:w="90"/>
              <w:right w:type="dxa" w:w="100"/>
            </w:tcMar>
          </w:tcPr>
          <w:p>
            <w:pPr>
              <w:jc w:val="center"/>
            </w:pPr>
            <w:r>
              <w:rPr>
                <w:rFonts w:ascii="Arial" w:cs="Arial" w:eastAsia="Arial" w:hAnsi="Arial"/>
                <w:b/>
                <w:bCs/>
                <w:color w:val="0A2543"/>
                <w:sz w:val="18"/>
                <w:szCs w:val="18"/>
              </w:rPr>
              <w:t xml:space="preserve">CA007</w:t>
            </w:r>
          </w:p>
        </w:tc>
        <w:tc>
          <w:tcPr>
            <w:tcW w:type="dxa" w:w="2700"/>
            <w:tcBorders>
              <w:top w:val="single" w:color="B8D4E8" w:sz="1"/>
              <w:left w:val="single" w:color="B8D4E8" w:sz="1"/>
              <w:bottom w:val="single" w:color="B8D4E8" w:sz="1"/>
              <w:right w:val="single" w:color="B8D4E8" w:sz="1"/>
            </w:tcBorders>
            <w:shd w:fill="D6E8F5"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App protection policy for mobile</w:t>
            </w:r>
          </w:p>
        </w:tc>
        <w:tc>
          <w:tcPr>
            <w:tcW w:type="dxa" w:w="2760"/>
            <w:tcBorders>
              <w:top w:val="single" w:color="B8D4E8" w:sz="1"/>
              <w:left w:val="single" w:color="B8D4E8" w:sz="1"/>
              <w:bottom w:val="single" w:color="B8D4E8" w:sz="1"/>
              <w:right w:val="single" w:color="B8D4E8" w:sz="1"/>
            </w:tcBorders>
            <w:shd w:fill="D6E8F5"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Mobile data exfiltration, personal app data leakage</w:t>
            </w:r>
          </w:p>
        </w:tc>
        <w:tc>
          <w:tcPr>
            <w:tcW w:type="dxa" w:w="1440"/>
            <w:tcBorders>
              <w:top w:val="single" w:color="B8D4E8" w:sz="1"/>
              <w:left w:val="single" w:color="B8D4E8" w:sz="1"/>
              <w:bottom w:val="single" w:color="B8D4E8" w:sz="1"/>
              <w:right w:val="single" w:color="B8D4E8" w:sz="1"/>
            </w:tcBorders>
            <w:shd w:fill="D6E8F5"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Intune APP</w:t>
            </w:r>
          </w:p>
        </w:tc>
        <w:tc>
          <w:tcPr>
            <w:tcW w:type="dxa" w:w="1760"/>
            <w:tcBorders>
              <w:top w:val="single" w:color="B8D4E8" w:sz="1"/>
              <w:left w:val="single" w:color="B8D4E8" w:sz="1"/>
              <w:bottom w:val="single" w:color="B8D4E8" w:sz="1"/>
              <w:right w:val="single" w:color="B8D4E8" w:sz="1"/>
            </w:tcBorders>
            <w:shd w:fill="D6E8F5"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Phase 2</w:t>
            </w:r>
          </w:p>
        </w:tc>
      </w:tr>
      <w:tr>
        <w:tc>
          <w:tcPr>
            <w:tcW w:type="dxa" w:w="700"/>
            <w:tcBorders>
              <w:top w:val="single" w:color="B8D4E8" w:sz="1"/>
              <w:left w:val="single" w:color="B8D4E8" w:sz="1"/>
              <w:bottom w:val="single" w:color="B8D4E8" w:sz="1"/>
              <w:right w:val="single" w:color="B8D4E8" w:sz="1"/>
            </w:tcBorders>
            <w:shd w:fill="FFFFFF" w:val="clear"/>
            <w:tcMar>
              <w:top w:type="dxa" w:w="90"/>
              <w:left w:type="dxa" w:w="60"/>
              <w:bottom w:type="dxa" w:w="90"/>
              <w:right w:type="dxa" w:w="100"/>
            </w:tcMar>
          </w:tcPr>
          <w:p>
            <w:pPr>
              <w:jc w:val="center"/>
            </w:pPr>
            <w:r>
              <w:rPr>
                <w:rFonts w:ascii="Arial" w:cs="Arial" w:eastAsia="Arial" w:hAnsi="Arial"/>
                <w:b/>
                <w:bCs/>
                <w:color w:val="0A2543"/>
                <w:sz w:val="18"/>
                <w:szCs w:val="18"/>
              </w:rPr>
              <w:t xml:space="preserve">CA008</w:t>
            </w:r>
          </w:p>
        </w:tc>
        <w:tc>
          <w:tcPr>
            <w:tcW w:type="dxa" w:w="2700"/>
            <w:tcBorders>
              <w:top w:val="single" w:color="B8D4E8" w:sz="1"/>
              <w:left w:val="single" w:color="B8D4E8" w:sz="1"/>
              <w:bottom w:val="single" w:color="B8D4E8" w:sz="1"/>
              <w:right w:val="single" w:color="B8D4E8" w:sz="1"/>
            </w:tcBorders>
            <w:shd w:fill="FFFFFF"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MFA from untrusted locations</w:t>
            </w:r>
          </w:p>
        </w:tc>
        <w:tc>
          <w:tcPr>
            <w:tcW w:type="dxa" w:w="2760"/>
            <w:tcBorders>
              <w:top w:val="single" w:color="B8D4E8" w:sz="1"/>
              <w:left w:val="single" w:color="B8D4E8" w:sz="1"/>
              <w:bottom w:val="single" w:color="B8D4E8" w:sz="1"/>
              <w:right w:val="single" w:color="B8D4E8" w:sz="1"/>
            </w:tcBorders>
            <w:shd w:fill="FFFFFF"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Access from unexpected or foreign locations</w:t>
            </w:r>
          </w:p>
        </w:tc>
        <w:tc>
          <w:tcPr>
            <w:tcW w:type="dxa" w:w="1440"/>
            <w:tcBorders>
              <w:top w:val="single" w:color="B8D4E8" w:sz="1"/>
              <w:left w:val="single" w:color="B8D4E8" w:sz="1"/>
              <w:bottom w:val="single" w:color="B8D4E8" w:sz="1"/>
              <w:right w:val="single" w:color="B8D4E8" w:sz="1"/>
            </w:tcBorders>
            <w:shd w:fill="FFFFFF"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Entra P1</w:t>
            </w:r>
          </w:p>
        </w:tc>
        <w:tc>
          <w:tcPr>
            <w:tcW w:type="dxa" w:w="1760"/>
            <w:tcBorders>
              <w:top w:val="single" w:color="B8D4E8" w:sz="1"/>
              <w:left w:val="single" w:color="B8D4E8" w:sz="1"/>
              <w:bottom w:val="single" w:color="B8D4E8" w:sz="1"/>
              <w:right w:val="single" w:color="B8D4E8" w:sz="1"/>
            </w:tcBorders>
            <w:shd w:fill="FFFFFF"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Phase 1</w:t>
            </w:r>
          </w:p>
        </w:tc>
      </w:tr>
      <w:tr>
        <w:tc>
          <w:tcPr>
            <w:tcW w:type="dxa" w:w="700"/>
            <w:tcBorders>
              <w:top w:val="single" w:color="B8D4E8" w:sz="1"/>
              <w:left w:val="single" w:color="B8D4E8" w:sz="1"/>
              <w:bottom w:val="single" w:color="B8D4E8" w:sz="1"/>
              <w:right w:val="single" w:color="B8D4E8" w:sz="1"/>
            </w:tcBorders>
            <w:shd w:fill="D6E8F5" w:val="clear"/>
            <w:tcMar>
              <w:top w:type="dxa" w:w="90"/>
              <w:left w:type="dxa" w:w="60"/>
              <w:bottom w:type="dxa" w:w="90"/>
              <w:right w:type="dxa" w:w="100"/>
            </w:tcMar>
          </w:tcPr>
          <w:p>
            <w:pPr>
              <w:jc w:val="center"/>
            </w:pPr>
            <w:r>
              <w:rPr>
                <w:rFonts w:ascii="Arial" w:cs="Arial" w:eastAsia="Arial" w:hAnsi="Arial"/>
                <w:b/>
                <w:bCs/>
                <w:color w:val="0A2543"/>
                <w:sz w:val="18"/>
                <w:szCs w:val="18"/>
              </w:rPr>
              <w:t xml:space="preserve">CA009</w:t>
            </w:r>
          </w:p>
        </w:tc>
        <w:tc>
          <w:tcPr>
            <w:tcW w:type="dxa" w:w="2700"/>
            <w:tcBorders>
              <w:top w:val="single" w:color="B8D4E8" w:sz="1"/>
              <w:left w:val="single" w:color="B8D4E8" w:sz="1"/>
              <w:bottom w:val="single" w:color="B8D4E8" w:sz="1"/>
              <w:right w:val="single" w:color="B8D4E8" w:sz="1"/>
            </w:tcBorders>
            <w:shd w:fill="D6E8F5"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MFA for Azure management</w:t>
            </w:r>
          </w:p>
        </w:tc>
        <w:tc>
          <w:tcPr>
            <w:tcW w:type="dxa" w:w="2760"/>
            <w:tcBorders>
              <w:top w:val="single" w:color="B8D4E8" w:sz="1"/>
              <w:left w:val="single" w:color="B8D4E8" w:sz="1"/>
              <w:bottom w:val="single" w:color="B8D4E8" w:sz="1"/>
              <w:right w:val="single" w:color="B8D4E8" w:sz="1"/>
            </w:tcBorders>
            <w:shd w:fill="D6E8F5"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Azure infrastructure takeover, subscription abuse</w:t>
            </w:r>
          </w:p>
        </w:tc>
        <w:tc>
          <w:tcPr>
            <w:tcW w:type="dxa" w:w="1440"/>
            <w:tcBorders>
              <w:top w:val="single" w:color="B8D4E8" w:sz="1"/>
              <w:left w:val="single" w:color="B8D4E8" w:sz="1"/>
              <w:bottom w:val="single" w:color="B8D4E8" w:sz="1"/>
              <w:right w:val="single" w:color="B8D4E8" w:sz="1"/>
            </w:tcBorders>
            <w:shd w:fill="D6E8F5"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Entra P1</w:t>
            </w:r>
          </w:p>
        </w:tc>
        <w:tc>
          <w:tcPr>
            <w:tcW w:type="dxa" w:w="1760"/>
            <w:tcBorders>
              <w:top w:val="single" w:color="B8D4E8" w:sz="1"/>
              <w:left w:val="single" w:color="B8D4E8" w:sz="1"/>
              <w:bottom w:val="single" w:color="B8D4E8" w:sz="1"/>
              <w:right w:val="single" w:color="B8D4E8" w:sz="1"/>
            </w:tcBorders>
            <w:shd w:fill="D6E8F5"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Phase 1</w:t>
            </w:r>
          </w:p>
        </w:tc>
      </w:tr>
      <w:tr>
        <w:tc>
          <w:tcPr>
            <w:tcW w:type="dxa" w:w="700"/>
            <w:tcBorders>
              <w:top w:val="single" w:color="B8D4E8" w:sz="1"/>
              <w:left w:val="single" w:color="B8D4E8" w:sz="1"/>
              <w:bottom w:val="single" w:color="B8D4E8" w:sz="1"/>
              <w:right w:val="single" w:color="B8D4E8" w:sz="1"/>
            </w:tcBorders>
            <w:shd w:fill="FFFFFF" w:val="clear"/>
            <w:tcMar>
              <w:top w:type="dxa" w:w="90"/>
              <w:left w:type="dxa" w:w="60"/>
              <w:bottom w:type="dxa" w:w="90"/>
              <w:right w:type="dxa" w:w="100"/>
            </w:tcMar>
          </w:tcPr>
          <w:p>
            <w:pPr>
              <w:jc w:val="center"/>
            </w:pPr>
            <w:r>
              <w:rPr>
                <w:rFonts w:ascii="Arial" w:cs="Arial" w:eastAsia="Arial" w:hAnsi="Arial"/>
                <w:b/>
                <w:bCs/>
                <w:color w:val="0A2543"/>
                <w:sz w:val="18"/>
                <w:szCs w:val="18"/>
              </w:rPr>
              <w:t xml:space="preserve">CA010</w:t>
            </w:r>
          </w:p>
        </w:tc>
        <w:tc>
          <w:tcPr>
            <w:tcW w:type="dxa" w:w="2700"/>
            <w:tcBorders>
              <w:top w:val="single" w:color="B8D4E8" w:sz="1"/>
              <w:left w:val="single" w:color="B8D4E8" w:sz="1"/>
              <w:bottom w:val="single" w:color="B8D4E8" w:sz="1"/>
              <w:right w:val="single" w:color="B8D4E8" w:sz="1"/>
            </w:tcBorders>
            <w:shd w:fill="FFFFFF"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Session controls via MCAS</w:t>
            </w:r>
          </w:p>
        </w:tc>
        <w:tc>
          <w:tcPr>
            <w:tcW w:type="dxa" w:w="2760"/>
            <w:tcBorders>
              <w:top w:val="single" w:color="B8D4E8" w:sz="1"/>
              <w:left w:val="single" w:color="B8D4E8" w:sz="1"/>
              <w:bottom w:val="single" w:color="B8D4E8" w:sz="1"/>
              <w:right w:val="single" w:color="B8D4E8" w:sz="1"/>
            </w:tcBorders>
            <w:shd w:fill="FFFFFF"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Browser-based data exfiltration, unmanaged devices</w:t>
            </w:r>
          </w:p>
        </w:tc>
        <w:tc>
          <w:tcPr>
            <w:tcW w:type="dxa" w:w="1440"/>
            <w:tcBorders>
              <w:top w:val="single" w:color="B8D4E8" w:sz="1"/>
              <w:left w:val="single" w:color="B8D4E8" w:sz="1"/>
              <w:bottom w:val="single" w:color="B8D4E8" w:sz="1"/>
              <w:right w:val="single" w:color="B8D4E8" w:sz="1"/>
            </w:tcBorders>
            <w:shd w:fill="FFFFFF"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MDCA</w:t>
            </w:r>
          </w:p>
        </w:tc>
        <w:tc>
          <w:tcPr>
            <w:tcW w:type="dxa" w:w="1760"/>
            <w:tcBorders>
              <w:top w:val="single" w:color="B8D4E8" w:sz="1"/>
              <w:left w:val="single" w:color="B8D4E8" w:sz="1"/>
              <w:bottom w:val="single" w:color="B8D4E8" w:sz="1"/>
              <w:right w:val="single" w:color="B8D4E8" w:sz="1"/>
            </w:tcBorders>
            <w:shd w:fill="FFFFFF" w:val="clear"/>
            <w:tcMar>
              <w:top w:type="dxa" w:w="90"/>
              <w:left w:type="dxa" w:w="130"/>
              <w:bottom w:type="dxa" w:w="90"/>
              <w:right w:type="dxa" w:w="100"/>
            </w:tcMar>
          </w:tcPr>
          <w:p>
            <w:pPr>
              <w:jc w:val="left"/>
            </w:pPr>
            <w:r>
              <w:rPr>
                <w:rFonts w:ascii="Arial" w:cs="Arial" w:eastAsia="Arial" w:hAnsi="Arial"/>
                <w:b w:val="false"/>
                <w:bCs w:val="false"/>
                <w:color w:val="0A2543"/>
                <w:sz w:val="18"/>
                <w:szCs w:val="18"/>
              </w:rPr>
              <w:t xml:space="preserve">Phase 4</w:t>
            </w:r>
          </w:p>
        </w:tc>
      </w:tr>
    </w:tbl>
    <w:p>
      <w:pPr>
        <w:spacing w:before="80" w:after="0"/>
      </w:pPr>
      <w:r>
        <w:t xml:space="preserve"/>
      </w:r>
    </w:p>
    <w:p>
      <w:r>
        <w:br w:type="page"/>
      </w:r>
    </w:p>
    <w:p>
      <w:pPr>
        <w:pBdr>
          <w:bottom w:val="single" w:color="5BBF46" w:sz="8" w:space="4"/>
        </w:pBdr>
        <w:spacing w:before="320" w:after="80"/>
      </w:pPr>
      <w:r>
        <w:rPr>
          <w:rFonts w:ascii="Arial" w:cs="Arial" w:eastAsia="Arial" w:hAnsi="Arial"/>
          <w:b/>
          <w:bCs/>
          <w:color w:val="0A2543"/>
          <w:sz w:val="38"/>
          <w:szCs w:val="38"/>
        </w:rPr>
        <w:t xml:space="preserve">Licensing Requirements</w:t>
      </w:r>
    </w:p>
    <w:p>
      <w:pPr>
        <w:spacing w:before="40" w:after="0"/>
      </w:pPr>
      <w:r>
        <w:t xml:space="preserve"/>
      </w:r>
    </w:p>
    <w:p>
      <w:pPr>
        <w:spacing w:before="60" w:after="60"/>
        <w:jc w:val="left"/>
      </w:pPr>
      <w:r>
        <w:rPr>
          <w:rFonts w:ascii="Arial" w:cs="Arial" w:eastAsia="Arial" w:hAnsi="Arial"/>
          <w:color w:val="0A2543"/>
          <w:sz w:val="20"/>
          <w:szCs w:val="20"/>
        </w:rPr>
        <w:t xml:space="preserve">The ten policies span four licensing tiers. Most capabilities are included in Microsoft 365 Business Premium or E3. The two risk-based policies (CA004 and CA005) require Entra ID P2, and the session control policy (CA010) requires Defender for Cloud Apps.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License</w:t>
            </w:r>
          </w:p>
        </w:tc>
        <w:tc>
          <w:tcPr>
            <w:tcW w:type="dxa" w:w="36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Included In</w:t>
            </w:r>
          </w:p>
        </w:tc>
        <w:tc>
          <w:tcPr>
            <w:tcW w:type="dxa" w:w="336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Required For</w:t>
            </w:r>
          </w:p>
        </w:tc>
      </w:tr>
      <w:tr>
        <w:tc>
          <w:tcPr>
            <w:tcW w:type="dxa" w:w="2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Entra ID P1</w:t>
            </w:r>
          </w:p>
        </w:tc>
        <w:tc>
          <w:tcPr>
            <w:tcW w:type="dxa" w:w="36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M365 Business Premium, M365 E3, EMS E3, standalone</w:t>
            </w:r>
          </w:p>
        </w:tc>
        <w:tc>
          <w:tcPr>
            <w:tcW w:type="dxa" w:w="33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CA001, CA002, CA003, CA008, CA009</w:t>
            </w:r>
          </w:p>
        </w:tc>
      </w:tr>
      <w:tr>
        <w:tc>
          <w:tcPr>
            <w:tcW w:type="dxa" w:w="2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Entra ID P2</w:t>
            </w:r>
          </w:p>
        </w:tc>
        <w:tc>
          <w:tcPr>
            <w:tcW w:type="dxa" w:w="36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M365 E5, EMS E5, or standalone add-on to E3</w:t>
            </w:r>
          </w:p>
        </w:tc>
        <w:tc>
          <w:tcPr>
            <w:tcW w:type="dxa" w:w="33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CA004 (high-risk sign-ins), CA005 (high-risk users)</w:t>
            </w:r>
          </w:p>
        </w:tc>
      </w:tr>
      <w:tr>
        <w:tc>
          <w:tcPr>
            <w:tcW w:type="dxa" w:w="2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Microsoft Intune</w:t>
            </w:r>
          </w:p>
        </w:tc>
        <w:tc>
          <w:tcPr>
            <w:tcW w:type="dxa" w:w="36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M365 Business Premium, M365 E3, EMS E3</w:t>
            </w:r>
          </w:p>
        </w:tc>
        <w:tc>
          <w:tcPr>
            <w:tcW w:type="dxa" w:w="33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CA006 (device compliance), CA007 (app protection)</w:t>
            </w:r>
          </w:p>
        </w:tc>
      </w:tr>
      <w:tr>
        <w:tc>
          <w:tcPr>
            <w:tcW w:type="dxa" w:w="2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Defender for Cloud Apps</w:t>
            </w:r>
          </w:p>
        </w:tc>
        <w:tc>
          <w:tcPr>
            <w:tcW w:type="dxa" w:w="36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M365 E5, EMS E5, or standalone</w:t>
            </w:r>
          </w:p>
        </w:tc>
        <w:tc>
          <w:tcPr>
            <w:tcW w:type="dxa" w:w="33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CA010 (session controls)</w:t>
            </w:r>
          </w:p>
        </w:tc>
      </w:tr>
    </w:tbl>
    <w:p>
      <w:pPr>
        <w:spacing w:before="80" w:after="0"/>
      </w:pPr>
      <w:r>
        <w:t xml:space="preserve"/>
      </w:r>
    </w:p>
    <w:p>
      <w:r>
        <w:br w:type="page"/>
      </w:r>
    </w:p>
    <w:p>
      <w:pPr>
        <w:pBdr>
          <w:bottom w:val="single" w:color="5BBF46" w:sz="8" w:space="4"/>
        </w:pBdr>
        <w:spacing w:before="320" w:after="80"/>
      </w:pPr>
      <w:r>
        <w:rPr>
          <w:rFonts w:ascii="Arial" w:cs="Arial" w:eastAsia="Arial" w:hAnsi="Arial"/>
          <w:b/>
          <w:bCs/>
          <w:color w:val="0A2543"/>
          <w:sz w:val="38"/>
          <w:szCs w:val="38"/>
        </w:rPr>
        <w:t xml:space="preserve">Policy Detail Reference</w:t>
      </w:r>
    </w:p>
    <w:p>
      <w:pPr>
        <w:spacing w:before="20" w:after="0"/>
      </w:pPr>
      <w:r>
        <w:t xml:space="preserve"/>
      </w:r>
    </w:p>
    <w:p>
      <w:pPr>
        <w:spacing w:before="60" w:after="60"/>
        <w:jc w:val="left"/>
      </w:pPr>
      <w:r>
        <w:rPr>
          <w:rFonts w:ascii="Arial" w:cs="Arial" w:eastAsia="Arial" w:hAnsi="Arial"/>
          <w:color w:val="0A2543"/>
          <w:sz w:val="20"/>
          <w:szCs w:val="20"/>
        </w:rPr>
        <w:t xml:space="preserve">Each policy is documented with a consistent structure. The Attack Scenario row describes a concrete real-world threat. The How It Works row describes the technical mechanism. Where present, the Important row describes prerequisites that must be in place before the policy is enabled.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5BBF46" w:sz="1"/>
              <w:left w:val="single" w:color="5BBF46" w:sz="1"/>
              <w:bottom w:val="single" w:color="5BBF46" w:sz="1"/>
              <w:right w:val="single" w:color="5BBF46" w:sz="1"/>
            </w:tcBorders>
            <w:shd w:fill="5BBF46"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CA001</w:t>
            </w:r>
          </w:p>
        </w:tc>
        <w:tc>
          <w:tcPr>
            <w:tcW w:type="dxa" w:w="8600"/>
            <w:tcBorders>
              <w:top w:val="single" w:color="0A2543" w:sz="1"/>
              <w:left w:val="single" w:color="0A2543" w:sz="1"/>
              <w:bottom w:val="single" w:color="0A2543" w:sz="1"/>
              <w:right w:val="single" w:color="0A2543" w:sz="1"/>
            </w:tcBorders>
            <w:shd w:fill="0A2543" w:val="clear"/>
            <w:tcMar>
              <w:top w:type="dxa" w:w="120"/>
              <w:left w:type="dxa" w:w="200"/>
              <w:bottom w:type="dxa" w:w="120"/>
              <w:right w:type="dxa" w:w="160"/>
            </w:tcMar>
          </w:tcPr>
          <w:p>
            <w:r>
              <w:rPr>
                <w:rFonts w:ascii="Arial" w:cs="Arial" w:eastAsia="Arial" w:hAnsi="Arial"/>
                <w:b/>
                <w:bCs/>
                <w:color w:val="FFFFFF"/>
                <w:sz w:val="24"/>
                <w:szCs w:val="24"/>
              </w:rPr>
              <w:t xml:space="preserve">Require MFA for All Users</w:t>
            </w:r>
          </w:p>
          <w:p>
            <w:pPr>
              <w:spacing w:before="30"/>
            </w:pPr>
            <w:r>
              <w:rPr>
                <w:rFonts w:ascii="Arial" w:cs="Arial" w:eastAsia="Arial" w:hAnsi="Arial"/>
                <w:color w:val="8BAFC8"/>
                <w:sz w:val="17"/>
                <w:szCs w:val="17"/>
              </w:rPr>
              <w:t xml:space="preserve">Entra ID P1  |  Phase 1 — Week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What it does</w:t>
            </w:r>
          </w:p>
        </w:tc>
        <w:tc>
          <w:tcPr>
            <w:tcW w:type="dxa" w:w="7680"/>
            <w:tcBorders>
              <w:top w:val="single" w:color="B8D4E8" w:sz="1"/>
              <w:left w:val="single" w:color="B8D4E8" w:sz="1"/>
              <w:bottom w:val="single" w:color="B8D4E8" w:sz="1"/>
              <w:right w:val="single" w:color="B8D4E8" w:sz="1"/>
            </w:tcBorders>
            <w:shd w:fill="FFFFFF" w:val="clear"/>
            <w:tcMar>
              <w:top w:type="dxa" w:w="120"/>
              <w:left w:type="dxa" w:w="160"/>
              <w:bottom w:type="dxa" w:w="120"/>
              <w:right w:type="dxa" w:w="160"/>
            </w:tcMar>
          </w:tcPr>
          <w:p>
            <w:pPr>
              <w:jc w:val="left"/>
            </w:pPr>
            <w:r>
              <w:rPr>
                <w:rFonts w:ascii="Arial" w:cs="Arial" w:eastAsia="Arial" w:hAnsi="Arial"/>
                <w:b w:val="false"/>
                <w:bCs w:val="false"/>
                <w:color w:val="0A2543"/>
                <w:sz w:val="19"/>
                <w:szCs w:val="19"/>
              </w:rPr>
              <w:t xml:space="preserve">Every user must complete multi-factor authentication on every sign-in, for every Microsoft 365 application. A password alone is no longer sufficient to gain access to any organizational resource.</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Protects against</w:t>
            </w:r>
          </w:p>
        </w:tc>
        <w:tc>
          <w:tcPr>
            <w:tcW w:type="dxa" w:w="7680"/>
            <w:tcBorders>
              <w:top w:val="single" w:color="B8D4E8" w:sz="1"/>
              <w:left w:val="single" w:color="B8D4E8" w:sz="1"/>
              <w:bottom w:val="single" w:color="B8D4E8" w:sz="1"/>
              <w:right w:val="single" w:color="B8D4E8" w:sz="1"/>
            </w:tcBorders>
            <w:shd w:fill="D6E8F5" w:val="clear"/>
            <w:tcMar>
              <w:top w:type="dxa" w:w="120"/>
              <w:left w:type="dxa" w:w="160"/>
              <w:bottom w:type="dxa" w:w="120"/>
              <w:right w:type="dxa" w:w="160"/>
            </w:tcMar>
          </w:tcPr>
          <w:p>
            <w:pPr>
              <w:jc w:val="left"/>
            </w:pPr>
            <w:r>
              <w:rPr>
                <w:rFonts w:ascii="Arial" w:cs="Arial" w:eastAsia="Arial" w:hAnsi="Arial"/>
                <w:b w:val="false"/>
                <w:bCs w:val="false"/>
                <w:color w:val="0A2543"/>
                <w:sz w:val="19"/>
                <w:szCs w:val="19"/>
              </w:rPr>
              <w:t xml:space="preserve">Password spray attacks, credential stuffing, phishing-stolen passwords, brute force attacks, and any scenario where an attacker has obtained a valid username and password through any means.</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Attack scenario</w:t>
            </w:r>
          </w:p>
        </w:tc>
        <w:tc>
          <w:tcPr>
            <w:tcW w:type="dxa" w:w="7680"/>
            <w:tcBorders>
              <w:top w:val="single" w:color="B8D4E8" w:sz="1"/>
              <w:left w:val="single" w:color="B8D4E8" w:sz="1"/>
              <w:bottom w:val="single" w:color="B8D4E8" w:sz="1"/>
              <w:right w:val="single" w:color="B8D4E8" w:sz="1"/>
            </w:tcBorders>
            <w:shd w:fill="FDECEA" w:val="clear"/>
            <w:tcMar>
              <w:top w:type="dxa" w:w="120"/>
              <w:left w:type="dxa" w:w="160"/>
              <w:bottom w:type="dxa" w:w="120"/>
              <w:right w:type="dxa" w:w="160"/>
            </w:tcMar>
          </w:tcPr>
          <w:p>
            <w:pPr>
              <w:jc w:val="left"/>
            </w:pPr>
            <w:r>
              <w:rPr>
                <w:rFonts w:ascii="Arial" w:cs="Arial" w:eastAsia="Arial" w:hAnsi="Arial"/>
                <w:b w:val="false"/>
                <w:bCs w:val="false"/>
                <w:color w:val="7B1A1A"/>
                <w:sz w:val="19"/>
                <w:szCs w:val="19"/>
              </w:rPr>
              <w:t xml:space="preserve">An attacker purchases 50,000 leaked credential pairs from the dark web and runs them against your M365 tenant. Without CA001, any credential match grants immediate full access to email, SharePoint, and Teams. With CA001 active, every successful password match still requires a second factor the attacker does not possess — the attack yields nothing.</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How it works</w:t>
            </w:r>
          </w:p>
        </w:tc>
        <w:tc>
          <w:tcPr>
            <w:tcW w:type="dxa" w:w="7680"/>
            <w:tcBorders>
              <w:top w:val="single" w:color="B8D4E8" w:sz="1"/>
              <w:left w:val="single" w:color="B8D4E8" w:sz="1"/>
              <w:bottom w:val="single" w:color="B8D4E8" w:sz="1"/>
              <w:right w:val="single" w:color="B8D4E8" w:sz="1"/>
            </w:tcBorders>
            <w:shd w:fill="EBF9E8" w:val="clear"/>
            <w:tcMar>
              <w:top w:type="dxa" w:w="120"/>
              <w:left w:type="dxa" w:w="160"/>
              <w:bottom w:type="dxa" w:w="120"/>
              <w:right w:type="dxa" w:w="160"/>
            </w:tcMar>
          </w:tcPr>
          <w:p>
            <w:pPr>
              <w:jc w:val="left"/>
            </w:pPr>
            <w:r>
              <w:rPr>
                <w:rFonts w:ascii="Arial" w:cs="Arial" w:eastAsia="Arial" w:hAnsi="Arial"/>
                <w:b w:val="false"/>
                <w:bCs w:val="false"/>
                <w:color w:val="1A5C0A"/>
                <w:sz w:val="19"/>
                <w:szCs w:val="19"/>
              </w:rPr>
              <w:t xml:space="preserve">When a user signs in, Entra ID evaluates this policy and checks whether MFA has been satisfied in the current session. If not, the user is prompted via Microsoft Authenticator, a FIDO2 key, or another registered method. Only after successful MFA is an authentication token issued. Applies to all cloud apps including Exchange Online, SharePoint, Teams, and connected SaaS applications.</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Important</w:t>
            </w:r>
          </w:p>
        </w:tc>
        <w:tc>
          <w:tcPr>
            <w:tcW w:type="dxa" w:w="7680"/>
            <w:tcBorders>
              <w:top w:val="single" w:color="B8D4E8" w:sz="1"/>
              <w:left w:val="single" w:color="B8D4E8" w:sz="1"/>
              <w:bottom w:val="single" w:color="B8D4E8" w:sz="1"/>
              <w:right w:val="single" w:color="B8D4E8" w:sz="1"/>
            </w:tcBorders>
            <w:shd w:fill="FDF3E3" w:val="clear"/>
            <w:tcMar>
              <w:top w:type="dxa" w:w="120"/>
              <w:left w:type="dxa" w:w="160"/>
              <w:bottom w:type="dxa" w:w="120"/>
              <w:right w:type="dxa" w:w="160"/>
            </w:tcMar>
          </w:tcPr>
          <w:p>
            <w:pPr>
              <w:jc w:val="left"/>
            </w:pPr>
            <w:r>
              <w:rPr>
                <w:rFonts w:ascii="Arial" w:cs="Arial" w:eastAsia="Arial" w:hAnsi="Arial"/>
                <w:b/>
                <w:bCs/>
                <w:color w:val="6B4200"/>
                <w:sz w:val="19"/>
                <w:szCs w:val="19"/>
              </w:rPr>
              <w:t xml:space="preserve">Deploy in Report-only mode first. Ensure all users have registered an MFA method via the SSPR combined registration page (aka.ms/mfasetup) before enabling. A 14-day registration period is recommended.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5BBF46" w:sz="1"/>
              <w:left w:val="single" w:color="5BBF46" w:sz="1"/>
              <w:bottom w:val="single" w:color="5BBF46" w:sz="1"/>
              <w:right w:val="single" w:color="5BBF46" w:sz="1"/>
            </w:tcBorders>
            <w:shd w:fill="5BBF46"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CA002</w:t>
            </w:r>
          </w:p>
        </w:tc>
        <w:tc>
          <w:tcPr>
            <w:tcW w:type="dxa" w:w="8600"/>
            <w:tcBorders>
              <w:top w:val="single" w:color="0A2543" w:sz="1"/>
              <w:left w:val="single" w:color="0A2543" w:sz="1"/>
              <w:bottom w:val="single" w:color="0A2543" w:sz="1"/>
              <w:right w:val="single" w:color="0A2543" w:sz="1"/>
            </w:tcBorders>
            <w:shd w:fill="0A2543" w:val="clear"/>
            <w:tcMar>
              <w:top w:type="dxa" w:w="120"/>
              <w:left w:type="dxa" w:w="200"/>
              <w:bottom w:type="dxa" w:w="120"/>
              <w:right w:type="dxa" w:w="160"/>
            </w:tcMar>
          </w:tcPr>
          <w:p>
            <w:r>
              <w:rPr>
                <w:rFonts w:ascii="Arial" w:cs="Arial" w:eastAsia="Arial" w:hAnsi="Arial"/>
                <w:b/>
                <w:bCs/>
                <w:color w:val="FFFFFF"/>
                <w:sz w:val="24"/>
                <w:szCs w:val="24"/>
              </w:rPr>
              <w:t xml:space="preserve">Block Legacy Authentication Protocols</w:t>
            </w:r>
          </w:p>
          <w:p>
            <w:pPr>
              <w:spacing w:before="30"/>
            </w:pPr>
            <w:r>
              <w:rPr>
                <w:rFonts w:ascii="Arial" w:cs="Arial" w:eastAsia="Arial" w:hAnsi="Arial"/>
                <w:color w:val="8BAFC8"/>
                <w:sz w:val="17"/>
                <w:szCs w:val="17"/>
              </w:rPr>
              <w:t xml:space="preserve">Entra ID P1  |  Phase 1 — Week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What it does</w:t>
            </w:r>
          </w:p>
        </w:tc>
        <w:tc>
          <w:tcPr>
            <w:tcW w:type="dxa" w:w="7680"/>
            <w:tcBorders>
              <w:top w:val="single" w:color="B8D4E8" w:sz="1"/>
              <w:left w:val="single" w:color="B8D4E8" w:sz="1"/>
              <w:bottom w:val="single" w:color="B8D4E8" w:sz="1"/>
              <w:right w:val="single" w:color="B8D4E8" w:sz="1"/>
            </w:tcBorders>
            <w:shd w:fill="FFFFFF" w:val="clear"/>
            <w:tcMar>
              <w:top w:type="dxa" w:w="120"/>
              <w:left w:type="dxa" w:w="160"/>
              <w:bottom w:type="dxa" w:w="120"/>
              <w:right w:type="dxa" w:w="160"/>
            </w:tcMar>
          </w:tcPr>
          <w:p>
            <w:pPr>
              <w:jc w:val="left"/>
            </w:pPr>
            <w:r>
              <w:rPr>
                <w:rFonts w:ascii="Arial" w:cs="Arial" w:eastAsia="Arial" w:hAnsi="Arial"/>
                <w:b w:val="false"/>
                <w:bCs w:val="false"/>
                <w:color w:val="0A2543"/>
                <w:sz w:val="19"/>
                <w:szCs w:val="19"/>
              </w:rPr>
              <w:t xml:space="preserve">Blocks all sign-in attempts using legacy authentication clients — including IMAP, POP3, SMTP AUTH, older Office clients using Basic Authentication, and Exchange ActiveSync with Basic Auth. These protocols predate modern security standards and cannot enforce MFA.</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Protects against</w:t>
            </w:r>
          </w:p>
        </w:tc>
        <w:tc>
          <w:tcPr>
            <w:tcW w:type="dxa" w:w="7680"/>
            <w:tcBorders>
              <w:top w:val="single" w:color="B8D4E8" w:sz="1"/>
              <w:left w:val="single" w:color="B8D4E8" w:sz="1"/>
              <w:bottom w:val="single" w:color="B8D4E8" w:sz="1"/>
              <w:right w:val="single" w:color="B8D4E8" w:sz="1"/>
            </w:tcBorders>
            <w:shd w:fill="D6E8F5" w:val="clear"/>
            <w:tcMar>
              <w:top w:type="dxa" w:w="120"/>
              <w:left w:type="dxa" w:w="160"/>
              <w:bottom w:type="dxa" w:w="120"/>
              <w:right w:type="dxa" w:w="160"/>
            </w:tcMar>
          </w:tcPr>
          <w:p>
            <w:pPr>
              <w:jc w:val="left"/>
            </w:pPr>
            <w:r>
              <w:rPr>
                <w:rFonts w:ascii="Arial" w:cs="Arial" w:eastAsia="Arial" w:hAnsi="Arial"/>
                <w:b w:val="false"/>
                <w:bCs w:val="false"/>
                <w:color w:val="0A2543"/>
                <w:sz w:val="19"/>
                <w:szCs w:val="19"/>
              </w:rPr>
              <w:t xml:space="preserve">Authentication bypass attacks that target protocols which cannot prompt for a second factor. Any account reachable via a legacy protocol is vulnerable to password spray regardless of whether MFA is configured — because the protocol itself bypasses the MFA challenge entirely.</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Attack scenario</w:t>
            </w:r>
          </w:p>
        </w:tc>
        <w:tc>
          <w:tcPr>
            <w:tcW w:type="dxa" w:w="7680"/>
            <w:tcBorders>
              <w:top w:val="single" w:color="B8D4E8" w:sz="1"/>
              <w:left w:val="single" w:color="B8D4E8" w:sz="1"/>
              <w:bottom w:val="single" w:color="B8D4E8" w:sz="1"/>
              <w:right w:val="single" w:color="B8D4E8" w:sz="1"/>
            </w:tcBorders>
            <w:shd w:fill="FDECEA" w:val="clear"/>
            <w:tcMar>
              <w:top w:type="dxa" w:w="120"/>
              <w:left w:type="dxa" w:w="160"/>
              <w:bottom w:type="dxa" w:w="120"/>
              <w:right w:type="dxa" w:w="160"/>
            </w:tcMar>
          </w:tcPr>
          <w:p>
            <w:pPr>
              <w:jc w:val="left"/>
            </w:pPr>
            <w:r>
              <w:rPr>
                <w:rFonts w:ascii="Arial" w:cs="Arial" w:eastAsia="Arial" w:hAnsi="Arial"/>
                <w:b w:val="false"/>
                <w:bCs w:val="false"/>
                <w:color w:val="7B1A1A"/>
                <w:sz w:val="19"/>
                <w:szCs w:val="19"/>
              </w:rPr>
              <w:t xml:space="preserve">An attacker discovers that SMTP AUTH is enabled on your Exchange Online tenant. Using an automated script, they attempt thousands of username and password combinations against the SMTP endpoint. This vector completely bypasses MFA because SMTP cannot prompt for a second factor. CA002 blocks this at the Conditional Access layer before the authentication reaches Exchange Online.</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How it works</w:t>
            </w:r>
          </w:p>
        </w:tc>
        <w:tc>
          <w:tcPr>
            <w:tcW w:type="dxa" w:w="7680"/>
            <w:tcBorders>
              <w:top w:val="single" w:color="B8D4E8" w:sz="1"/>
              <w:left w:val="single" w:color="B8D4E8" w:sz="1"/>
              <w:bottom w:val="single" w:color="B8D4E8" w:sz="1"/>
              <w:right w:val="single" w:color="B8D4E8" w:sz="1"/>
            </w:tcBorders>
            <w:shd w:fill="EBF9E8" w:val="clear"/>
            <w:tcMar>
              <w:top w:type="dxa" w:w="120"/>
              <w:left w:type="dxa" w:w="160"/>
              <w:bottom w:type="dxa" w:w="120"/>
              <w:right w:type="dxa" w:w="160"/>
            </w:tcMar>
          </w:tcPr>
          <w:p>
            <w:pPr>
              <w:jc w:val="left"/>
            </w:pPr>
            <w:r>
              <w:rPr>
                <w:rFonts w:ascii="Arial" w:cs="Arial" w:eastAsia="Arial" w:hAnsi="Arial"/>
                <w:b w:val="false"/>
                <w:bCs w:val="false"/>
                <w:color w:val="1A5C0A"/>
                <w:sz w:val="19"/>
                <w:szCs w:val="19"/>
              </w:rPr>
              <w:t xml:space="preserve">The policy targets the client app types of 'Exchange ActiveSync' and 'Other clients' — the two Microsoft categories covering all legacy protocol traffic. When Entra ID detects a sign-in attempt using these client types, the policy fires and issues a block decision before any credential validation occurs. Modern clients using OAuth 2.0 (Outlook, Teams, browser) are entirely unaffected.</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Important</w:t>
            </w:r>
          </w:p>
        </w:tc>
        <w:tc>
          <w:tcPr>
            <w:tcW w:type="dxa" w:w="7680"/>
            <w:tcBorders>
              <w:top w:val="single" w:color="B8D4E8" w:sz="1"/>
              <w:left w:val="single" w:color="B8D4E8" w:sz="1"/>
              <w:bottom w:val="single" w:color="B8D4E8" w:sz="1"/>
              <w:right w:val="single" w:color="B8D4E8" w:sz="1"/>
            </w:tcBorders>
            <w:shd w:fill="FDF3E3" w:val="clear"/>
            <w:tcMar>
              <w:top w:type="dxa" w:w="120"/>
              <w:left w:type="dxa" w:w="160"/>
              <w:bottom w:type="dxa" w:w="120"/>
              <w:right w:type="dxa" w:w="160"/>
            </w:tcMar>
          </w:tcPr>
          <w:p>
            <w:pPr>
              <w:jc w:val="left"/>
            </w:pPr>
            <w:r>
              <w:rPr>
                <w:rFonts w:ascii="Arial" w:cs="Arial" w:eastAsia="Arial" w:hAnsi="Arial"/>
                <w:b/>
                <w:bCs/>
                <w:color w:val="6B4200"/>
                <w:sz w:val="19"/>
                <w:szCs w:val="19"/>
              </w:rPr>
              <w:t xml:space="preserve">Before enabling, review 30 days of sign-in logs filtered by Client App = 'Other clients' and 'Exchange ActiveSync'. Document any printers, scanners, or line-of-business applications using Basic Auth. These must be migrated or given documented exceptions before the block is enabled.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5BBF46" w:sz="1"/>
              <w:left w:val="single" w:color="5BBF46" w:sz="1"/>
              <w:bottom w:val="single" w:color="5BBF46" w:sz="1"/>
              <w:right w:val="single" w:color="5BBF46" w:sz="1"/>
            </w:tcBorders>
            <w:shd w:fill="5BBF46"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CA003</w:t>
            </w:r>
          </w:p>
        </w:tc>
        <w:tc>
          <w:tcPr>
            <w:tcW w:type="dxa" w:w="8600"/>
            <w:tcBorders>
              <w:top w:val="single" w:color="0A2543" w:sz="1"/>
              <w:left w:val="single" w:color="0A2543" w:sz="1"/>
              <w:bottom w:val="single" w:color="0A2543" w:sz="1"/>
              <w:right w:val="single" w:color="0A2543" w:sz="1"/>
            </w:tcBorders>
            <w:shd w:fill="0A2543" w:val="clear"/>
            <w:tcMar>
              <w:top w:type="dxa" w:w="120"/>
              <w:left w:type="dxa" w:w="200"/>
              <w:bottom w:type="dxa" w:w="120"/>
              <w:right w:type="dxa" w:w="160"/>
            </w:tcMar>
          </w:tcPr>
          <w:p>
            <w:r>
              <w:rPr>
                <w:rFonts w:ascii="Arial" w:cs="Arial" w:eastAsia="Arial" w:hAnsi="Arial"/>
                <w:b/>
                <w:bCs/>
                <w:color w:val="FFFFFF"/>
                <w:sz w:val="24"/>
                <w:szCs w:val="24"/>
              </w:rPr>
              <w:t xml:space="preserve">Require Phishing-Resistant MFA for Admins</w:t>
            </w:r>
          </w:p>
          <w:p>
            <w:pPr>
              <w:spacing w:before="30"/>
            </w:pPr>
            <w:r>
              <w:rPr>
                <w:rFonts w:ascii="Arial" w:cs="Arial" w:eastAsia="Arial" w:hAnsi="Arial"/>
                <w:color w:val="8BAFC8"/>
                <w:sz w:val="17"/>
                <w:szCs w:val="17"/>
              </w:rPr>
              <w:t xml:space="preserve">Entra ID P1  |  Phase 1 — Week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What it does</w:t>
            </w:r>
          </w:p>
        </w:tc>
        <w:tc>
          <w:tcPr>
            <w:tcW w:type="dxa" w:w="7680"/>
            <w:tcBorders>
              <w:top w:val="single" w:color="B8D4E8" w:sz="1"/>
              <w:left w:val="single" w:color="B8D4E8" w:sz="1"/>
              <w:bottom w:val="single" w:color="B8D4E8" w:sz="1"/>
              <w:right w:val="single" w:color="B8D4E8" w:sz="1"/>
            </w:tcBorders>
            <w:shd w:fill="FFFFFF" w:val="clear"/>
            <w:tcMar>
              <w:top w:type="dxa" w:w="120"/>
              <w:left w:type="dxa" w:w="160"/>
              <w:bottom w:type="dxa" w:w="120"/>
              <w:right w:type="dxa" w:w="160"/>
            </w:tcMar>
          </w:tcPr>
          <w:p>
            <w:pPr>
              <w:jc w:val="left"/>
            </w:pPr>
            <w:r>
              <w:rPr>
                <w:rFonts w:ascii="Arial" w:cs="Arial" w:eastAsia="Arial" w:hAnsi="Arial"/>
                <w:b w:val="false"/>
                <w:bCs w:val="false"/>
                <w:color w:val="0A2543"/>
                <w:sz w:val="19"/>
                <w:szCs w:val="19"/>
              </w:rPr>
              <w:t xml:space="preserve">Requires all users with privileged directory roles — Global Administrators, Security Administrators, Privileged Role Administrators, and others — to authenticate exclusively using phishing-resistant methods: FIDO2 hardware security keys or Windows Hello for Business. Standard authenticator app or SMS MFA is not accepted for these accounts.</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Protects against</w:t>
            </w:r>
          </w:p>
        </w:tc>
        <w:tc>
          <w:tcPr>
            <w:tcW w:type="dxa" w:w="7680"/>
            <w:tcBorders>
              <w:top w:val="single" w:color="B8D4E8" w:sz="1"/>
              <w:left w:val="single" w:color="B8D4E8" w:sz="1"/>
              <w:bottom w:val="single" w:color="B8D4E8" w:sz="1"/>
              <w:right w:val="single" w:color="B8D4E8" w:sz="1"/>
            </w:tcBorders>
            <w:shd w:fill="D6E8F5" w:val="clear"/>
            <w:tcMar>
              <w:top w:type="dxa" w:w="120"/>
              <w:left w:type="dxa" w:w="160"/>
              <w:bottom w:type="dxa" w:w="120"/>
              <w:right w:type="dxa" w:w="160"/>
            </w:tcMar>
          </w:tcPr>
          <w:p>
            <w:pPr>
              <w:jc w:val="left"/>
            </w:pPr>
            <w:r>
              <w:rPr>
                <w:rFonts w:ascii="Arial" w:cs="Arial" w:eastAsia="Arial" w:hAnsi="Arial"/>
                <w:b w:val="false"/>
                <w:bCs w:val="false"/>
                <w:color w:val="0A2543"/>
                <w:sz w:val="19"/>
                <w:szCs w:val="19"/>
              </w:rPr>
              <w:t xml:space="preserve">Adversary-in-the-Middle (AiTM) phishing attacks that intercept and relay MFA tokens in real time. This attack class has become the dominant method for bypassing standard MFA and underpins the majority of modern Business Email Compromise campaigns targeting organizations.</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Attack scenario</w:t>
            </w:r>
          </w:p>
        </w:tc>
        <w:tc>
          <w:tcPr>
            <w:tcW w:type="dxa" w:w="7680"/>
            <w:tcBorders>
              <w:top w:val="single" w:color="B8D4E8" w:sz="1"/>
              <w:left w:val="single" w:color="B8D4E8" w:sz="1"/>
              <w:bottom w:val="single" w:color="B8D4E8" w:sz="1"/>
              <w:right w:val="single" w:color="B8D4E8" w:sz="1"/>
            </w:tcBorders>
            <w:shd w:fill="FDECEA" w:val="clear"/>
            <w:tcMar>
              <w:top w:type="dxa" w:w="120"/>
              <w:left w:type="dxa" w:w="160"/>
              <w:bottom w:type="dxa" w:w="120"/>
              <w:right w:type="dxa" w:w="160"/>
            </w:tcMar>
          </w:tcPr>
          <w:p>
            <w:pPr>
              <w:jc w:val="left"/>
            </w:pPr>
            <w:r>
              <w:rPr>
                <w:rFonts w:ascii="Arial" w:cs="Arial" w:eastAsia="Arial" w:hAnsi="Arial"/>
                <w:b w:val="false"/>
                <w:bCs w:val="false"/>
                <w:color w:val="7B1A1A"/>
                <w:sz w:val="19"/>
                <w:szCs w:val="19"/>
              </w:rPr>
              <w:t xml:space="preserve">An attacker sends a convincing phishing email to a Global Administrator with a link to a reverse proxy (e.g., Evilginx). When the admin enters credentials and approves an Authenticator push notification, the attacker's proxy relays everything in real time and captures the authenticated session token — completely bypassing standard MFA. FIDO2 keys and Windows Hello are cryptographically bound to the legitimate origin domain and cannot be relayed this way.</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How it works</w:t>
            </w:r>
          </w:p>
        </w:tc>
        <w:tc>
          <w:tcPr>
            <w:tcW w:type="dxa" w:w="7680"/>
            <w:tcBorders>
              <w:top w:val="single" w:color="B8D4E8" w:sz="1"/>
              <w:left w:val="single" w:color="B8D4E8" w:sz="1"/>
              <w:bottom w:val="single" w:color="B8D4E8" w:sz="1"/>
              <w:right w:val="single" w:color="B8D4E8" w:sz="1"/>
            </w:tcBorders>
            <w:shd w:fill="EBF9E8" w:val="clear"/>
            <w:tcMar>
              <w:top w:type="dxa" w:w="120"/>
              <w:left w:type="dxa" w:w="160"/>
              <w:bottom w:type="dxa" w:w="120"/>
              <w:right w:type="dxa" w:w="160"/>
            </w:tcMar>
          </w:tcPr>
          <w:p>
            <w:pPr>
              <w:jc w:val="left"/>
            </w:pPr>
            <w:r>
              <w:rPr>
                <w:rFonts w:ascii="Arial" w:cs="Arial" w:eastAsia="Arial" w:hAnsi="Arial"/>
                <w:b w:val="false"/>
                <w:bCs w:val="false"/>
                <w:color w:val="1A5C0A"/>
                <w:sz w:val="19"/>
                <w:szCs w:val="19"/>
              </w:rPr>
              <w:t xml:space="preserve">The policy targets all privileged Entra ID directory roles and specifies the built-in 'Phishing-resistant MFA' authentication strength. This strength policy accepts only FIDO2 security keys and Windows Hello for Business — both of which use public-key cryptography bound to the specific domain. Even if an attacker intercepts the authentication flow, they receive a credential that is useless outside the original domain context.</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Important</w:t>
            </w:r>
          </w:p>
        </w:tc>
        <w:tc>
          <w:tcPr>
            <w:tcW w:type="dxa" w:w="7680"/>
            <w:tcBorders>
              <w:top w:val="single" w:color="B8D4E8" w:sz="1"/>
              <w:left w:val="single" w:color="B8D4E8" w:sz="1"/>
              <w:bottom w:val="single" w:color="B8D4E8" w:sz="1"/>
              <w:right w:val="single" w:color="B8D4E8" w:sz="1"/>
            </w:tcBorders>
            <w:shd w:fill="FDF3E3" w:val="clear"/>
            <w:tcMar>
              <w:top w:type="dxa" w:w="120"/>
              <w:left w:type="dxa" w:w="160"/>
              <w:bottom w:type="dxa" w:w="120"/>
              <w:right w:type="dxa" w:w="160"/>
            </w:tcMar>
          </w:tcPr>
          <w:p>
            <w:pPr>
              <w:jc w:val="left"/>
            </w:pPr>
            <w:r>
              <w:rPr>
                <w:rFonts w:ascii="Arial" w:cs="Arial" w:eastAsia="Arial" w:hAnsi="Arial"/>
                <w:b/>
                <w:bCs/>
                <w:color w:val="6B4200"/>
                <w:sz w:val="19"/>
                <w:szCs w:val="19"/>
              </w:rPr>
              <w:t xml:space="preserve">Administrators must have FIDO2 keys enrolled or WHfB configured before this policy is enabled. Deploy WHfB in Phase 2 first, then activate CA003. Enabling before enrollment will lock administrative accounts out.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5BBF46" w:sz="1"/>
              <w:left w:val="single" w:color="5BBF46" w:sz="1"/>
              <w:bottom w:val="single" w:color="5BBF46" w:sz="1"/>
              <w:right w:val="single" w:color="5BBF46" w:sz="1"/>
            </w:tcBorders>
            <w:shd w:fill="5BBF46"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CA004</w:t>
            </w:r>
          </w:p>
        </w:tc>
        <w:tc>
          <w:tcPr>
            <w:tcW w:type="dxa" w:w="8600"/>
            <w:tcBorders>
              <w:top w:val="single" w:color="0A2543" w:sz="1"/>
              <w:left w:val="single" w:color="0A2543" w:sz="1"/>
              <w:bottom w:val="single" w:color="0A2543" w:sz="1"/>
              <w:right w:val="single" w:color="0A2543" w:sz="1"/>
            </w:tcBorders>
            <w:shd w:fill="0A2543" w:val="clear"/>
            <w:tcMar>
              <w:top w:type="dxa" w:w="120"/>
              <w:left w:type="dxa" w:w="200"/>
              <w:bottom w:type="dxa" w:w="120"/>
              <w:right w:type="dxa" w:w="160"/>
            </w:tcMar>
          </w:tcPr>
          <w:p>
            <w:r>
              <w:rPr>
                <w:rFonts w:ascii="Arial" w:cs="Arial" w:eastAsia="Arial" w:hAnsi="Arial"/>
                <w:b/>
                <w:bCs/>
                <w:color w:val="FFFFFF"/>
                <w:sz w:val="24"/>
                <w:szCs w:val="24"/>
              </w:rPr>
              <w:t xml:space="preserve">Block High-Risk Sign-Ins (Identity Protection)</w:t>
            </w:r>
          </w:p>
          <w:p>
            <w:pPr>
              <w:spacing w:before="30"/>
            </w:pPr>
            <w:r>
              <w:rPr>
                <w:rFonts w:ascii="Arial" w:cs="Arial" w:eastAsia="Arial" w:hAnsi="Arial"/>
                <w:color w:val="8BAFC8"/>
                <w:sz w:val="17"/>
                <w:szCs w:val="17"/>
              </w:rPr>
              <w:t xml:space="preserve">Entra ID P2  |  Phase 1 — Week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What it does</w:t>
            </w:r>
          </w:p>
        </w:tc>
        <w:tc>
          <w:tcPr>
            <w:tcW w:type="dxa" w:w="7680"/>
            <w:tcBorders>
              <w:top w:val="single" w:color="B8D4E8" w:sz="1"/>
              <w:left w:val="single" w:color="B8D4E8" w:sz="1"/>
              <w:bottom w:val="single" w:color="B8D4E8" w:sz="1"/>
              <w:right w:val="single" w:color="B8D4E8" w:sz="1"/>
            </w:tcBorders>
            <w:shd w:fill="FFFFFF" w:val="clear"/>
            <w:tcMar>
              <w:top w:type="dxa" w:w="120"/>
              <w:left w:type="dxa" w:w="160"/>
              <w:bottom w:type="dxa" w:w="120"/>
              <w:right w:type="dxa" w:w="160"/>
            </w:tcMar>
          </w:tcPr>
          <w:p>
            <w:pPr>
              <w:jc w:val="left"/>
            </w:pPr>
            <w:r>
              <w:rPr>
                <w:rFonts w:ascii="Arial" w:cs="Arial" w:eastAsia="Arial" w:hAnsi="Arial"/>
                <w:b w:val="false"/>
                <w:bCs w:val="false"/>
                <w:color w:val="0A2543"/>
                <w:sz w:val="19"/>
                <w:szCs w:val="19"/>
              </w:rPr>
              <w:t xml:space="preserve">Automatically blocks sign-ins that Microsoft's machine learning models have flagged as 'High' risk in real time. High-risk signals include impossible travel, sign-ins from known attacker infrastructure, anomalous token claims, malware-linked IP addresses, and detected password spray patterns.</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Protects against</w:t>
            </w:r>
          </w:p>
        </w:tc>
        <w:tc>
          <w:tcPr>
            <w:tcW w:type="dxa" w:w="7680"/>
            <w:tcBorders>
              <w:top w:val="single" w:color="B8D4E8" w:sz="1"/>
              <w:left w:val="single" w:color="B8D4E8" w:sz="1"/>
              <w:bottom w:val="single" w:color="B8D4E8" w:sz="1"/>
              <w:right w:val="single" w:color="B8D4E8" w:sz="1"/>
            </w:tcBorders>
            <w:shd w:fill="D6E8F5" w:val="clear"/>
            <w:tcMar>
              <w:top w:type="dxa" w:w="120"/>
              <w:left w:type="dxa" w:w="160"/>
              <w:bottom w:type="dxa" w:w="120"/>
              <w:right w:type="dxa" w:w="160"/>
            </w:tcMar>
          </w:tcPr>
          <w:p>
            <w:pPr>
              <w:jc w:val="left"/>
            </w:pPr>
            <w:r>
              <w:rPr>
                <w:rFonts w:ascii="Arial" w:cs="Arial" w:eastAsia="Arial" w:hAnsi="Arial"/>
                <w:b w:val="false"/>
                <w:bCs w:val="false"/>
                <w:color w:val="0A2543"/>
                <w:sz w:val="19"/>
                <w:szCs w:val="19"/>
              </w:rPr>
              <w:t xml:space="preserve">Compromised account access even when an attacker holds valid credentials. This policy acts as an automated security operations response that fires in milliseconds — identifying and blocking threats faster than any human analyst could respond.</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Attack scenario</w:t>
            </w:r>
          </w:p>
        </w:tc>
        <w:tc>
          <w:tcPr>
            <w:tcW w:type="dxa" w:w="7680"/>
            <w:tcBorders>
              <w:top w:val="single" w:color="B8D4E8" w:sz="1"/>
              <w:left w:val="single" w:color="B8D4E8" w:sz="1"/>
              <w:bottom w:val="single" w:color="B8D4E8" w:sz="1"/>
              <w:right w:val="single" w:color="B8D4E8" w:sz="1"/>
            </w:tcBorders>
            <w:shd w:fill="FDECEA" w:val="clear"/>
            <w:tcMar>
              <w:top w:type="dxa" w:w="120"/>
              <w:left w:type="dxa" w:w="160"/>
              <w:bottom w:type="dxa" w:w="120"/>
              <w:right w:type="dxa" w:w="160"/>
            </w:tcMar>
          </w:tcPr>
          <w:p>
            <w:pPr>
              <w:jc w:val="left"/>
            </w:pPr>
            <w:r>
              <w:rPr>
                <w:rFonts w:ascii="Arial" w:cs="Arial" w:eastAsia="Arial" w:hAnsi="Arial"/>
                <w:b w:val="false"/>
                <w:bCs w:val="false"/>
                <w:color w:val="7B1A1A"/>
                <w:sz w:val="19"/>
                <w:szCs w:val="19"/>
              </w:rPr>
              <w:t xml:space="preserve">A user's password was stolen in a phishing attack three weeks ago. The attacker, located overseas, attempts to log in at 3 AM using an IP address that Microsoft's threat intelligence has flagged as associated with a known cybercriminal group. Entra ID Protection calculates a High risk score. CA004 blocks the login automatically — no human needs to be awake to stop the attack.</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How it works</w:t>
            </w:r>
          </w:p>
        </w:tc>
        <w:tc>
          <w:tcPr>
            <w:tcW w:type="dxa" w:w="7680"/>
            <w:tcBorders>
              <w:top w:val="single" w:color="B8D4E8" w:sz="1"/>
              <w:left w:val="single" w:color="B8D4E8" w:sz="1"/>
              <w:bottom w:val="single" w:color="B8D4E8" w:sz="1"/>
              <w:right w:val="single" w:color="B8D4E8" w:sz="1"/>
            </w:tcBorders>
            <w:shd w:fill="EBF9E8" w:val="clear"/>
            <w:tcMar>
              <w:top w:type="dxa" w:w="120"/>
              <w:left w:type="dxa" w:w="160"/>
              <w:bottom w:type="dxa" w:w="120"/>
              <w:right w:type="dxa" w:w="160"/>
            </w:tcMar>
          </w:tcPr>
          <w:p>
            <w:pPr>
              <w:jc w:val="left"/>
            </w:pPr>
            <w:r>
              <w:rPr>
                <w:rFonts w:ascii="Arial" w:cs="Arial" w:eastAsia="Arial" w:hAnsi="Arial"/>
                <w:b w:val="false"/>
                <w:bCs w:val="false"/>
                <w:color w:val="1A5C0A"/>
                <w:sz w:val="19"/>
                <w:szCs w:val="19"/>
              </w:rPr>
              <w:t xml:space="preserve">Entra ID Protection continuously evaluates every sign-in against hundreds of risk signals from Microsoft's global threat intelligence network, which processes trillions of signals per day. When a sign-in meets the High risk threshold, the Conditional Access engine blocks the authentication before it completes. Administrators can review the specific risk detections in the Entra ID Protection dashboard.</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Important</w:t>
            </w:r>
          </w:p>
        </w:tc>
        <w:tc>
          <w:tcPr>
            <w:tcW w:type="dxa" w:w="7680"/>
            <w:tcBorders>
              <w:top w:val="single" w:color="B8D4E8" w:sz="1"/>
              <w:left w:val="single" w:color="B8D4E8" w:sz="1"/>
              <w:bottom w:val="single" w:color="B8D4E8" w:sz="1"/>
              <w:right w:val="single" w:color="B8D4E8" w:sz="1"/>
            </w:tcBorders>
            <w:shd w:fill="FDF3E3" w:val="clear"/>
            <w:tcMar>
              <w:top w:type="dxa" w:w="120"/>
              <w:left w:type="dxa" w:w="160"/>
              <w:bottom w:type="dxa" w:w="120"/>
              <w:right w:type="dxa" w:w="160"/>
            </w:tcMar>
          </w:tcPr>
          <w:p>
            <w:pPr>
              <w:jc w:val="left"/>
            </w:pPr>
            <w:r>
              <w:rPr>
                <w:rFonts w:ascii="Arial" w:cs="Arial" w:eastAsia="Arial" w:hAnsi="Arial"/>
                <w:b/>
                <w:bCs/>
                <w:color w:val="6B4200"/>
                <w:sz w:val="19"/>
                <w:szCs w:val="19"/>
              </w:rPr>
              <w:t xml:space="preserve">Requires Entra ID P2 licensing (included in M365 E5, EMS E5, or as a standalone add-on). Review the Risky Sign-ins report in Report-only mode for 14 days before enabling. VPN users or frequent travelers may generate false positives that require Named Location tuning.</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5BBF46" w:sz="1"/>
              <w:left w:val="single" w:color="5BBF46" w:sz="1"/>
              <w:bottom w:val="single" w:color="5BBF46" w:sz="1"/>
              <w:right w:val="single" w:color="5BBF46" w:sz="1"/>
            </w:tcBorders>
            <w:shd w:fill="5BBF46"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CA005</w:t>
            </w:r>
          </w:p>
        </w:tc>
        <w:tc>
          <w:tcPr>
            <w:tcW w:type="dxa" w:w="8600"/>
            <w:tcBorders>
              <w:top w:val="single" w:color="0A2543" w:sz="1"/>
              <w:left w:val="single" w:color="0A2543" w:sz="1"/>
              <w:bottom w:val="single" w:color="0A2543" w:sz="1"/>
              <w:right w:val="single" w:color="0A2543" w:sz="1"/>
            </w:tcBorders>
            <w:shd w:fill="0A2543" w:val="clear"/>
            <w:tcMar>
              <w:top w:type="dxa" w:w="120"/>
              <w:left w:type="dxa" w:w="200"/>
              <w:bottom w:type="dxa" w:w="120"/>
              <w:right w:type="dxa" w:w="160"/>
            </w:tcMar>
          </w:tcPr>
          <w:p>
            <w:r>
              <w:rPr>
                <w:rFonts w:ascii="Arial" w:cs="Arial" w:eastAsia="Arial" w:hAnsi="Arial"/>
                <w:b/>
                <w:bCs/>
                <w:color w:val="FFFFFF"/>
                <w:sz w:val="24"/>
                <w:szCs w:val="24"/>
              </w:rPr>
              <w:t xml:space="preserve">Require Password Change for High-Risk Users</w:t>
            </w:r>
          </w:p>
          <w:p>
            <w:pPr>
              <w:spacing w:before="30"/>
            </w:pPr>
            <w:r>
              <w:rPr>
                <w:rFonts w:ascii="Arial" w:cs="Arial" w:eastAsia="Arial" w:hAnsi="Arial"/>
                <w:color w:val="8BAFC8"/>
                <w:sz w:val="17"/>
                <w:szCs w:val="17"/>
              </w:rPr>
              <w:t xml:space="preserve">Entra ID P2  |  Phase 1 — Week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What it does</w:t>
            </w:r>
          </w:p>
        </w:tc>
        <w:tc>
          <w:tcPr>
            <w:tcW w:type="dxa" w:w="7680"/>
            <w:tcBorders>
              <w:top w:val="single" w:color="B8D4E8" w:sz="1"/>
              <w:left w:val="single" w:color="B8D4E8" w:sz="1"/>
              <w:bottom w:val="single" w:color="B8D4E8" w:sz="1"/>
              <w:right w:val="single" w:color="B8D4E8" w:sz="1"/>
            </w:tcBorders>
            <w:shd w:fill="FFFFFF" w:val="clear"/>
            <w:tcMar>
              <w:top w:type="dxa" w:w="120"/>
              <w:left w:type="dxa" w:w="160"/>
              <w:bottom w:type="dxa" w:w="120"/>
              <w:right w:type="dxa" w:w="160"/>
            </w:tcMar>
          </w:tcPr>
          <w:p>
            <w:pPr>
              <w:jc w:val="left"/>
            </w:pPr>
            <w:r>
              <w:rPr>
                <w:rFonts w:ascii="Arial" w:cs="Arial" w:eastAsia="Arial" w:hAnsi="Arial"/>
                <w:b w:val="false"/>
                <w:bCs w:val="false"/>
                <w:color w:val="0A2543"/>
                <w:sz w:val="19"/>
                <w:szCs w:val="19"/>
              </w:rPr>
              <w:t xml:space="preserve">When a user account is flagged at 'High' user risk — typically because their credentials have been detected in a data breach, on the dark web, or in leaked credential databases — the user must complete MFA and perform a password change before accessing any resource.</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Protects against</w:t>
            </w:r>
          </w:p>
        </w:tc>
        <w:tc>
          <w:tcPr>
            <w:tcW w:type="dxa" w:w="7680"/>
            <w:tcBorders>
              <w:top w:val="single" w:color="B8D4E8" w:sz="1"/>
              <w:left w:val="single" w:color="B8D4E8" w:sz="1"/>
              <w:bottom w:val="single" w:color="B8D4E8" w:sz="1"/>
              <w:right w:val="single" w:color="B8D4E8" w:sz="1"/>
            </w:tcBorders>
            <w:shd w:fill="D6E8F5" w:val="clear"/>
            <w:tcMar>
              <w:top w:type="dxa" w:w="120"/>
              <w:left w:type="dxa" w:w="160"/>
              <w:bottom w:type="dxa" w:w="120"/>
              <w:right w:type="dxa" w:w="160"/>
            </w:tcMar>
          </w:tcPr>
          <w:p>
            <w:pPr>
              <w:jc w:val="left"/>
            </w:pPr>
            <w:r>
              <w:rPr>
                <w:rFonts w:ascii="Arial" w:cs="Arial" w:eastAsia="Arial" w:hAnsi="Arial"/>
                <w:b w:val="false"/>
                <w:bCs w:val="false"/>
                <w:color w:val="0A2543"/>
                <w:sz w:val="19"/>
                <w:szCs w:val="19"/>
              </w:rPr>
              <w:t xml:space="preserve">Active use of compromised credentials that are circulating in attacker ecosystems. Microsoft's threat intelligence monitors breach databases and dark web marketplaces. When a credential match is found for a user in your tenant, this policy forces remediation before the attacker can use the same credential.</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Attack scenario</w:t>
            </w:r>
          </w:p>
        </w:tc>
        <w:tc>
          <w:tcPr>
            <w:tcW w:type="dxa" w:w="7680"/>
            <w:tcBorders>
              <w:top w:val="single" w:color="B8D4E8" w:sz="1"/>
              <w:left w:val="single" w:color="B8D4E8" w:sz="1"/>
              <w:bottom w:val="single" w:color="B8D4E8" w:sz="1"/>
              <w:right w:val="single" w:color="B8D4E8" w:sz="1"/>
            </w:tcBorders>
            <w:shd w:fill="FDECEA" w:val="clear"/>
            <w:tcMar>
              <w:top w:type="dxa" w:w="120"/>
              <w:left w:type="dxa" w:w="160"/>
              <w:bottom w:type="dxa" w:w="120"/>
              <w:right w:type="dxa" w:w="160"/>
            </w:tcMar>
          </w:tcPr>
          <w:p>
            <w:pPr>
              <w:jc w:val="left"/>
            </w:pPr>
            <w:r>
              <w:rPr>
                <w:rFonts w:ascii="Arial" w:cs="Arial" w:eastAsia="Arial" w:hAnsi="Arial"/>
                <w:b w:val="false"/>
                <w:bCs w:val="false"/>
                <w:color w:val="7B1A1A"/>
                <w:sz w:val="19"/>
                <w:szCs w:val="19"/>
              </w:rPr>
              <w:t xml:space="preserve">A user's work password appears in a leaked credential database of 200 million accounts published following a breach at a third-party service. The user reused their password. Microsoft's threat intelligence ingests this database within hours and flags the user's account. The next time they sign in, CA005 forces them to verify identity via MFA and reset their password — before an attacker armed with the same database can use it.</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How it works</w:t>
            </w:r>
          </w:p>
        </w:tc>
        <w:tc>
          <w:tcPr>
            <w:tcW w:type="dxa" w:w="7680"/>
            <w:tcBorders>
              <w:top w:val="single" w:color="B8D4E8" w:sz="1"/>
              <w:left w:val="single" w:color="B8D4E8" w:sz="1"/>
              <w:bottom w:val="single" w:color="B8D4E8" w:sz="1"/>
              <w:right w:val="single" w:color="B8D4E8" w:sz="1"/>
            </w:tcBorders>
            <w:shd w:fill="EBF9E8" w:val="clear"/>
            <w:tcMar>
              <w:top w:type="dxa" w:w="120"/>
              <w:left w:type="dxa" w:w="160"/>
              <w:bottom w:type="dxa" w:w="120"/>
              <w:right w:type="dxa" w:w="160"/>
            </w:tcMar>
          </w:tcPr>
          <w:p>
            <w:pPr>
              <w:jc w:val="left"/>
            </w:pPr>
            <w:r>
              <w:rPr>
                <w:rFonts w:ascii="Arial" w:cs="Arial" w:eastAsia="Arial" w:hAnsi="Arial"/>
                <w:b w:val="false"/>
                <w:bCs w:val="false"/>
                <w:color w:val="1A5C0A"/>
                <w:sz w:val="19"/>
                <w:szCs w:val="19"/>
              </w:rPr>
              <w:t xml:space="preserve">Identity Protection continuously monitors threat intelligence for credential exposure events. When a user is flagged at High risk, the policy activates on their next sign-in. The user must complete MFA (proving they still control their authentication factor) and then complete a password change via the SSPR flow. Only after both steps are completed is full access restored. The risk flag is automatically remediated upon successful completion.</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Important</w:t>
            </w:r>
          </w:p>
        </w:tc>
        <w:tc>
          <w:tcPr>
            <w:tcW w:type="dxa" w:w="7680"/>
            <w:tcBorders>
              <w:top w:val="single" w:color="B8D4E8" w:sz="1"/>
              <w:left w:val="single" w:color="B8D4E8" w:sz="1"/>
              <w:bottom w:val="single" w:color="B8D4E8" w:sz="1"/>
              <w:right w:val="single" w:color="B8D4E8" w:sz="1"/>
            </w:tcBorders>
            <w:shd w:fill="FDF3E3" w:val="clear"/>
            <w:tcMar>
              <w:top w:type="dxa" w:w="120"/>
              <w:left w:type="dxa" w:w="160"/>
              <w:bottom w:type="dxa" w:w="120"/>
              <w:right w:type="dxa" w:w="160"/>
            </w:tcMar>
          </w:tcPr>
          <w:p>
            <w:pPr>
              <w:jc w:val="left"/>
            </w:pPr>
            <w:r>
              <w:rPr>
                <w:rFonts w:ascii="Arial" w:cs="Arial" w:eastAsia="Arial" w:hAnsi="Arial"/>
                <w:b/>
                <w:bCs/>
                <w:color w:val="6B4200"/>
                <w:sz w:val="19"/>
                <w:szCs w:val="19"/>
              </w:rPr>
              <w:t xml:space="preserve">Requires Entra ID P2 and SSPR to be enabled and configured. All users must have registered authentication methods capable of completing SSPR before this policy is enabled.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5BBF46" w:sz="1"/>
              <w:left w:val="single" w:color="5BBF46" w:sz="1"/>
              <w:bottom w:val="single" w:color="5BBF46" w:sz="1"/>
              <w:right w:val="single" w:color="5BBF46" w:sz="1"/>
            </w:tcBorders>
            <w:shd w:fill="5BBF46"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CA006</w:t>
            </w:r>
          </w:p>
        </w:tc>
        <w:tc>
          <w:tcPr>
            <w:tcW w:type="dxa" w:w="8600"/>
            <w:tcBorders>
              <w:top w:val="single" w:color="0A2543" w:sz="1"/>
              <w:left w:val="single" w:color="0A2543" w:sz="1"/>
              <w:bottom w:val="single" w:color="0A2543" w:sz="1"/>
              <w:right w:val="single" w:color="0A2543" w:sz="1"/>
            </w:tcBorders>
            <w:shd w:fill="0A2543" w:val="clear"/>
            <w:tcMar>
              <w:top w:type="dxa" w:w="120"/>
              <w:left w:type="dxa" w:w="200"/>
              <w:bottom w:type="dxa" w:w="120"/>
              <w:right w:type="dxa" w:w="160"/>
            </w:tcMar>
          </w:tcPr>
          <w:p>
            <w:r>
              <w:rPr>
                <w:rFonts w:ascii="Arial" w:cs="Arial" w:eastAsia="Arial" w:hAnsi="Arial"/>
                <w:b/>
                <w:bCs/>
                <w:color w:val="FFFFFF"/>
                <w:sz w:val="24"/>
                <w:szCs w:val="24"/>
              </w:rPr>
              <w:t xml:space="preserve">Require Compliant Device for Cloud App Access</w:t>
            </w:r>
          </w:p>
          <w:p>
            <w:pPr>
              <w:spacing w:before="30"/>
            </w:pPr>
            <w:r>
              <w:rPr>
                <w:rFonts w:ascii="Arial" w:cs="Arial" w:eastAsia="Arial" w:hAnsi="Arial"/>
                <w:color w:val="8BAFC8"/>
                <w:sz w:val="17"/>
                <w:szCs w:val="17"/>
              </w:rPr>
              <w:t xml:space="preserve">Microsoft Intune  |  Phase 2 — Week 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What it does</w:t>
            </w:r>
          </w:p>
        </w:tc>
        <w:tc>
          <w:tcPr>
            <w:tcW w:type="dxa" w:w="7680"/>
            <w:tcBorders>
              <w:top w:val="single" w:color="B8D4E8" w:sz="1"/>
              <w:left w:val="single" w:color="B8D4E8" w:sz="1"/>
              <w:bottom w:val="single" w:color="B8D4E8" w:sz="1"/>
              <w:right w:val="single" w:color="B8D4E8" w:sz="1"/>
            </w:tcBorders>
            <w:shd w:fill="FFFFFF" w:val="clear"/>
            <w:tcMar>
              <w:top w:type="dxa" w:w="120"/>
              <w:left w:type="dxa" w:w="160"/>
              <w:bottom w:type="dxa" w:w="120"/>
              <w:right w:type="dxa" w:w="160"/>
            </w:tcMar>
          </w:tcPr>
          <w:p>
            <w:pPr>
              <w:jc w:val="left"/>
            </w:pPr>
            <w:r>
              <w:rPr>
                <w:rFonts w:ascii="Arial" w:cs="Arial" w:eastAsia="Arial" w:hAnsi="Arial"/>
                <w:b w:val="false"/>
                <w:bCs w:val="false"/>
                <w:color w:val="0A2543"/>
                <w:sz w:val="19"/>
                <w:szCs w:val="19"/>
              </w:rPr>
              <w:t xml:space="preserve">Requires that any Windows or macOS device accessing Microsoft 365 must be enrolled in Microsoft Intune and meet all compliance requirements — BitLocker encryption, Secure Boot, current OS patch level, and active Microsoft Defender. Unmanaged devices and devices that fail compliance are blocked.</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Protects against</w:t>
            </w:r>
          </w:p>
        </w:tc>
        <w:tc>
          <w:tcPr>
            <w:tcW w:type="dxa" w:w="7680"/>
            <w:tcBorders>
              <w:top w:val="single" w:color="B8D4E8" w:sz="1"/>
              <w:left w:val="single" w:color="B8D4E8" w:sz="1"/>
              <w:bottom w:val="single" w:color="B8D4E8" w:sz="1"/>
              <w:right w:val="single" w:color="B8D4E8" w:sz="1"/>
            </w:tcBorders>
            <w:shd w:fill="D6E8F5" w:val="clear"/>
            <w:tcMar>
              <w:top w:type="dxa" w:w="120"/>
              <w:left w:type="dxa" w:w="160"/>
              <w:bottom w:type="dxa" w:w="120"/>
              <w:right w:type="dxa" w:w="160"/>
            </w:tcMar>
          </w:tcPr>
          <w:p>
            <w:pPr>
              <w:jc w:val="left"/>
            </w:pPr>
            <w:r>
              <w:rPr>
                <w:rFonts w:ascii="Arial" w:cs="Arial" w:eastAsia="Arial" w:hAnsi="Arial"/>
                <w:b w:val="false"/>
                <w:bCs w:val="false"/>
                <w:color w:val="0A2543"/>
                <w:sz w:val="19"/>
                <w:szCs w:val="19"/>
              </w:rPr>
              <w:t xml:space="preserve">Data access from devices outside organizational control. A verified identity on an unpatched, unencrypted, or compromised device is still a significant risk. Device compliance ensures the endpoint is in a known, secure state before it is granted access to organizational data.</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Attack scenario</w:t>
            </w:r>
          </w:p>
        </w:tc>
        <w:tc>
          <w:tcPr>
            <w:tcW w:type="dxa" w:w="7680"/>
            <w:tcBorders>
              <w:top w:val="single" w:color="B8D4E8" w:sz="1"/>
              <w:left w:val="single" w:color="B8D4E8" w:sz="1"/>
              <w:bottom w:val="single" w:color="B8D4E8" w:sz="1"/>
              <w:right w:val="single" w:color="B8D4E8" w:sz="1"/>
            </w:tcBorders>
            <w:shd w:fill="FDECEA" w:val="clear"/>
            <w:tcMar>
              <w:top w:type="dxa" w:w="120"/>
              <w:left w:type="dxa" w:w="160"/>
              <w:bottom w:type="dxa" w:w="120"/>
              <w:right w:type="dxa" w:w="160"/>
            </w:tcMar>
          </w:tcPr>
          <w:p>
            <w:pPr>
              <w:jc w:val="left"/>
            </w:pPr>
            <w:r>
              <w:rPr>
                <w:rFonts w:ascii="Arial" w:cs="Arial" w:eastAsia="Arial" w:hAnsi="Arial"/>
                <w:b w:val="false"/>
                <w:bCs w:val="false"/>
                <w:color w:val="7B1A1A"/>
                <w:sz w:val="19"/>
                <w:szCs w:val="19"/>
              </w:rPr>
              <w:t xml:space="preserve">An employee's home computer is infected with an infostealer trojan that captures browser session tokens. The employee uses this computer to access SharePoint. The trojan captures the session token and sends it to the attacker. Without CA006, the attacker replays that token from their own machine and accesses SharePoint freely. With CA006, replay attacks on unmanaged devices fail — the device the attacker controls cannot satisfy the compliance check.</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How it works</w:t>
            </w:r>
          </w:p>
        </w:tc>
        <w:tc>
          <w:tcPr>
            <w:tcW w:type="dxa" w:w="7680"/>
            <w:tcBorders>
              <w:top w:val="single" w:color="B8D4E8" w:sz="1"/>
              <w:left w:val="single" w:color="B8D4E8" w:sz="1"/>
              <w:bottom w:val="single" w:color="B8D4E8" w:sz="1"/>
              <w:right w:val="single" w:color="B8D4E8" w:sz="1"/>
            </w:tcBorders>
            <w:shd w:fill="EBF9E8" w:val="clear"/>
            <w:tcMar>
              <w:top w:type="dxa" w:w="120"/>
              <w:left w:type="dxa" w:w="160"/>
              <w:bottom w:type="dxa" w:w="120"/>
              <w:right w:type="dxa" w:w="160"/>
            </w:tcMar>
          </w:tcPr>
          <w:p>
            <w:pPr>
              <w:jc w:val="left"/>
            </w:pPr>
            <w:r>
              <w:rPr>
                <w:rFonts w:ascii="Arial" w:cs="Arial" w:eastAsia="Arial" w:hAnsi="Arial"/>
                <w:b w:val="false"/>
                <w:bCs w:val="false"/>
                <w:color w:val="1A5C0A"/>
                <w:sz w:val="19"/>
                <w:szCs w:val="19"/>
              </w:rPr>
              <w:t xml:space="preserve">When a user signs in, Entra ID checks whether the device is registered in Intune and whether its compliance state is marked 'Compliant.' Intune evaluates the device in real time against the compliance policy — checking BitLocker, OS build version, Defender real-time protection, Secure Boot status, and any custom compliance scripts. Only a device passing all checks satisfies the grant condition. Non-compliant devices are redirected to a remediation landing page.</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Important</w:t>
            </w:r>
          </w:p>
        </w:tc>
        <w:tc>
          <w:tcPr>
            <w:tcW w:type="dxa" w:w="7680"/>
            <w:tcBorders>
              <w:top w:val="single" w:color="B8D4E8" w:sz="1"/>
              <w:left w:val="single" w:color="B8D4E8" w:sz="1"/>
              <w:bottom w:val="single" w:color="B8D4E8" w:sz="1"/>
              <w:right w:val="single" w:color="B8D4E8" w:sz="1"/>
            </w:tcBorders>
            <w:shd w:fill="FDF3E3" w:val="clear"/>
            <w:tcMar>
              <w:top w:type="dxa" w:w="120"/>
              <w:left w:type="dxa" w:w="160"/>
              <w:bottom w:type="dxa" w:w="120"/>
              <w:right w:type="dxa" w:w="160"/>
            </w:tcMar>
          </w:tcPr>
          <w:p>
            <w:pPr>
              <w:jc w:val="left"/>
            </w:pPr>
            <w:r>
              <w:rPr>
                <w:rFonts w:ascii="Arial" w:cs="Arial" w:eastAsia="Arial" w:hAnsi="Arial"/>
                <w:b/>
                <w:bCs/>
                <w:color w:val="6B4200"/>
                <w:sz w:val="19"/>
                <w:szCs w:val="19"/>
              </w:rPr>
              <w:t xml:space="preserve">Enable only after Intune enrollment is complete for all target devices. Enabling before enrollment locks users out. Deploy with a 7-day grace period in the Intune compliance policy settings to give time for remediation. iOS and Android are handled separately by CA007.</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5BBF46" w:sz="1"/>
              <w:left w:val="single" w:color="5BBF46" w:sz="1"/>
              <w:bottom w:val="single" w:color="5BBF46" w:sz="1"/>
              <w:right w:val="single" w:color="5BBF46" w:sz="1"/>
            </w:tcBorders>
            <w:shd w:fill="5BBF46"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CA007</w:t>
            </w:r>
          </w:p>
        </w:tc>
        <w:tc>
          <w:tcPr>
            <w:tcW w:type="dxa" w:w="8600"/>
            <w:tcBorders>
              <w:top w:val="single" w:color="0A2543" w:sz="1"/>
              <w:left w:val="single" w:color="0A2543" w:sz="1"/>
              <w:bottom w:val="single" w:color="0A2543" w:sz="1"/>
              <w:right w:val="single" w:color="0A2543" w:sz="1"/>
            </w:tcBorders>
            <w:shd w:fill="0A2543" w:val="clear"/>
            <w:tcMar>
              <w:top w:type="dxa" w:w="120"/>
              <w:left w:type="dxa" w:w="200"/>
              <w:bottom w:type="dxa" w:w="120"/>
              <w:right w:type="dxa" w:w="160"/>
            </w:tcMar>
          </w:tcPr>
          <w:p>
            <w:r>
              <w:rPr>
                <w:rFonts w:ascii="Arial" w:cs="Arial" w:eastAsia="Arial" w:hAnsi="Arial"/>
                <w:b/>
                <w:bCs/>
                <w:color w:val="FFFFFF"/>
                <w:sz w:val="24"/>
                <w:szCs w:val="24"/>
              </w:rPr>
              <w:t xml:space="preserve">Require App Protection Policy for Mobile (MAM)</w:t>
            </w:r>
          </w:p>
          <w:p>
            <w:pPr>
              <w:spacing w:before="30"/>
            </w:pPr>
            <w:r>
              <w:rPr>
                <w:rFonts w:ascii="Arial" w:cs="Arial" w:eastAsia="Arial" w:hAnsi="Arial"/>
                <w:color w:val="8BAFC8"/>
                <w:sz w:val="17"/>
                <w:szCs w:val="17"/>
              </w:rPr>
              <w:t xml:space="preserve">Intune App Protection  |  Phase 2 — Week 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What it does</w:t>
            </w:r>
          </w:p>
        </w:tc>
        <w:tc>
          <w:tcPr>
            <w:tcW w:type="dxa" w:w="7680"/>
            <w:tcBorders>
              <w:top w:val="single" w:color="B8D4E8" w:sz="1"/>
              <w:left w:val="single" w:color="B8D4E8" w:sz="1"/>
              <w:bottom w:val="single" w:color="B8D4E8" w:sz="1"/>
              <w:right w:val="single" w:color="B8D4E8" w:sz="1"/>
            </w:tcBorders>
            <w:shd w:fill="FFFFFF" w:val="clear"/>
            <w:tcMar>
              <w:top w:type="dxa" w:w="120"/>
              <w:left w:type="dxa" w:w="160"/>
              <w:bottom w:type="dxa" w:w="120"/>
              <w:right w:type="dxa" w:w="160"/>
            </w:tcMar>
          </w:tcPr>
          <w:p>
            <w:pPr>
              <w:jc w:val="left"/>
            </w:pPr>
            <w:r>
              <w:rPr>
                <w:rFonts w:ascii="Arial" w:cs="Arial" w:eastAsia="Arial" w:hAnsi="Arial"/>
                <w:b w:val="false"/>
                <w:bCs w:val="false"/>
                <w:color w:val="0A2543"/>
                <w:sz w:val="19"/>
                <w:szCs w:val="19"/>
              </w:rPr>
              <w:t xml:space="preserve">On iOS and Android devices, requires users to access Microsoft 365 through approved applications with an Intune App Protection Policy applied. This enforces PIN, data encryption, and organizational data isolation on personal mobile devices — without requiring full device enrollment.</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Protects against</w:t>
            </w:r>
          </w:p>
        </w:tc>
        <w:tc>
          <w:tcPr>
            <w:tcW w:type="dxa" w:w="7680"/>
            <w:tcBorders>
              <w:top w:val="single" w:color="B8D4E8" w:sz="1"/>
              <w:left w:val="single" w:color="B8D4E8" w:sz="1"/>
              <w:bottom w:val="single" w:color="B8D4E8" w:sz="1"/>
              <w:right w:val="single" w:color="B8D4E8" w:sz="1"/>
            </w:tcBorders>
            <w:shd w:fill="D6E8F5" w:val="clear"/>
            <w:tcMar>
              <w:top w:type="dxa" w:w="120"/>
              <w:left w:type="dxa" w:w="160"/>
              <w:bottom w:type="dxa" w:w="120"/>
              <w:right w:type="dxa" w:w="160"/>
            </w:tcMar>
          </w:tcPr>
          <w:p>
            <w:pPr>
              <w:jc w:val="left"/>
            </w:pPr>
            <w:r>
              <w:rPr>
                <w:rFonts w:ascii="Arial" w:cs="Arial" w:eastAsia="Arial" w:hAnsi="Arial"/>
                <w:b w:val="false"/>
                <w:bCs w:val="false"/>
                <w:color w:val="0A2543"/>
                <w:sz w:val="19"/>
                <w:szCs w:val="19"/>
              </w:rPr>
              <w:t xml:space="preserve">Corporate data leaking to personal apps on mobile devices. Without this policy, a user can forward a sensitive email to personal Gmail, save a confidential file to personal iCloud, or use a third-party mail app with no data protection controls whatsoever.</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Attack scenario</w:t>
            </w:r>
          </w:p>
        </w:tc>
        <w:tc>
          <w:tcPr>
            <w:tcW w:type="dxa" w:w="7680"/>
            <w:tcBorders>
              <w:top w:val="single" w:color="B8D4E8" w:sz="1"/>
              <w:left w:val="single" w:color="B8D4E8" w:sz="1"/>
              <w:bottom w:val="single" w:color="B8D4E8" w:sz="1"/>
              <w:right w:val="single" w:color="B8D4E8" w:sz="1"/>
            </w:tcBorders>
            <w:shd w:fill="FDECEA" w:val="clear"/>
            <w:tcMar>
              <w:top w:type="dxa" w:w="120"/>
              <w:left w:type="dxa" w:w="160"/>
              <w:bottom w:type="dxa" w:w="120"/>
              <w:right w:type="dxa" w:w="160"/>
            </w:tcMar>
          </w:tcPr>
          <w:p>
            <w:pPr>
              <w:jc w:val="left"/>
            </w:pPr>
            <w:r>
              <w:rPr>
                <w:rFonts w:ascii="Arial" w:cs="Arial" w:eastAsia="Arial" w:hAnsi="Arial"/>
                <w:b w:val="false"/>
                <w:bCs w:val="false"/>
                <w:color w:val="7B1A1A"/>
                <w:sz w:val="19"/>
                <w:szCs w:val="19"/>
              </w:rPr>
              <w:t xml:space="preserve">An employee installs a malicious application that requests access to the phone's shared storage. Because corporate email attachments were saved to shared storage (no app protection policy in place), the malicious app reads and exfiltrates confidential files. With CA007 and App Protection Policies, all corporate data is stored in an encrypted, isolated container that other apps cannot access — even malicious ones with storage permissions.</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How it works</w:t>
            </w:r>
          </w:p>
        </w:tc>
        <w:tc>
          <w:tcPr>
            <w:tcW w:type="dxa" w:w="7680"/>
            <w:tcBorders>
              <w:top w:val="single" w:color="B8D4E8" w:sz="1"/>
              <w:left w:val="single" w:color="B8D4E8" w:sz="1"/>
              <w:bottom w:val="single" w:color="B8D4E8" w:sz="1"/>
              <w:right w:val="single" w:color="B8D4E8" w:sz="1"/>
            </w:tcBorders>
            <w:shd w:fill="EBF9E8" w:val="clear"/>
            <w:tcMar>
              <w:top w:type="dxa" w:w="120"/>
              <w:left w:type="dxa" w:w="160"/>
              <w:bottom w:type="dxa" w:w="120"/>
              <w:right w:type="dxa" w:w="160"/>
            </w:tcMar>
          </w:tcPr>
          <w:p>
            <w:pPr>
              <w:jc w:val="left"/>
            </w:pPr>
            <w:r>
              <w:rPr>
                <w:rFonts w:ascii="Arial" w:cs="Arial" w:eastAsia="Arial" w:hAnsi="Arial"/>
                <w:b w:val="false"/>
                <w:bCs w:val="false"/>
                <w:color w:val="1A5C0A"/>
                <w:sz w:val="19"/>
                <w:szCs w:val="19"/>
              </w:rPr>
              <w:t xml:space="preserve">The policy targets iOS and Android platforms and requires the 'Approved client app' and 'App protection policy' grant controls. Users attempting access from native mail apps or browsers are redirected to install the approved app. The App Protection Policy applied to Outlook, Teams, and OneDrive enforces launch PIN, blocks save-to-personal-storage, blocks copy-paste to personal apps, and enables selective corporate data wipe without touching personal data.</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Important</w:t>
            </w:r>
          </w:p>
        </w:tc>
        <w:tc>
          <w:tcPr>
            <w:tcW w:type="dxa" w:w="7680"/>
            <w:tcBorders>
              <w:top w:val="single" w:color="B8D4E8" w:sz="1"/>
              <w:left w:val="single" w:color="B8D4E8" w:sz="1"/>
              <w:bottom w:val="single" w:color="B8D4E8" w:sz="1"/>
              <w:right w:val="single" w:color="B8D4E8" w:sz="1"/>
            </w:tcBorders>
            <w:shd w:fill="FDF3E3" w:val="clear"/>
            <w:tcMar>
              <w:top w:type="dxa" w:w="120"/>
              <w:left w:type="dxa" w:w="160"/>
              <w:bottom w:type="dxa" w:w="120"/>
              <w:right w:type="dxa" w:w="160"/>
            </w:tcMar>
          </w:tcPr>
          <w:p>
            <w:pPr>
              <w:jc w:val="left"/>
            </w:pPr>
            <w:r>
              <w:rPr>
                <w:rFonts w:ascii="Arial" w:cs="Arial" w:eastAsia="Arial" w:hAnsi="Arial"/>
                <w:b/>
                <w:bCs/>
                <w:color w:val="6B4200"/>
                <w:sz w:val="19"/>
                <w:szCs w:val="19"/>
              </w:rPr>
              <w:t xml:space="preserve">Intune App Protection Policies must be created and assigned to users in Intune before this policy is enabled. Without the accompanying policies, users will be blocked from all mobile access.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5BBF46" w:sz="1"/>
              <w:left w:val="single" w:color="5BBF46" w:sz="1"/>
              <w:bottom w:val="single" w:color="5BBF46" w:sz="1"/>
              <w:right w:val="single" w:color="5BBF46" w:sz="1"/>
            </w:tcBorders>
            <w:shd w:fill="5BBF46"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CA008</w:t>
            </w:r>
          </w:p>
        </w:tc>
        <w:tc>
          <w:tcPr>
            <w:tcW w:type="dxa" w:w="8600"/>
            <w:tcBorders>
              <w:top w:val="single" w:color="0A2543" w:sz="1"/>
              <w:left w:val="single" w:color="0A2543" w:sz="1"/>
              <w:bottom w:val="single" w:color="0A2543" w:sz="1"/>
              <w:right w:val="single" w:color="0A2543" w:sz="1"/>
            </w:tcBorders>
            <w:shd w:fill="0A2543" w:val="clear"/>
            <w:tcMar>
              <w:top w:type="dxa" w:w="120"/>
              <w:left w:type="dxa" w:w="200"/>
              <w:bottom w:type="dxa" w:w="120"/>
              <w:right w:type="dxa" w:w="160"/>
            </w:tcMar>
          </w:tcPr>
          <w:p>
            <w:r>
              <w:rPr>
                <w:rFonts w:ascii="Arial" w:cs="Arial" w:eastAsia="Arial" w:hAnsi="Arial"/>
                <w:b/>
                <w:bCs/>
                <w:color w:val="FFFFFF"/>
                <w:sz w:val="24"/>
                <w:szCs w:val="24"/>
              </w:rPr>
              <w:t xml:space="preserve">Require MFA from Untrusted Locations</w:t>
            </w:r>
          </w:p>
          <w:p>
            <w:pPr>
              <w:spacing w:before="30"/>
            </w:pPr>
            <w:r>
              <w:rPr>
                <w:rFonts w:ascii="Arial" w:cs="Arial" w:eastAsia="Arial" w:hAnsi="Arial"/>
                <w:color w:val="8BAFC8"/>
                <w:sz w:val="17"/>
                <w:szCs w:val="17"/>
              </w:rPr>
              <w:t xml:space="preserve">Entra ID P1  |  Phase 1 — Week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What it does</w:t>
            </w:r>
          </w:p>
        </w:tc>
        <w:tc>
          <w:tcPr>
            <w:tcW w:type="dxa" w:w="7680"/>
            <w:tcBorders>
              <w:top w:val="single" w:color="B8D4E8" w:sz="1"/>
              <w:left w:val="single" w:color="B8D4E8" w:sz="1"/>
              <w:bottom w:val="single" w:color="B8D4E8" w:sz="1"/>
              <w:right w:val="single" w:color="B8D4E8" w:sz="1"/>
            </w:tcBorders>
            <w:shd w:fill="FFFFFF" w:val="clear"/>
            <w:tcMar>
              <w:top w:type="dxa" w:w="120"/>
              <w:left w:type="dxa" w:w="160"/>
              <w:bottom w:type="dxa" w:w="120"/>
              <w:right w:type="dxa" w:w="160"/>
            </w:tcMar>
          </w:tcPr>
          <w:p>
            <w:pPr>
              <w:jc w:val="left"/>
            </w:pPr>
            <w:r>
              <w:rPr>
                <w:rFonts w:ascii="Arial" w:cs="Arial" w:eastAsia="Arial" w:hAnsi="Arial"/>
                <w:b w:val="false"/>
                <w:bCs w:val="false"/>
                <w:color w:val="0A2543"/>
                <w:sz w:val="19"/>
                <w:szCs w:val="19"/>
              </w:rPr>
              <w:t xml:space="preserve">Requires additional MFA verification when users sign in from outside defined trusted network locations such as office IP ranges or VPN egress addresses. Provides location-aware authentication context and a clear signal for security investigations.</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Protects against</w:t>
            </w:r>
          </w:p>
        </w:tc>
        <w:tc>
          <w:tcPr>
            <w:tcW w:type="dxa" w:w="7680"/>
            <w:tcBorders>
              <w:top w:val="single" w:color="B8D4E8" w:sz="1"/>
              <w:left w:val="single" w:color="B8D4E8" w:sz="1"/>
              <w:bottom w:val="single" w:color="B8D4E8" w:sz="1"/>
              <w:right w:val="single" w:color="B8D4E8" w:sz="1"/>
            </w:tcBorders>
            <w:shd w:fill="D6E8F5" w:val="clear"/>
            <w:tcMar>
              <w:top w:type="dxa" w:w="120"/>
              <w:left w:type="dxa" w:w="160"/>
              <w:bottom w:type="dxa" w:w="120"/>
              <w:right w:type="dxa" w:w="160"/>
            </w:tcMar>
          </w:tcPr>
          <w:p>
            <w:pPr>
              <w:jc w:val="left"/>
            </w:pPr>
            <w:r>
              <w:rPr>
                <w:rFonts w:ascii="Arial" w:cs="Arial" w:eastAsia="Arial" w:hAnsi="Arial"/>
                <w:b w:val="false"/>
                <w:bCs w:val="false"/>
                <w:color w:val="0A2543"/>
                <w:sz w:val="19"/>
                <w:szCs w:val="19"/>
              </w:rPr>
              <w:t xml:space="preserve">Unauthorized access attempts originating from unexpected geographic regions, foreign jurisdictions, public Wi-Fi, or networks associated with threat actors. Provides an additional friction layer for access outside the organizational perimeter.</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Attack scenario</w:t>
            </w:r>
          </w:p>
        </w:tc>
        <w:tc>
          <w:tcPr>
            <w:tcW w:type="dxa" w:w="7680"/>
            <w:tcBorders>
              <w:top w:val="single" w:color="B8D4E8" w:sz="1"/>
              <w:left w:val="single" w:color="B8D4E8" w:sz="1"/>
              <w:bottom w:val="single" w:color="B8D4E8" w:sz="1"/>
              <w:right w:val="single" w:color="B8D4E8" w:sz="1"/>
            </w:tcBorders>
            <w:shd w:fill="FDECEA" w:val="clear"/>
            <w:tcMar>
              <w:top w:type="dxa" w:w="120"/>
              <w:left w:type="dxa" w:w="160"/>
              <w:bottom w:type="dxa" w:w="120"/>
              <w:right w:type="dxa" w:w="160"/>
            </w:tcMar>
          </w:tcPr>
          <w:p>
            <w:pPr>
              <w:jc w:val="left"/>
            </w:pPr>
            <w:r>
              <w:rPr>
                <w:rFonts w:ascii="Arial" w:cs="Arial" w:eastAsia="Arial" w:hAnsi="Arial"/>
                <w:b w:val="false"/>
                <w:bCs w:val="false"/>
                <w:color w:val="7B1A1A"/>
                <w:sz w:val="19"/>
                <w:szCs w:val="19"/>
              </w:rPr>
              <w:t xml:space="preserve">A help desk employee's credentials are compromised. The attacker, in a different country, attempts to log in. While CA001 already requires MFA, the location signal from CA008 generates a clear investigation signal in Sign-in logs. In a higher-security configuration, this policy can be upgraded from 'require MFA' to 'block' for access outside trusted locations, stopping the attack regardless of whether the attacker can satisfy the MFA challenge.</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How it works</w:t>
            </w:r>
          </w:p>
        </w:tc>
        <w:tc>
          <w:tcPr>
            <w:tcW w:type="dxa" w:w="7680"/>
            <w:tcBorders>
              <w:top w:val="single" w:color="B8D4E8" w:sz="1"/>
              <w:left w:val="single" w:color="B8D4E8" w:sz="1"/>
              <w:bottom w:val="single" w:color="B8D4E8" w:sz="1"/>
              <w:right w:val="single" w:color="B8D4E8" w:sz="1"/>
            </w:tcBorders>
            <w:shd w:fill="EBF9E8" w:val="clear"/>
            <w:tcMar>
              <w:top w:type="dxa" w:w="120"/>
              <w:left w:type="dxa" w:w="160"/>
              <w:bottom w:type="dxa" w:w="120"/>
              <w:right w:type="dxa" w:w="160"/>
            </w:tcMar>
          </w:tcPr>
          <w:p>
            <w:pPr>
              <w:jc w:val="left"/>
            </w:pPr>
            <w:r>
              <w:rPr>
                <w:rFonts w:ascii="Arial" w:cs="Arial" w:eastAsia="Arial" w:hAnsi="Arial"/>
                <w:b w:val="false"/>
                <w:bCs w:val="false"/>
                <w:color w:val="1A5C0A"/>
                <w:sz w:val="19"/>
                <w:szCs w:val="19"/>
              </w:rPr>
              <w:t xml:space="preserve">Named Locations are defined in Entra ID with the organization's trusted IP ranges. The policy targets all locations except those marked as trusted. Sign-ins originating outside trusted IPs trigger an MFA challenge before token issuance. Sign-in logs capture the location context alongside the CA decision, enabling pattern analysis and anomaly detection.</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Important</w:t>
            </w:r>
          </w:p>
        </w:tc>
        <w:tc>
          <w:tcPr>
            <w:tcW w:type="dxa" w:w="7680"/>
            <w:tcBorders>
              <w:top w:val="single" w:color="B8D4E8" w:sz="1"/>
              <w:left w:val="single" w:color="B8D4E8" w:sz="1"/>
              <w:bottom w:val="single" w:color="B8D4E8" w:sz="1"/>
              <w:right w:val="single" w:color="B8D4E8" w:sz="1"/>
            </w:tcBorders>
            <w:shd w:fill="FDF3E3" w:val="clear"/>
            <w:tcMar>
              <w:top w:type="dxa" w:w="120"/>
              <w:left w:type="dxa" w:w="160"/>
              <w:bottom w:type="dxa" w:w="120"/>
              <w:right w:type="dxa" w:w="160"/>
            </w:tcMar>
          </w:tcPr>
          <w:p>
            <w:pPr>
              <w:jc w:val="left"/>
            </w:pPr>
            <w:r>
              <w:rPr>
                <w:rFonts w:ascii="Arial" w:cs="Arial" w:eastAsia="Arial" w:hAnsi="Arial"/>
                <w:b/>
                <w:bCs/>
                <w:color w:val="6B4200"/>
                <w:sz w:val="19"/>
                <w:szCs w:val="19"/>
              </w:rPr>
              <w:t xml:space="preserve">Named Locations must be configured in Entra ID before this policy is deployed. Requires stable, known IP addresses for office locations. Organizations with primarily remote workforces should assess whether location-based controls add friction without commensurate security value at the user tier; consider restricting the block variant to admin accounts only.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5BBF46" w:sz="1"/>
              <w:left w:val="single" w:color="5BBF46" w:sz="1"/>
              <w:bottom w:val="single" w:color="5BBF46" w:sz="1"/>
              <w:right w:val="single" w:color="5BBF46" w:sz="1"/>
            </w:tcBorders>
            <w:shd w:fill="5BBF46"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CA009</w:t>
            </w:r>
          </w:p>
        </w:tc>
        <w:tc>
          <w:tcPr>
            <w:tcW w:type="dxa" w:w="8600"/>
            <w:tcBorders>
              <w:top w:val="single" w:color="0A2543" w:sz="1"/>
              <w:left w:val="single" w:color="0A2543" w:sz="1"/>
              <w:bottom w:val="single" w:color="0A2543" w:sz="1"/>
              <w:right w:val="single" w:color="0A2543" w:sz="1"/>
            </w:tcBorders>
            <w:shd w:fill="0A2543" w:val="clear"/>
            <w:tcMar>
              <w:top w:type="dxa" w:w="120"/>
              <w:left w:type="dxa" w:w="200"/>
              <w:bottom w:type="dxa" w:w="120"/>
              <w:right w:type="dxa" w:w="160"/>
            </w:tcMar>
          </w:tcPr>
          <w:p>
            <w:r>
              <w:rPr>
                <w:rFonts w:ascii="Arial" w:cs="Arial" w:eastAsia="Arial" w:hAnsi="Arial"/>
                <w:b/>
                <w:bCs/>
                <w:color w:val="FFFFFF"/>
                <w:sz w:val="24"/>
                <w:szCs w:val="24"/>
              </w:rPr>
              <w:t xml:space="preserve">Require MFA for Azure Management</w:t>
            </w:r>
          </w:p>
          <w:p>
            <w:pPr>
              <w:spacing w:before="30"/>
            </w:pPr>
            <w:r>
              <w:rPr>
                <w:rFonts w:ascii="Arial" w:cs="Arial" w:eastAsia="Arial" w:hAnsi="Arial"/>
                <w:color w:val="8BAFC8"/>
                <w:sz w:val="17"/>
                <w:szCs w:val="17"/>
              </w:rPr>
              <w:t xml:space="preserve">Entra ID P1  |  Phase 1 — Week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What it does</w:t>
            </w:r>
          </w:p>
        </w:tc>
        <w:tc>
          <w:tcPr>
            <w:tcW w:type="dxa" w:w="7680"/>
            <w:tcBorders>
              <w:top w:val="single" w:color="B8D4E8" w:sz="1"/>
              <w:left w:val="single" w:color="B8D4E8" w:sz="1"/>
              <w:bottom w:val="single" w:color="B8D4E8" w:sz="1"/>
              <w:right w:val="single" w:color="B8D4E8" w:sz="1"/>
            </w:tcBorders>
            <w:shd w:fill="FFFFFF" w:val="clear"/>
            <w:tcMar>
              <w:top w:type="dxa" w:w="120"/>
              <w:left w:type="dxa" w:w="160"/>
              <w:bottom w:type="dxa" w:w="120"/>
              <w:right w:type="dxa" w:w="160"/>
            </w:tcMar>
          </w:tcPr>
          <w:p>
            <w:pPr>
              <w:jc w:val="left"/>
            </w:pPr>
            <w:r>
              <w:rPr>
                <w:rFonts w:ascii="Arial" w:cs="Arial" w:eastAsia="Arial" w:hAnsi="Arial"/>
                <w:b w:val="false"/>
                <w:bCs w:val="false"/>
                <w:color w:val="0A2543"/>
                <w:sz w:val="19"/>
                <w:szCs w:val="19"/>
              </w:rPr>
              <w:t xml:space="preserve">A dedicated, standalone policy that requires MFA specifically when accessing the Azure portal, Azure Resource Manager API, Azure CLI, and Azure PowerShell. This policy is intentionally separate from other policies so that Azure management plane protection is absolute and independent of any changes to other policies.</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Protects against</w:t>
            </w:r>
          </w:p>
        </w:tc>
        <w:tc>
          <w:tcPr>
            <w:tcW w:type="dxa" w:w="7680"/>
            <w:tcBorders>
              <w:top w:val="single" w:color="B8D4E8" w:sz="1"/>
              <w:left w:val="single" w:color="B8D4E8" w:sz="1"/>
              <w:bottom w:val="single" w:color="B8D4E8" w:sz="1"/>
              <w:right w:val="single" w:color="B8D4E8" w:sz="1"/>
            </w:tcBorders>
            <w:shd w:fill="D6E8F5" w:val="clear"/>
            <w:tcMar>
              <w:top w:type="dxa" w:w="120"/>
              <w:left w:type="dxa" w:w="160"/>
              <w:bottom w:type="dxa" w:w="120"/>
              <w:right w:type="dxa" w:w="160"/>
            </w:tcMar>
          </w:tcPr>
          <w:p>
            <w:pPr>
              <w:jc w:val="left"/>
            </w:pPr>
            <w:r>
              <w:rPr>
                <w:rFonts w:ascii="Arial" w:cs="Arial" w:eastAsia="Arial" w:hAnsi="Arial"/>
                <w:b w:val="false"/>
                <w:bCs w:val="false"/>
                <w:color w:val="0A2543"/>
                <w:sz w:val="19"/>
                <w:szCs w:val="19"/>
              </w:rPr>
              <w:t xml:space="preserve">Unauthorized access to cloud infrastructure, subscription management, and resource configuration. The Azure management plane is the highest-privilege surface in the tenant — an attacker with access can create users, assign admin roles, spin up attack infrastructure, exfiltrate storage, or disable security controls.</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Attack scenario</w:t>
            </w:r>
          </w:p>
        </w:tc>
        <w:tc>
          <w:tcPr>
            <w:tcW w:type="dxa" w:w="7680"/>
            <w:tcBorders>
              <w:top w:val="single" w:color="B8D4E8" w:sz="1"/>
              <w:left w:val="single" w:color="B8D4E8" w:sz="1"/>
              <w:bottom w:val="single" w:color="B8D4E8" w:sz="1"/>
              <w:right w:val="single" w:color="B8D4E8" w:sz="1"/>
            </w:tcBorders>
            <w:shd w:fill="FDECEA" w:val="clear"/>
            <w:tcMar>
              <w:top w:type="dxa" w:w="120"/>
              <w:left w:type="dxa" w:w="160"/>
              <w:bottom w:type="dxa" w:w="120"/>
              <w:right w:type="dxa" w:w="160"/>
            </w:tcMar>
          </w:tcPr>
          <w:p>
            <w:pPr>
              <w:jc w:val="left"/>
            </w:pPr>
            <w:r>
              <w:rPr>
                <w:rFonts w:ascii="Arial" w:cs="Arial" w:eastAsia="Arial" w:hAnsi="Arial"/>
                <w:b w:val="false"/>
                <w:bCs w:val="false"/>
                <w:color w:val="7B1A1A"/>
                <w:sz w:val="19"/>
                <w:szCs w:val="19"/>
              </w:rPr>
              <w:t xml:space="preserve">A developer account is compromised. The developer does not have an admin directory role, so CA003 does not apply. However, they have Contributor access to an Azure subscription. Without CA009, the attacker accesses the Azure portal using an existing valid M365 session token and begins deploying cryptocurrency mining VMs. CA009 blocks this by requiring a fresh MFA challenge specifically for Azure management, even when a valid M365 session already exists.</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How it works</w:t>
            </w:r>
          </w:p>
        </w:tc>
        <w:tc>
          <w:tcPr>
            <w:tcW w:type="dxa" w:w="7680"/>
            <w:tcBorders>
              <w:top w:val="single" w:color="B8D4E8" w:sz="1"/>
              <w:left w:val="single" w:color="B8D4E8" w:sz="1"/>
              <w:bottom w:val="single" w:color="B8D4E8" w:sz="1"/>
              <w:right w:val="single" w:color="B8D4E8" w:sz="1"/>
            </w:tcBorders>
            <w:shd w:fill="EBF9E8" w:val="clear"/>
            <w:tcMar>
              <w:top w:type="dxa" w:w="120"/>
              <w:left w:type="dxa" w:w="160"/>
              <w:bottom w:type="dxa" w:w="120"/>
              <w:right w:type="dxa" w:w="160"/>
            </w:tcMar>
          </w:tcPr>
          <w:p>
            <w:pPr>
              <w:jc w:val="left"/>
            </w:pPr>
            <w:r>
              <w:rPr>
                <w:rFonts w:ascii="Arial" w:cs="Arial" w:eastAsia="Arial" w:hAnsi="Arial"/>
                <w:b w:val="false"/>
                <w:bCs w:val="false"/>
                <w:color w:val="1A5C0A"/>
                <w:sz w:val="19"/>
                <w:szCs w:val="19"/>
              </w:rPr>
              <w:t xml:space="preserve">The policy targets the application ID for the Windows Azure Service Management API (797f4846-ba00-4fd7-ba43-dac1f8f63013), which covers all Azure management surfaces. Even users with active M365 sessions are challenged for MFA when they navigate to the Azure portal. This defense-in-depth approach ensures Azure is always protected independently of other policy states or exclusions.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5BBF46" w:sz="1"/>
              <w:left w:val="single" w:color="5BBF46" w:sz="1"/>
              <w:bottom w:val="single" w:color="5BBF46" w:sz="1"/>
              <w:right w:val="single" w:color="5BBF46" w:sz="1"/>
            </w:tcBorders>
            <w:shd w:fill="5BBF46"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CA010</w:t>
            </w:r>
          </w:p>
        </w:tc>
        <w:tc>
          <w:tcPr>
            <w:tcW w:type="dxa" w:w="8600"/>
            <w:tcBorders>
              <w:top w:val="single" w:color="0A2543" w:sz="1"/>
              <w:left w:val="single" w:color="0A2543" w:sz="1"/>
              <w:bottom w:val="single" w:color="0A2543" w:sz="1"/>
              <w:right w:val="single" w:color="0A2543" w:sz="1"/>
            </w:tcBorders>
            <w:shd w:fill="0A2543" w:val="clear"/>
            <w:tcMar>
              <w:top w:type="dxa" w:w="120"/>
              <w:left w:type="dxa" w:w="200"/>
              <w:bottom w:type="dxa" w:w="120"/>
              <w:right w:type="dxa" w:w="160"/>
            </w:tcMar>
          </w:tcPr>
          <w:p>
            <w:r>
              <w:rPr>
                <w:rFonts w:ascii="Arial" w:cs="Arial" w:eastAsia="Arial" w:hAnsi="Arial"/>
                <w:b/>
                <w:bCs/>
                <w:color w:val="FFFFFF"/>
                <w:sz w:val="24"/>
                <w:szCs w:val="24"/>
              </w:rPr>
              <w:t xml:space="preserve">Session Controls for Unmanaged Devices (MCAS)</w:t>
            </w:r>
          </w:p>
          <w:p>
            <w:pPr>
              <w:spacing w:before="30"/>
            </w:pPr>
            <w:r>
              <w:rPr>
                <w:rFonts w:ascii="Arial" w:cs="Arial" w:eastAsia="Arial" w:hAnsi="Arial"/>
                <w:color w:val="8BAFC8"/>
                <w:sz w:val="17"/>
                <w:szCs w:val="17"/>
              </w:rPr>
              <w:t xml:space="preserve">Microsoft Defender for Cloud Apps  |  Phase 4 — Week 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What it does</w:t>
            </w:r>
          </w:p>
        </w:tc>
        <w:tc>
          <w:tcPr>
            <w:tcW w:type="dxa" w:w="7680"/>
            <w:tcBorders>
              <w:top w:val="single" w:color="B8D4E8" w:sz="1"/>
              <w:left w:val="single" w:color="B8D4E8" w:sz="1"/>
              <w:bottom w:val="single" w:color="B8D4E8" w:sz="1"/>
              <w:right w:val="single" w:color="B8D4E8" w:sz="1"/>
            </w:tcBorders>
            <w:shd w:fill="FFFFFF" w:val="clear"/>
            <w:tcMar>
              <w:top w:type="dxa" w:w="120"/>
              <w:left w:type="dxa" w:w="160"/>
              <w:bottom w:type="dxa" w:w="120"/>
              <w:right w:type="dxa" w:w="160"/>
            </w:tcMar>
          </w:tcPr>
          <w:p>
            <w:pPr>
              <w:jc w:val="left"/>
            </w:pPr>
            <w:r>
              <w:rPr>
                <w:rFonts w:ascii="Arial" w:cs="Arial" w:eastAsia="Arial" w:hAnsi="Arial"/>
                <w:b w:val="false"/>
                <w:bCs w:val="false"/>
                <w:color w:val="0A2543"/>
                <w:sz w:val="19"/>
                <w:szCs w:val="19"/>
              </w:rPr>
              <w:t xml:space="preserve">When users access Microsoft 365 from a browser on an unmanaged device, their session is routed through the Microsoft Defender for Cloud Apps reverse proxy. The proxy enforces session-level restrictions: files cannot be downloaded, printed, or copied. Users can view information but cannot exfiltrate it.</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Protects against</w:t>
            </w:r>
          </w:p>
        </w:tc>
        <w:tc>
          <w:tcPr>
            <w:tcW w:type="dxa" w:w="7680"/>
            <w:tcBorders>
              <w:top w:val="single" w:color="B8D4E8" w:sz="1"/>
              <w:left w:val="single" w:color="B8D4E8" w:sz="1"/>
              <w:bottom w:val="single" w:color="B8D4E8" w:sz="1"/>
              <w:right w:val="single" w:color="B8D4E8" w:sz="1"/>
            </w:tcBorders>
            <w:shd w:fill="D6E8F5" w:val="clear"/>
            <w:tcMar>
              <w:top w:type="dxa" w:w="120"/>
              <w:left w:type="dxa" w:w="160"/>
              <w:bottom w:type="dxa" w:w="120"/>
              <w:right w:type="dxa" w:w="160"/>
            </w:tcMar>
          </w:tcPr>
          <w:p>
            <w:pPr>
              <w:jc w:val="left"/>
            </w:pPr>
            <w:r>
              <w:rPr>
                <w:rFonts w:ascii="Arial" w:cs="Arial" w:eastAsia="Arial" w:hAnsi="Arial"/>
                <w:b w:val="false"/>
                <w:bCs w:val="false"/>
                <w:color w:val="0A2543"/>
                <w:sz w:val="19"/>
                <w:szCs w:val="19"/>
              </w:rPr>
              <w:t xml:space="preserve">Data exfiltration from browser sessions on uncontrolled devices. Enables a security-controlled middle ground between full access and complete blocking — useful for contractors, executives on personal devices, or any scenario where blocking outright would cause unacceptable disruption.</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Attack scenario</w:t>
            </w:r>
          </w:p>
        </w:tc>
        <w:tc>
          <w:tcPr>
            <w:tcW w:type="dxa" w:w="7680"/>
            <w:tcBorders>
              <w:top w:val="single" w:color="B8D4E8" w:sz="1"/>
              <w:left w:val="single" w:color="B8D4E8" w:sz="1"/>
              <w:bottom w:val="single" w:color="B8D4E8" w:sz="1"/>
              <w:right w:val="single" w:color="B8D4E8" w:sz="1"/>
            </w:tcBorders>
            <w:shd w:fill="FDECEA" w:val="clear"/>
            <w:tcMar>
              <w:top w:type="dxa" w:w="120"/>
              <w:left w:type="dxa" w:w="160"/>
              <w:bottom w:type="dxa" w:w="120"/>
              <w:right w:type="dxa" w:w="160"/>
            </w:tcMar>
          </w:tcPr>
          <w:p>
            <w:pPr>
              <w:jc w:val="left"/>
            </w:pPr>
            <w:r>
              <w:rPr>
                <w:rFonts w:ascii="Arial" w:cs="Arial" w:eastAsia="Arial" w:hAnsi="Arial"/>
                <w:b w:val="false"/>
                <w:bCs w:val="false"/>
                <w:color w:val="7B1A1A"/>
                <w:sz w:val="19"/>
                <w:szCs w:val="19"/>
              </w:rPr>
              <w:t xml:space="preserve">A finance director needs to review a sensitive budget spreadsheet urgently while travelling and has only a personal laptop. The laptop is not Intune-enrolled and fails CA006. Without CA010, they are completely blocked. With CA010, they can open and review the file in their browser, but cannot download it to local storage — the file remains in the cloud, accessible but not portable to an uncontrolled device.</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How it works</w:t>
            </w:r>
          </w:p>
        </w:tc>
        <w:tc>
          <w:tcPr>
            <w:tcW w:type="dxa" w:w="7680"/>
            <w:tcBorders>
              <w:top w:val="single" w:color="B8D4E8" w:sz="1"/>
              <w:left w:val="single" w:color="B8D4E8" w:sz="1"/>
              <w:bottom w:val="single" w:color="B8D4E8" w:sz="1"/>
              <w:right w:val="single" w:color="B8D4E8" w:sz="1"/>
            </w:tcBorders>
            <w:shd w:fill="EBF9E8" w:val="clear"/>
            <w:tcMar>
              <w:top w:type="dxa" w:w="120"/>
              <w:left w:type="dxa" w:w="160"/>
              <w:bottom w:type="dxa" w:w="120"/>
              <w:right w:type="dxa" w:w="160"/>
            </w:tcMar>
          </w:tcPr>
          <w:p>
            <w:pPr>
              <w:jc w:val="left"/>
            </w:pPr>
            <w:r>
              <w:rPr>
                <w:rFonts w:ascii="Arial" w:cs="Arial" w:eastAsia="Arial" w:hAnsi="Arial"/>
                <w:b w:val="false"/>
                <w:bCs w:val="false"/>
                <w:color w:val="1A5C0A"/>
                <w:sz w:val="19"/>
                <w:szCs w:val="19"/>
              </w:rPr>
              <w:t xml:space="preserve">The policy applies to browser sessions and activates the Defender for Cloud Apps session control proxy. Traffic is transparently routed through Microsoft's MCAS reverse proxy infrastructure, which intercepts download requests and enforces the session policy defined in the MCAS admin portal. The user experiences a normal browser session, but download buttons are disabled and clipboard access to sensitive content is blocked. All session activity is logged in the MCAS activity audit.</w:t>
            </w:r>
          </w:p>
        </w:tc>
      </w:tr>
      <w:tr>
        <w:tc>
          <w:tcPr>
            <w:tcW w:type="dxa" w:w="1680"/>
            <w:tcBorders>
              <w:top w:val="single" w:color="B8D4E8" w:sz="1"/>
              <w:left w:val="single" w:color="B8D4E8" w:sz="1"/>
              <w:bottom w:val="single" w:color="B8D4E8" w:sz="1"/>
              <w:right w:val="single" w:color="B8D4E8" w:sz="1"/>
            </w:tcBorders>
            <w:shd w:fill="D6E8F5" w:val="clear"/>
            <w:tcMar>
              <w:top w:type="dxa" w:w="120"/>
              <w:left w:type="dxa" w:w="140"/>
              <w:bottom w:type="dxa" w:w="120"/>
              <w:right w:type="dxa" w:w="120"/>
            </w:tcMar>
          </w:tcPr>
          <w:p>
            <w:r>
              <w:rPr>
                <w:rFonts w:ascii="Arial" w:cs="Arial" w:eastAsia="Arial" w:hAnsi="Arial"/>
                <w:b/>
                <w:bCs/>
                <w:color w:val="0A2543"/>
                <w:sz w:val="18"/>
                <w:szCs w:val="18"/>
              </w:rPr>
              <w:t xml:space="preserve">Important</w:t>
            </w:r>
          </w:p>
        </w:tc>
        <w:tc>
          <w:tcPr>
            <w:tcW w:type="dxa" w:w="7680"/>
            <w:tcBorders>
              <w:top w:val="single" w:color="B8D4E8" w:sz="1"/>
              <w:left w:val="single" w:color="B8D4E8" w:sz="1"/>
              <w:bottom w:val="single" w:color="B8D4E8" w:sz="1"/>
              <w:right w:val="single" w:color="B8D4E8" w:sz="1"/>
            </w:tcBorders>
            <w:shd w:fill="FDF3E3" w:val="clear"/>
            <w:tcMar>
              <w:top w:type="dxa" w:w="120"/>
              <w:left w:type="dxa" w:w="160"/>
              <w:bottom w:type="dxa" w:w="120"/>
              <w:right w:type="dxa" w:w="160"/>
            </w:tcMar>
          </w:tcPr>
          <w:p>
            <w:pPr>
              <w:jc w:val="left"/>
            </w:pPr>
            <w:r>
              <w:rPr>
                <w:rFonts w:ascii="Arial" w:cs="Arial" w:eastAsia="Arial" w:hAnsi="Arial"/>
                <w:b/>
                <w:bCs/>
                <w:color w:val="6B4200"/>
                <w:sz w:val="19"/>
                <w:szCs w:val="19"/>
              </w:rPr>
              <w:t xml:space="preserve">Requires Microsoft Defender for Cloud Apps licensing. The MCAS session policy (the 'block download' rule for M365 apps) must be configured in the MCAS portal in addition to this CA policy. Without the MCAS session policy, traffic is routed to the proxy but no restrictions are enforced.</w:t>
            </w:r>
          </w:p>
        </w:tc>
      </w:tr>
    </w:tbl>
    <w:p>
      <w:pPr>
        <w:spacing w:before="80" w:after="0"/>
      </w:pPr>
      <w:r>
        <w:t xml:space="preserve"/>
      </w:r>
    </w:p>
    <w:p>
      <w:r>
        <w:br w:type="page"/>
      </w:r>
    </w:p>
    <w:p>
      <w:pPr>
        <w:pBdr>
          <w:bottom w:val="single" w:color="5BBF46" w:sz="8" w:space="4"/>
        </w:pBdr>
        <w:spacing w:before="320" w:after="80"/>
      </w:pPr>
      <w:r>
        <w:rPr>
          <w:rFonts w:ascii="Arial" w:cs="Arial" w:eastAsia="Arial" w:hAnsi="Arial"/>
          <w:b/>
          <w:bCs/>
          <w:color w:val="0A2543"/>
          <w:sz w:val="38"/>
          <w:szCs w:val="38"/>
        </w:rPr>
        <w:t xml:space="preserve">Recommended Deployment Order</w:t>
      </w:r>
    </w:p>
    <w:p>
      <w:pPr>
        <w:spacing w:before="40" w:after="0"/>
      </w:pPr>
      <w:r>
        <w:t xml:space="preserve"/>
      </w:r>
    </w:p>
    <w:p>
      <w:pPr>
        <w:spacing w:before="60" w:after="60"/>
        <w:jc w:val="left"/>
      </w:pPr>
      <w:r>
        <w:rPr>
          <w:rFonts w:ascii="Arial" w:cs="Arial" w:eastAsia="Arial" w:hAnsi="Arial"/>
          <w:color w:val="0A2543"/>
          <w:sz w:val="20"/>
          <w:szCs w:val="20"/>
        </w:rPr>
        <w:t xml:space="preserve">Conditional Access policies must be deployed in a deliberate sequence. The following order minimizes lockout risk and ensures each control has the prerequisites in place before it is enforced.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1"/>
              <w:left w:val="single" w:color="C8922A" w:sz="18"/>
              <w:bottom w:val="single" w:color="C8922A" w:sz="1"/>
              <w:right w:val="single" w:color="C8922A" w:sz="1"/>
            </w:tcBorders>
            <w:shd w:fill="FDF3E3" w:val="clear"/>
            <w:tcMar>
              <w:top w:type="dxa" w:w="140"/>
              <w:left w:type="dxa" w:w="240"/>
              <w:bottom w:type="dxa" w:w="140"/>
              <w:right w:type="dxa" w:w="200"/>
            </w:tcMar>
          </w:tcPr>
          <w:p>
            <w:pPr>
              <w:jc w:val="left"/>
            </w:pPr>
            <w:r>
              <w:rPr>
                <w:rFonts w:ascii="Arial" w:cs="Arial" w:eastAsia="Arial" w:hAnsi="Arial"/>
                <w:color w:val="6B4200"/>
                <w:sz w:val="19"/>
                <w:szCs w:val="19"/>
              </w:rPr>
              <w:t xml:space="preserve">Always deploy in Report-only mode first. Review sign-in logs for 7–14 days. Never enable a policy that could block all users without first confirming break-glass accounts are excluded and can authenticate.</w:t>
            </w:r>
          </w:p>
        </w:tc>
      </w:tr>
    </w:tbl>
    <w:p>
      <w:pPr>
        <w:spacing w:before="60" w:after="0"/>
      </w:pPr>
      <w:r>
        <w:t xml:space="preserve"/>
      </w:r>
    </w:p>
    <w:p>
      <w:pPr>
        <w:spacing w:before="60" w:after="40"/>
      </w:pPr>
      <w:r>
        <w:rPr>
          <w:rFonts w:ascii="Arial" w:cs="Arial" w:eastAsia="Arial" w:hAnsi="Arial"/>
          <w:b/>
          <w:bCs/>
          <w:color w:val="0D3060"/>
          <w:sz w:val="20"/>
          <w:szCs w:val="20"/>
        </w:rPr>
        <w:t xml:space="preserve">Step 1 — Pre-deployment:  </w:t>
      </w:r>
      <w:r>
        <w:rPr>
          <w:rFonts w:ascii="Arial" w:cs="Arial" w:eastAsia="Arial" w:hAnsi="Arial"/>
          <w:color w:val="0A2543"/>
          <w:sz w:val="20"/>
          <w:szCs w:val="20"/>
        </w:rPr>
        <w:t xml:space="preserve">Create two break-glass accounts. Exclude from every CA policy. Test authentication. Store credentials offline in a physically secured location.</w:t>
      </w:r>
    </w:p>
    <w:p>
      <w:pPr>
        <w:spacing w:before="60" w:after="40"/>
      </w:pPr>
      <w:r>
        <w:rPr>
          <w:rFonts w:ascii="Arial" w:cs="Arial" w:eastAsia="Arial" w:hAnsi="Arial"/>
          <w:b/>
          <w:bCs/>
          <w:color w:val="0D3060"/>
          <w:sz w:val="20"/>
          <w:szCs w:val="20"/>
        </w:rPr>
        <w:t xml:space="preserve">Step 2 — Phase 1, Week 2:  </w:t>
      </w:r>
      <w:r>
        <w:rPr>
          <w:rFonts w:ascii="Arial" w:cs="Arial" w:eastAsia="Arial" w:hAnsi="Arial"/>
          <w:color w:val="0A2543"/>
          <w:sz w:val="20"/>
          <w:szCs w:val="20"/>
        </w:rPr>
        <w:t xml:space="preserve">Deploy CA001, CA002, CA003, CA008, CA009 in Report-only. Begin auditing legacy auth usage in Sign-in logs.</w:t>
      </w:r>
    </w:p>
    <w:p>
      <w:pPr>
        <w:spacing w:before="60" w:after="40"/>
      </w:pPr>
      <w:r>
        <w:rPr>
          <w:rFonts w:ascii="Arial" w:cs="Arial" w:eastAsia="Arial" w:hAnsi="Arial"/>
          <w:b/>
          <w:bCs/>
          <w:color w:val="0D3060"/>
          <w:sz w:val="20"/>
          <w:szCs w:val="20"/>
        </w:rPr>
        <w:t xml:space="preserve">Step 3 — Phase 1, Week 3:  </w:t>
      </w:r>
      <w:r>
        <w:rPr>
          <w:rFonts w:ascii="Arial" w:cs="Arial" w:eastAsia="Arial" w:hAnsi="Arial"/>
          <w:color w:val="0A2543"/>
          <w:sz w:val="20"/>
          <w:szCs w:val="20"/>
        </w:rPr>
        <w:t xml:space="preserve">Enable CA002 (legacy auth block) once legacy auth audit is clear. Deploy CA004 and CA005 in Report-only.</w:t>
      </w:r>
    </w:p>
    <w:p>
      <w:pPr>
        <w:spacing w:before="60" w:after="40"/>
      </w:pPr>
      <w:r>
        <w:rPr>
          <w:rFonts w:ascii="Arial" w:cs="Arial" w:eastAsia="Arial" w:hAnsi="Arial"/>
          <w:b/>
          <w:bCs/>
          <w:color w:val="0D3060"/>
          <w:sz w:val="20"/>
          <w:szCs w:val="20"/>
        </w:rPr>
        <w:t xml:space="preserve">Step 4 — Phase 1, Week 4:  </w:t>
      </w:r>
      <w:r>
        <w:rPr>
          <w:rFonts w:ascii="Arial" w:cs="Arial" w:eastAsia="Arial" w:hAnsi="Arial"/>
          <w:color w:val="0A2543"/>
          <w:sz w:val="20"/>
          <w:szCs w:val="20"/>
        </w:rPr>
        <w:t xml:space="preserve">Enable CA001, CA003, CA008, CA009. Enable CA004 after reviewing false positive rate in Identity Protection.</w:t>
      </w:r>
    </w:p>
    <w:p>
      <w:pPr>
        <w:spacing w:before="60" w:after="40"/>
      </w:pPr>
      <w:r>
        <w:rPr>
          <w:rFonts w:ascii="Arial" w:cs="Arial" w:eastAsia="Arial" w:hAnsi="Arial"/>
          <w:b/>
          <w:bCs/>
          <w:color w:val="0D3060"/>
          <w:sz w:val="20"/>
          <w:szCs w:val="20"/>
        </w:rPr>
        <w:t xml:space="preserve">Step 5 — Phase 1, Week 4:  </w:t>
      </w:r>
      <w:r>
        <w:rPr>
          <w:rFonts w:ascii="Arial" w:cs="Arial" w:eastAsia="Arial" w:hAnsi="Arial"/>
          <w:color w:val="0A2543"/>
          <w:sz w:val="20"/>
          <w:szCs w:val="20"/>
        </w:rPr>
        <w:t xml:space="preserve">Enable CA005 after CA004 has been running for one week. Monitor risky user remediation flow.</w:t>
      </w:r>
    </w:p>
    <w:p>
      <w:pPr>
        <w:spacing w:before="60" w:after="40"/>
      </w:pPr>
      <w:r>
        <w:rPr>
          <w:rFonts w:ascii="Arial" w:cs="Arial" w:eastAsia="Arial" w:hAnsi="Arial"/>
          <w:b/>
          <w:bCs/>
          <w:color w:val="0D3060"/>
          <w:sz w:val="20"/>
          <w:szCs w:val="20"/>
        </w:rPr>
        <w:t xml:space="preserve">Step 6 — Phase 2, Week 8:  </w:t>
      </w:r>
      <w:r>
        <w:rPr>
          <w:rFonts w:ascii="Arial" w:cs="Arial" w:eastAsia="Arial" w:hAnsi="Arial"/>
          <w:color w:val="0A2543"/>
          <w:sz w:val="20"/>
          <w:szCs w:val="20"/>
        </w:rPr>
        <w:t xml:space="preserve">Complete Intune enrollment. Deploy CA006 and CA007 in Report-only. Enable after confirming all devices are enrolled and compliant.</w:t>
      </w:r>
    </w:p>
    <w:p>
      <w:pPr>
        <w:spacing w:before="60" w:after="40"/>
      </w:pPr>
      <w:r>
        <w:rPr>
          <w:rFonts w:ascii="Arial" w:cs="Arial" w:eastAsia="Arial" w:hAnsi="Arial"/>
          <w:b/>
          <w:bCs/>
          <w:color w:val="0D3060"/>
          <w:sz w:val="20"/>
          <w:szCs w:val="20"/>
        </w:rPr>
        <w:t xml:space="preserve">Step 7 — Phase 4, Week 15:  </w:t>
      </w:r>
      <w:r>
        <w:rPr>
          <w:rFonts w:ascii="Arial" w:cs="Arial" w:eastAsia="Arial" w:hAnsi="Arial"/>
          <w:color w:val="0A2543"/>
          <w:sz w:val="20"/>
          <w:szCs w:val="20"/>
        </w:rPr>
        <w:t xml:space="preserve">Configure MCAS block-download session policy in the MCAS portal. Deploy CA010 in Report-only then enable.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C559" w:sz="1"/>
              <w:left w:val="single" w:color="7AC559" w:sz="18"/>
              <w:bottom w:val="single" w:color="7AC559" w:sz="1"/>
              <w:right w:val="single" w:color="7AC559" w:sz="1"/>
            </w:tcBorders>
            <w:shd w:fill="EBF9E8" w:val="clear"/>
            <w:tcMar>
              <w:top w:type="dxa" w:w="140"/>
              <w:left w:type="dxa" w:w="240"/>
              <w:bottom w:type="dxa" w:w="140"/>
              <w:right w:type="dxa" w:w="200"/>
            </w:tcMar>
          </w:tcPr>
          <w:p>
            <w:pPr>
              <w:jc w:val="left"/>
            </w:pPr>
            <w:r>
              <w:rPr>
                <w:rFonts w:ascii="Arial" w:cs="Arial" w:eastAsia="Arial" w:hAnsi="Arial"/>
                <w:color w:val="1A5C0A"/>
                <w:sz w:val="19"/>
                <w:szCs w:val="19"/>
              </w:rPr>
              <w:t xml:space="preserve">The Conditional Access policy stack is a living configuration. Review all policies quarterly, audit Sign-in logs weekly for unexpected blocks, and update Named Locations and exclusions as the environment evolves.</w:t>
            </w:r>
          </w:p>
        </w:tc>
      </w:tr>
    </w:tbl>
    <w:sectPr>
      <w:headerReference w:type="default" r:id="rId6"/>
      <w:footerReference w:type="default" r:id="rId7"/>
      <w:pgSz w:w="12240" w:h="15840" w:orient="portrait"/>
      <w:pgMar w:top="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5BBF46" w:sz="4" w:space="2"/>
            <w:left w:val="single" w:color="FFFFFF" w:sz="1"/>
            <w:bottom w:val="single" w:color="FFFFFF" w:sz="1"/>
            <w:right w:val="single" w:color="FFFFFF" w:sz="1"/>
          </w:tcBorders>
          <w:tcMar>
            <w:top w:type="dxa" w:w="60"/>
            <w:left w:type="dxa" w:w="0"/>
            <w:bottom w:type="dxa" w:w="60"/>
            <w:right w:type="dxa" w:w="80"/>
          </w:tcMar>
        </w:tcPr>
        <w:p>
          <w:r>
            <w:rPr>
              <w:rFonts w:ascii="Arial" w:cs="Arial" w:eastAsia="Arial" w:hAnsi="Arial"/>
              <w:color w:val="888888"/>
              <w:sz w:val="16"/>
              <w:szCs w:val="16"/>
            </w:rPr>
            <w:t xml:space="preserve">Versetal | Confidential</w:t>
          </w:r>
        </w:p>
      </w:tc>
      <w:tc>
        <w:tcPr>
          <w:tcW w:type="dxa" w:w="3120"/>
          <w:tcBorders>
            <w:top w:val="single" w:color="5BBF46" w:sz="4" w:space="2"/>
            <w:left w:val="single" w:color="FFFFFF" w:sz="1"/>
            <w:bottom w:val="single" w:color="FFFFFF" w:sz="1"/>
            <w:right w:val="single" w:color="FFFFFF" w:sz="1"/>
          </w:tcBorders>
          <w:tcMar>
            <w:top w:type="dxa" w:w="60"/>
            <w:left w:type="dxa" w:w="80"/>
            <w:bottom w:type="dxa" w:w="60"/>
            <w:right w:type="dxa" w:w="0"/>
          </w:tcMar>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A2543" w:val="clear"/>
          <w:tcMar>
            <w:top w:type="dxa" w:w="80"/>
            <w:left w:type="dxa" w:w="160"/>
            <w:bottom w:type="dxa" w:w="80"/>
            <w:right w:type="dxa" w:w="80"/>
          </w:tcMar>
        </w:tcPr>
        <w:p>
          <w:r>
            <w:rPr>
              <w:rFonts w:ascii="Arial" w:cs="Arial" w:eastAsia="Arial" w:hAnsi="Arial"/>
              <w:b/>
              <w:bCs/>
              <w:color w:val="5BBF46"/>
              <w:sz w:val="18"/>
              <w:szCs w:val="18"/>
            </w:rPr>
            <w:t xml:space="preserve">VERSETAL</w:t>
          </w:r>
        </w:p>
      </w:tc>
      <w:tc>
        <w:tcPr>
          <w:tcW w:type="dxa" w:w="4680"/>
          <w:tcBorders>
            <w:top w:val="none" w:color="FFFFFF" w:sz="0"/>
            <w:left w:val="none" w:color="FFFFFF" w:sz="0"/>
            <w:bottom w:val="none" w:color="FFFFFF" w:sz="0"/>
            <w:right w:val="none" w:color="FFFFFF" w:sz="0"/>
          </w:tcBorders>
          <w:shd w:fill="0A2543" w:val="clear"/>
          <w:tcMar>
            <w:top w:type="dxa" w:w="80"/>
            <w:left w:type="dxa" w:w="80"/>
            <w:bottom w:type="dxa" w:w="80"/>
            <w:right w:type="dxa" w:w="160"/>
          </w:tcMar>
        </w:tcPr>
        <w:p>
          <w:pPr>
            <w:jc w:val="right"/>
          </w:pPr>
          <w:r>
            <w:rPr>
              <w:rFonts w:ascii="Arial" w:cs="Arial" w:eastAsia="Arial" w:hAnsi="Arial"/>
              <w:color w:val="8BAFC8"/>
              <w:sz w:val="16"/>
              <w:szCs w:val="16"/>
            </w:rPr>
            <w:t xml:space="preserve">M365 Zero Trust  |  Conditional Access Policy Reference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2026-03-25T20:07:25.787Z</dcterms:created>
  <dcterms:modified xsi:type="dcterms:W3CDTF">2026-03-25T20:07:25.787Z</dcterms:modified>
</cp:coreProperties>
</file>

<file path=docProps/custom.xml><?xml version="1.0" encoding="utf-8"?>
<Properties xmlns="http://schemas.openxmlformats.org/officeDocument/2006/custom-properties" xmlns:vt="http://schemas.openxmlformats.org/officeDocument/2006/docPropsVTypes"/>
</file>