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3" w:val="clear"/>
            <w:tcMar>
              <w:top w:type="dxa" w:w="480"/>
              <w:left w:type="dxa" w:w="400"/>
              <w:bottom w:type="dxa" w:w="480"/>
              <w:right w:type="dxa" w:w="400"/>
            </w:tcMar>
          </w:tcPr>
          <w:p>
            <w:pPr>
              <w:jc w:val="left"/>
            </w:pPr>
            <w:r>
              <w:rPr>
                <w:rFonts w:ascii="Arial" w:cs="Arial" w:eastAsia="Arial" w:hAnsi="Arial"/>
                <w:b/>
                <w:bCs/>
                <w:color w:val="FFFFFF"/>
                <w:sz w:val="72"/>
                <w:szCs w:val="72"/>
              </w:rPr>
              <w:t xml:space="preserve">Microsoft 365</w:t>
            </w:r>
          </w:p>
          <w:p>
            <w:pPr>
              <w:spacing w:before="40"/>
              <w:jc w:val="left"/>
            </w:pPr>
            <w:r>
              <w:rPr>
                <w:rFonts w:ascii="Arial" w:cs="Arial" w:eastAsia="Arial" w:hAnsi="Arial"/>
                <w:b/>
                <w:bCs/>
                <w:color w:val="5BBF46"/>
                <w:sz w:val="52"/>
                <w:szCs w:val="52"/>
              </w:rPr>
              <w:t xml:space="preserve">Zero Trust Security</w:t>
            </w:r>
          </w:p>
          <w:p>
            <w:pPr>
              <w:spacing w:before="80"/>
              <w:jc w:val="left"/>
            </w:pPr>
            <w:r>
              <w:rPr>
                <w:rFonts w:ascii="Arial" w:cs="Arial" w:eastAsia="Arial" w:hAnsi="Arial"/>
                <w:color w:val="8BAFC8"/>
                <w:sz w:val="26"/>
                <w:szCs w:val="26"/>
              </w:rPr>
              <w:t xml:space="preserve">Executive Summary</w:t>
            </w:r>
          </w:p>
          <w:p>
            <w:pPr>
              <w:spacing w:before="80" w:after="0"/>
            </w:pPr>
            <w:r>
              <w:t xml:space="preserve"/>
            </w:r>
          </w:p>
          <w:p>
            <w:pPr>
              <w:pBdr>
                <w:bottom w:val="single" w:color="5BBF46" w:sz="6" w:space="1"/>
              </w:pBdr>
              <w:spacing w:before="0" w:after="0"/>
            </w:pPr>
            <w:r>
              <w:rPr>
                <w:sz w:val="2"/>
                <w:szCs w:val="2"/>
              </w:rPr>
              <w:t xml:space="preserve"/>
            </w:r>
          </w:p>
          <w:p>
            <w:pPr>
              <w:spacing w:before="40" w:after="0"/>
            </w:pPr>
            <w:r>
              <w:t xml:space="preserve"/>
            </w:r>
          </w:p>
          <w:p>
            <w:pPr>
              <w:spacing w:before="40"/>
            </w:pPr>
            <w:r>
              <w:rPr>
                <w:rFonts w:ascii="Arial" w:cs="Arial" w:eastAsia="Arial" w:hAnsi="Arial"/>
                <w:color w:val="8BAFC8"/>
                <w:sz w:val="18"/>
                <w:szCs w:val="18"/>
              </w:rPr>
              <w:t xml:space="preserve">Prepared by Versetal</w:t>
            </w:r>
          </w:p>
          <w:p>
            <w:pPr>
              <w:spacing w:before="40"/>
            </w:pPr>
            <w:r>
              <w:rPr>
                <w:rFonts w:ascii="Arial" w:cs="Arial" w:eastAsia="Arial" w:hAnsi="Arial"/>
                <w:color w:val="8BAFC8"/>
                <w:sz w:val="18"/>
                <w:szCs w:val="18"/>
              </w:rPr>
              <w:t xml:space="preserve">Classification: Confidential — Executive Leadership Only</w:t>
            </w:r>
          </w:p>
          <w:p>
            <w:pPr>
              <w:spacing w:before="40"/>
            </w:pPr>
            <w:r>
              <w:rPr>
                <w:rFonts w:ascii="Arial" w:cs="Arial" w:eastAsia="Arial" w:hAnsi="Arial"/>
                <w:color w:val="8BAFC8"/>
                <w:sz w:val="18"/>
                <w:szCs w:val="18"/>
              </w:rPr>
              <w:t xml:space="preserve">Version 1.0</w:t>
            </w:r>
          </w:p>
        </w:tc>
      </w:tr>
    </w:tbl>
    <w:p>
      <w:r>
        <w:br w:type="page"/>
      </w:r>
    </w:p>
    <w:p>
      <w:pPr>
        <w:pBdr>
          <w:bottom w:val="single" w:color="5BBF46" w:sz="8" w:space="4"/>
        </w:pBdr>
        <w:spacing w:before="320" w:after="80"/>
      </w:pPr>
      <w:r>
        <w:rPr>
          <w:rFonts w:ascii="Arial" w:cs="Arial" w:eastAsia="Arial" w:hAnsi="Arial"/>
          <w:b/>
          <w:bCs/>
          <w:color w:val="0A2543"/>
          <w:sz w:val="38"/>
          <w:szCs w:val="38"/>
        </w:rPr>
        <w:t xml:space="preserve">Why This Matters</w:t>
      </w:r>
    </w:p>
    <w:p>
      <w:pPr>
        <w:spacing w:before="40" w:after="0"/>
      </w:pPr>
      <w:r>
        <w:t xml:space="preserve"/>
      </w:r>
    </w:p>
    <w:p>
      <w:pPr>
        <w:spacing w:before="60" w:after="60"/>
        <w:jc w:val="left"/>
      </w:pPr>
      <w:r>
        <w:rPr>
          <w:rFonts w:ascii="Arial" w:cs="Arial" w:eastAsia="Arial" w:hAnsi="Arial"/>
          <w:color w:val="0A2543"/>
          <w:sz w:val="20"/>
          <w:szCs w:val="20"/>
        </w:rPr>
        <w:t xml:space="preserve">The way we work has fundamentally changed. Employees access business systems from home networks, personal devices, and third-party locations. Sensitive data lives in the cloud. Traditional security — which assumed that anything inside the corporate network could be trusted — no longer reflects reality.</w:t>
      </w:r>
    </w:p>
    <w:p>
      <w:pPr>
        <w:spacing w:before="40" w:after="0"/>
      </w:pPr>
      <w:r>
        <w:t xml:space="preserve"/>
      </w:r>
    </w:p>
    <w:p>
      <w:pPr>
        <w:spacing w:before="60" w:after="60"/>
        <w:jc w:val="left"/>
      </w:pPr>
      <w:r>
        <w:rPr>
          <w:rFonts w:ascii="Arial" w:cs="Arial" w:eastAsia="Arial" w:hAnsi="Arial"/>
          <w:color w:val="0A2543"/>
          <w:sz w:val="20"/>
          <w:szCs w:val="20"/>
        </w:rPr>
        <w:t xml:space="preserve">Microsoft 365 is the operational core of your organization. It holds email, files, financial records, HR data, and client information. It is also the most targeted platform in the world for cyberattacks, with Microsoft reporting over 600 million identity-based attacks per day across its cloud services.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8"/>
              <w:bottom w:val="single" w:color="2AA7DF" w:sz="1"/>
              <w:right w:val="single" w:color="2AA7DF" w:sz="1"/>
            </w:tcBorders>
            <w:shd w:fill="EBF6FD" w:val="clear"/>
            <w:tcMar>
              <w:top w:type="dxa" w:w="140"/>
              <w:left w:type="dxa" w:w="240"/>
              <w:bottom w:type="dxa" w:w="140"/>
              <w:right w:type="dxa" w:w="200"/>
            </w:tcMar>
          </w:tcPr>
          <w:p>
            <w:pPr>
              <w:jc w:val="left"/>
            </w:pPr>
            <w:r>
              <w:rPr>
                <w:rFonts w:ascii="Arial" w:cs="Arial" w:eastAsia="Arial" w:hAnsi="Arial"/>
                <w:color w:val="0D3060"/>
                <w:sz w:val="19"/>
                <w:szCs w:val="19"/>
              </w:rPr>
              <w:t xml:space="preserve">The question is no longer whether an organization will face a cyberattack — it is whether the right controls are in place when one occurs. Zero Trust is the modern security model designed to answer that question with confidence.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5BBF46" w:sz="1"/>
              <w:left w:val="single" w:color="5BBF46" w:sz="1"/>
              <w:bottom w:val="single" w:color="5BBF46" w:sz="1"/>
              <w:right w:val="single" w:color="5BBF46" w:sz="1"/>
            </w:tcBorders>
            <w:shd w:fill="0A2543" w:val="clear"/>
            <w:tcMar>
              <w:top w:type="dxa" w:w="200"/>
              <w:left w:type="dxa" w:w="120"/>
              <w:bottom w:type="dxa" w:w="200"/>
              <w:right w:type="dxa" w:w="120"/>
            </w:tcMar>
          </w:tcPr>
          <w:p>
            <w:pPr>
              <w:jc w:val="center"/>
            </w:pPr>
            <w:r>
              <w:rPr>
                <w:rFonts w:ascii="Arial" w:cs="Arial" w:eastAsia="Arial" w:hAnsi="Arial"/>
                <w:b/>
                <w:bCs/>
                <w:color w:val="5BBF46"/>
                <w:sz w:val="44"/>
                <w:szCs w:val="44"/>
              </w:rPr>
              <w:t xml:space="preserve">&gt;99.9%</w:t>
            </w:r>
          </w:p>
          <w:p>
            <w:pPr>
              <w:spacing w:before="40"/>
              <w:jc w:val="center"/>
            </w:pPr>
            <w:r>
              <w:rPr>
                <w:rFonts w:ascii="Arial" w:cs="Arial" w:eastAsia="Arial" w:hAnsi="Arial"/>
                <w:color w:val="8BAFC8"/>
                <w:sz w:val="17"/>
                <w:szCs w:val="17"/>
              </w:rPr>
              <w:t xml:space="preserve">of account attacks stopped by MFA alone</w:t>
            </w:r>
          </w:p>
        </w:tc>
        <w:tc>
          <w:tcPr>
            <w:tcW w:type="dxa" w:w="3120"/>
            <w:tcBorders>
              <w:top w:val="single" w:color="5BBF46" w:sz="1"/>
              <w:left w:val="single" w:color="5BBF46" w:sz="1"/>
              <w:bottom w:val="single" w:color="5BBF46" w:sz="1"/>
              <w:right w:val="single" w:color="5BBF46" w:sz="1"/>
            </w:tcBorders>
            <w:shd w:fill="0A2543" w:val="clear"/>
            <w:tcMar>
              <w:top w:type="dxa" w:w="200"/>
              <w:left w:type="dxa" w:w="120"/>
              <w:bottom w:type="dxa" w:w="200"/>
              <w:right w:type="dxa" w:w="120"/>
            </w:tcMar>
          </w:tcPr>
          <w:p>
            <w:pPr>
              <w:jc w:val="center"/>
            </w:pPr>
            <w:r>
              <w:rPr>
                <w:rFonts w:ascii="Arial" w:cs="Arial" w:eastAsia="Arial" w:hAnsi="Arial"/>
                <w:b/>
                <w:bCs/>
                <w:color w:val="5BBF46"/>
                <w:sz w:val="44"/>
                <w:szCs w:val="44"/>
              </w:rPr>
              <w:t xml:space="preserve">$4.88M</w:t>
            </w:r>
          </w:p>
          <w:p>
            <w:pPr>
              <w:spacing w:before="40"/>
              <w:jc w:val="center"/>
            </w:pPr>
            <w:r>
              <w:rPr>
                <w:rFonts w:ascii="Arial" w:cs="Arial" w:eastAsia="Arial" w:hAnsi="Arial"/>
                <w:color w:val="8BAFC8"/>
                <w:sz w:val="17"/>
                <w:szCs w:val="17"/>
              </w:rPr>
              <w:t xml:space="preserve">average cost of a data breach (IBM, 2024)</w:t>
            </w:r>
          </w:p>
        </w:tc>
        <w:tc>
          <w:tcPr>
            <w:tcW w:type="dxa" w:w="3120"/>
            <w:tcBorders>
              <w:top w:val="single" w:color="5BBF46" w:sz="1"/>
              <w:left w:val="single" w:color="5BBF46" w:sz="1"/>
              <w:bottom w:val="single" w:color="5BBF46" w:sz="1"/>
              <w:right w:val="single" w:color="5BBF46" w:sz="1"/>
            </w:tcBorders>
            <w:shd w:fill="0A2543" w:val="clear"/>
            <w:tcMar>
              <w:top w:type="dxa" w:w="200"/>
              <w:left w:type="dxa" w:w="120"/>
              <w:bottom w:type="dxa" w:w="200"/>
              <w:right w:type="dxa" w:w="120"/>
            </w:tcMar>
          </w:tcPr>
          <w:p>
            <w:pPr>
              <w:jc w:val="center"/>
            </w:pPr>
            <w:r>
              <w:rPr>
                <w:rFonts w:ascii="Arial" w:cs="Arial" w:eastAsia="Arial" w:hAnsi="Arial"/>
                <w:b/>
                <w:bCs/>
                <w:color w:val="5BBF46"/>
                <w:sz w:val="44"/>
                <w:szCs w:val="44"/>
              </w:rPr>
              <w:t xml:space="preserve">600M+</w:t>
            </w:r>
          </w:p>
          <w:p>
            <w:pPr>
              <w:spacing w:before="40"/>
              <w:jc w:val="center"/>
            </w:pPr>
            <w:r>
              <w:rPr>
                <w:rFonts w:ascii="Arial" w:cs="Arial" w:eastAsia="Arial" w:hAnsi="Arial"/>
                <w:color w:val="8BAFC8"/>
                <w:sz w:val="17"/>
                <w:szCs w:val="17"/>
              </w:rPr>
              <w:t xml:space="preserve">identity attacks per day on Microsoft cloud</w:t>
            </w:r>
          </w:p>
        </w:tc>
      </w:tr>
    </w:tbl>
    <w:p>
      <w:pPr>
        <w:spacing w:before="80" w:after="0"/>
      </w:pPr>
      <w:r>
        <w:t xml:space="preserve"/>
      </w:r>
    </w:p>
    <w:p>
      <w:pPr>
        <w:pBdr>
          <w:bottom w:val="single" w:color="5BBF46" w:sz="8" w:space="4"/>
        </w:pBdr>
        <w:spacing w:before="320" w:after="80"/>
      </w:pPr>
      <w:r>
        <w:rPr>
          <w:rFonts w:ascii="Arial" w:cs="Arial" w:eastAsia="Arial" w:hAnsi="Arial"/>
          <w:b/>
          <w:bCs/>
          <w:color w:val="0A2543"/>
          <w:sz w:val="38"/>
          <w:szCs w:val="38"/>
        </w:rPr>
        <w:t xml:space="preserve">Our Approach: Zero Trust</w:t>
      </w:r>
    </w:p>
    <w:p>
      <w:pPr>
        <w:spacing w:before="40" w:after="0"/>
      </w:pPr>
      <w:r>
        <w:t xml:space="preserve"/>
      </w:r>
    </w:p>
    <w:p>
      <w:pPr>
        <w:spacing w:before="60" w:after="60"/>
        <w:jc w:val="left"/>
      </w:pPr>
      <w:r>
        <w:rPr>
          <w:rFonts w:ascii="Arial" w:cs="Arial" w:eastAsia="Arial" w:hAnsi="Arial"/>
          <w:color w:val="0A2543"/>
          <w:sz w:val="20"/>
          <w:szCs w:val="20"/>
        </w:rPr>
        <w:t xml:space="preserve">Zero Trust operates on a single guiding principle: never trust, always verify. Every user, every device, and every application must prove it is legitimate before access is granted — regardless of where the request originates.</w:t>
      </w:r>
    </w:p>
    <w:p>
      <w:pPr>
        <w:spacing w:before="40" w:after="0"/>
      </w:pPr>
      <w:r>
        <w:t xml:space="preserve"/>
      </w:r>
    </w:p>
    <w:p>
      <w:pPr>
        <w:spacing w:before="60" w:after="60"/>
        <w:jc w:val="left"/>
      </w:pPr>
      <w:r>
        <w:rPr>
          <w:rFonts w:ascii="Arial" w:cs="Arial" w:eastAsia="Arial" w:hAnsi="Arial"/>
          <w:color w:val="0A2543"/>
          <w:sz w:val="20"/>
          <w:szCs w:val="20"/>
        </w:rPr>
        <w:t xml:space="preserve">This is not about adding complexity. It is about applying the right controls at the right layers so that a stolen password alone cannot compromise the organization, an unmanaged device cannot access sensitive data, and unusual activity is detected and responded to automatically.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2543" w:sz="1"/>
              <w:left w:val="single" w:color="0A2543" w:sz="1"/>
              <w:bottom w:val="single" w:color="0A2543" w:sz="1"/>
              <w:right w:val="single" w:color="0A2543" w:sz="1"/>
            </w:tcBorders>
            <w:shd w:fill="5BBF46" w:val="clear"/>
            <w:tcMar>
              <w:top w:type="dxa" w:w="120"/>
              <w:left w:type="dxa" w:w="60"/>
              <w:bottom w:type="dxa" w:w="120"/>
              <w:right w:type="dxa" w:w="60"/>
            </w:tcMar>
          </w:tcPr>
          <w:p>
            <w:pPr>
              <w:jc w:val="center"/>
            </w:pPr>
            <w:r>
              <w:rPr>
                <w:rFonts w:ascii="Arial" w:cs="Arial" w:eastAsia="Arial" w:hAnsi="Arial"/>
                <w:b/>
                <w:bCs/>
                <w:color w:val="FFFFFF"/>
                <w:sz w:val="20"/>
                <w:szCs w:val="20"/>
              </w:rPr>
              <w:t xml:space="preserve">01</w:t>
            </w:r>
          </w:p>
        </w:tc>
        <w:tc>
          <w:tcPr>
            <w:tcW w:type="dxa" w:w="8800"/>
            <w:tcBorders>
              <w:top w:val="single" w:color="B8D4E8" w:sz="1"/>
              <w:left w:val="single" w:color="B8D4E8" w:sz="1"/>
              <w:bottom w:val="single" w:color="B8D4E8" w:sz="1"/>
              <w:right w:val="single" w:color="B8D4E8" w:sz="1"/>
            </w:tcBorders>
            <w:shd w:fill="D6E8F5" w:val="clear"/>
            <w:tcMar>
              <w:top w:type="dxa" w:w="120"/>
              <w:left w:type="dxa" w:w="200"/>
              <w:bottom w:type="dxa" w:w="120"/>
              <w:right w:type="dxa" w:w="160"/>
            </w:tcMar>
          </w:tcPr>
          <w:p>
            <w:r>
              <w:rPr>
                <w:rFonts w:ascii="Arial" w:cs="Arial" w:eastAsia="Arial" w:hAnsi="Arial"/>
                <w:b/>
                <w:bCs/>
                <w:color w:val="0A2543"/>
                <w:sz w:val="21"/>
                <w:szCs w:val="21"/>
              </w:rPr>
              <w:t xml:space="preserve">Identity verification on every sign-in</w:t>
            </w:r>
          </w:p>
          <w:p>
            <w:pPr>
              <w:spacing w:before="40"/>
            </w:pPr>
            <w:r>
              <w:rPr>
                <w:rFonts w:ascii="Arial" w:cs="Arial" w:eastAsia="Arial" w:hAnsi="Arial"/>
                <w:color w:val="0A2543"/>
                <w:sz w:val="19"/>
                <w:szCs w:val="19"/>
              </w:rPr>
              <w:t xml:space="preserve">Every login is challenged with multi-factor authentication. High-risk sign-ins are automatically blocked before a human needs to intervene.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2543" w:sz="1"/>
              <w:left w:val="single" w:color="0A2543" w:sz="1"/>
              <w:bottom w:val="single" w:color="0A2543" w:sz="1"/>
              <w:right w:val="single" w:color="0A2543" w:sz="1"/>
            </w:tcBorders>
            <w:shd w:fill="5BBF46" w:val="clear"/>
            <w:tcMar>
              <w:top w:type="dxa" w:w="120"/>
              <w:left w:type="dxa" w:w="60"/>
              <w:bottom w:type="dxa" w:w="120"/>
              <w:right w:type="dxa" w:w="60"/>
            </w:tcMar>
          </w:tcPr>
          <w:p>
            <w:pPr>
              <w:jc w:val="center"/>
            </w:pPr>
            <w:r>
              <w:rPr>
                <w:rFonts w:ascii="Arial" w:cs="Arial" w:eastAsia="Arial" w:hAnsi="Arial"/>
                <w:b/>
                <w:bCs/>
                <w:color w:val="FFFFFF"/>
                <w:sz w:val="20"/>
                <w:szCs w:val="20"/>
              </w:rPr>
              <w:t xml:space="preserve">02</w:t>
            </w:r>
          </w:p>
        </w:tc>
        <w:tc>
          <w:tcPr>
            <w:tcW w:type="dxa" w:w="8800"/>
            <w:tcBorders>
              <w:top w:val="single" w:color="B8D4E8" w:sz="1"/>
              <w:left w:val="single" w:color="B8D4E8" w:sz="1"/>
              <w:bottom w:val="single" w:color="B8D4E8" w:sz="1"/>
              <w:right w:val="single" w:color="B8D4E8" w:sz="1"/>
            </w:tcBorders>
            <w:shd w:fill="D6E8F5" w:val="clear"/>
            <w:tcMar>
              <w:top w:type="dxa" w:w="120"/>
              <w:left w:type="dxa" w:w="200"/>
              <w:bottom w:type="dxa" w:w="120"/>
              <w:right w:type="dxa" w:w="160"/>
            </w:tcMar>
          </w:tcPr>
          <w:p>
            <w:r>
              <w:rPr>
                <w:rFonts w:ascii="Arial" w:cs="Arial" w:eastAsia="Arial" w:hAnsi="Arial"/>
                <w:b/>
                <w:bCs/>
                <w:color w:val="0A2543"/>
                <w:sz w:val="21"/>
                <w:szCs w:val="21"/>
              </w:rPr>
              <w:t xml:space="preserve">Only trusted devices can access company data</w:t>
            </w:r>
          </w:p>
          <w:p>
            <w:pPr>
              <w:spacing w:before="40"/>
            </w:pPr>
            <w:r>
              <w:rPr>
                <w:rFonts w:ascii="Arial" w:cs="Arial" w:eastAsia="Arial" w:hAnsi="Arial"/>
                <w:color w:val="0A2543"/>
                <w:sz w:val="19"/>
                <w:szCs w:val="19"/>
              </w:rPr>
              <w:t xml:space="preserve">Devices must be enrolled and meet security requirements — current OS, encryption active, antivirus running — before they are permitted to connect.</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2543" w:sz="1"/>
              <w:left w:val="single" w:color="0A2543" w:sz="1"/>
              <w:bottom w:val="single" w:color="0A2543" w:sz="1"/>
              <w:right w:val="single" w:color="0A2543" w:sz="1"/>
            </w:tcBorders>
            <w:shd w:fill="5BBF46" w:val="clear"/>
            <w:tcMar>
              <w:top w:type="dxa" w:w="120"/>
              <w:left w:type="dxa" w:w="60"/>
              <w:bottom w:type="dxa" w:w="120"/>
              <w:right w:type="dxa" w:w="60"/>
            </w:tcMar>
          </w:tcPr>
          <w:p>
            <w:pPr>
              <w:jc w:val="center"/>
            </w:pPr>
            <w:r>
              <w:rPr>
                <w:rFonts w:ascii="Arial" w:cs="Arial" w:eastAsia="Arial" w:hAnsi="Arial"/>
                <w:b/>
                <w:bCs/>
                <w:color w:val="FFFFFF"/>
                <w:sz w:val="20"/>
                <w:szCs w:val="20"/>
              </w:rPr>
              <w:t xml:space="preserve">03</w:t>
            </w:r>
          </w:p>
        </w:tc>
        <w:tc>
          <w:tcPr>
            <w:tcW w:type="dxa" w:w="8800"/>
            <w:tcBorders>
              <w:top w:val="single" w:color="B8D4E8" w:sz="1"/>
              <w:left w:val="single" w:color="B8D4E8" w:sz="1"/>
              <w:bottom w:val="single" w:color="B8D4E8" w:sz="1"/>
              <w:right w:val="single" w:color="B8D4E8" w:sz="1"/>
            </w:tcBorders>
            <w:shd w:fill="D6E8F5" w:val="clear"/>
            <w:tcMar>
              <w:top w:type="dxa" w:w="120"/>
              <w:left w:type="dxa" w:w="200"/>
              <w:bottom w:type="dxa" w:w="120"/>
              <w:right w:type="dxa" w:w="160"/>
            </w:tcMar>
          </w:tcPr>
          <w:p>
            <w:r>
              <w:rPr>
                <w:rFonts w:ascii="Arial" w:cs="Arial" w:eastAsia="Arial" w:hAnsi="Arial"/>
                <w:b/>
                <w:bCs/>
                <w:color w:val="0A2543"/>
                <w:sz w:val="21"/>
                <w:szCs w:val="21"/>
              </w:rPr>
              <w:t xml:space="preserve">Data is protected wherever it lives</w:t>
            </w:r>
          </w:p>
          <w:p>
            <w:pPr>
              <w:spacing w:before="40"/>
            </w:pPr>
            <w:r>
              <w:rPr>
                <w:rFonts w:ascii="Arial" w:cs="Arial" w:eastAsia="Arial" w:hAnsi="Arial"/>
                <w:color w:val="0A2543"/>
                <w:sz w:val="19"/>
                <w:szCs w:val="19"/>
              </w:rPr>
              <w:t xml:space="preserve">Sensitive files are classified and encrypted. Even if a file is copied or shared incorrectly, it cannot be read by unauthorized parties.</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2543" w:sz="1"/>
              <w:left w:val="single" w:color="0A2543" w:sz="1"/>
              <w:bottom w:val="single" w:color="0A2543" w:sz="1"/>
              <w:right w:val="single" w:color="0A2543" w:sz="1"/>
            </w:tcBorders>
            <w:shd w:fill="5BBF46" w:val="clear"/>
            <w:tcMar>
              <w:top w:type="dxa" w:w="120"/>
              <w:left w:type="dxa" w:w="60"/>
              <w:bottom w:type="dxa" w:w="120"/>
              <w:right w:type="dxa" w:w="60"/>
            </w:tcMar>
          </w:tcPr>
          <w:p>
            <w:pPr>
              <w:jc w:val="center"/>
            </w:pPr>
            <w:r>
              <w:rPr>
                <w:rFonts w:ascii="Arial" w:cs="Arial" w:eastAsia="Arial" w:hAnsi="Arial"/>
                <w:b/>
                <w:bCs/>
                <w:color w:val="FFFFFF"/>
                <w:sz w:val="20"/>
                <w:szCs w:val="20"/>
              </w:rPr>
              <w:t xml:space="preserve">04</w:t>
            </w:r>
          </w:p>
        </w:tc>
        <w:tc>
          <w:tcPr>
            <w:tcW w:type="dxa" w:w="8800"/>
            <w:tcBorders>
              <w:top w:val="single" w:color="B8D4E8" w:sz="1"/>
              <w:left w:val="single" w:color="B8D4E8" w:sz="1"/>
              <w:bottom w:val="single" w:color="B8D4E8" w:sz="1"/>
              <w:right w:val="single" w:color="B8D4E8" w:sz="1"/>
            </w:tcBorders>
            <w:shd w:fill="D6E8F5" w:val="clear"/>
            <w:tcMar>
              <w:top w:type="dxa" w:w="120"/>
              <w:left w:type="dxa" w:w="200"/>
              <w:bottom w:type="dxa" w:w="120"/>
              <w:right w:type="dxa" w:w="160"/>
            </w:tcMar>
          </w:tcPr>
          <w:p>
            <w:r>
              <w:rPr>
                <w:rFonts w:ascii="Arial" w:cs="Arial" w:eastAsia="Arial" w:hAnsi="Arial"/>
                <w:b/>
                <w:bCs/>
                <w:color w:val="0A2543"/>
                <w:sz w:val="21"/>
                <w:szCs w:val="21"/>
              </w:rPr>
              <w:t xml:space="preserve">Continuous monitoring and automatic response</w:t>
            </w:r>
          </w:p>
          <w:p>
            <w:pPr>
              <w:spacing w:before="40"/>
            </w:pPr>
            <w:r>
              <w:rPr>
                <w:rFonts w:ascii="Arial" w:cs="Arial" w:eastAsia="Arial" w:hAnsi="Arial"/>
                <w:color w:val="0A2543"/>
                <w:sz w:val="19"/>
                <w:szCs w:val="19"/>
              </w:rPr>
              <w:t xml:space="preserve">Threats are detected in real time across identity, devices, email, and files. Suspicious accounts are automatically locked pending investigation.</w:t>
            </w:r>
          </w:p>
        </w:tc>
      </w:tr>
    </w:tbl>
    <w:p>
      <w:pPr>
        <w:spacing w:before="80" w:after="0"/>
      </w:pPr>
      <w:r>
        <w:t xml:space="preserve"/>
      </w:r>
    </w:p>
    <w:p>
      <w:pPr>
        <w:pBdr>
          <w:bottom w:val="single" w:color="5BBF46" w:sz="8" w:space="4"/>
        </w:pBdr>
        <w:spacing w:before="320" w:after="80"/>
      </w:pPr>
      <w:r>
        <w:rPr>
          <w:rFonts w:ascii="Arial" w:cs="Arial" w:eastAsia="Arial" w:hAnsi="Arial"/>
          <w:b/>
          <w:bCs/>
          <w:color w:val="0A2543"/>
          <w:sz w:val="38"/>
          <w:szCs w:val="38"/>
        </w:rPr>
        <w:t xml:space="preserve">What We Are Recommending</w:t>
      </w:r>
    </w:p>
    <w:p>
      <w:pPr>
        <w:spacing w:before="40" w:after="0"/>
      </w:pPr>
      <w:r>
        <w:t xml:space="preserve"/>
      </w:r>
    </w:p>
    <w:p>
      <w:pPr>
        <w:spacing w:before="60" w:after="60"/>
        <w:jc w:val="left"/>
      </w:pPr>
      <w:r>
        <w:rPr>
          <w:rFonts w:ascii="Arial" w:cs="Arial" w:eastAsia="Arial" w:hAnsi="Arial"/>
          <w:color w:val="0A2543"/>
          <w:sz w:val="20"/>
          <w:szCs w:val="20"/>
        </w:rPr>
        <w:t xml:space="preserve">We are recommending a structured 16-week implementation delivered in four phases. Each phase builds on the last, ensuring no controls are enabled before the environment is ready. All changes are tested before they affect users.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00"/>
        <w:gridCol w:w="5000"/>
        <w:gridCol w:w="1720"/>
      </w:tblGrid>
      <w:tr>
        <w:tc>
          <w:tcPr>
            <w:tcW w:type="dxa" w:w="64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t>
            </w:r>
          </w:p>
        </w:tc>
        <w:tc>
          <w:tcPr>
            <w:tcW w:type="dxa" w:w="20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Phase</w:t>
            </w:r>
          </w:p>
        </w:tc>
        <w:tc>
          <w:tcPr>
            <w:tcW w:type="dxa" w:w="50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What We Will Do</w:t>
            </w:r>
          </w:p>
        </w:tc>
        <w:tc>
          <w:tcPr>
            <w:tcW w:type="dxa" w:w="172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Timeline</w:t>
            </w:r>
          </w:p>
        </w:tc>
      </w:tr>
      <w:tr>
        <w:tc>
          <w:tcPr>
            <w:tcW w:type="dxa" w:w="640"/>
            <w:tcBorders>
              <w:top w:val="single" w:color="B8D4E8" w:sz="1"/>
              <w:left w:val="single" w:color="B8D4E8" w:sz="1"/>
              <w:bottom w:val="single" w:color="B8D4E8" w:sz="1"/>
              <w:right w:val="single" w:color="B8D4E8" w:sz="1"/>
            </w:tcBorders>
            <w:shd w:fill="5BBF4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1</w:t>
            </w:r>
          </w:p>
        </w:tc>
        <w:tc>
          <w:tcPr>
            <w:tcW w:type="dxa" w:w="20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b/>
                <w:bCs/>
                <w:color w:val="0A2543"/>
                <w:sz w:val="20"/>
                <w:szCs w:val="20"/>
              </w:rPr>
              <w:t xml:space="preserve">Identity Hardening</w:t>
            </w:r>
          </w:p>
        </w:tc>
        <w:tc>
          <w:tcPr>
            <w:tcW w:type="dxa" w:w="50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color w:val="0A2543"/>
                <w:sz w:val="19"/>
                <w:szCs w:val="19"/>
              </w:rPr>
              <w:t xml:space="preserve">Enforce multi-factor authentication for all users, block outdated login methods, protect administrator accounts with the strongest available credentials, and activate automated threat detection.</w:t>
            </w:r>
          </w:p>
        </w:tc>
        <w:tc>
          <w:tcPr>
            <w:tcW w:type="dxa" w:w="17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color w:val="0D3060"/>
                <w:sz w:val="19"/>
                <w:szCs w:val="19"/>
              </w:rPr>
              <w:t xml:space="preserve">Weeks 1–4</w:t>
            </w:r>
          </w:p>
        </w:tc>
      </w:tr>
      <w:tr>
        <w:tc>
          <w:tcPr>
            <w:tcW w:type="dxa" w:w="640"/>
            <w:tcBorders>
              <w:top w:val="single" w:color="B8D4E8" w:sz="1"/>
              <w:left w:val="single" w:color="B8D4E8" w:sz="1"/>
              <w:bottom w:val="single" w:color="B8D4E8" w:sz="1"/>
              <w:right w:val="single" w:color="B8D4E8" w:sz="1"/>
            </w:tcBorders>
            <w:shd w:fill="5BBF4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2</w:t>
            </w:r>
          </w:p>
        </w:tc>
        <w:tc>
          <w:tcPr>
            <w:tcW w:type="dxa" w:w="20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r>
              <w:rPr>
                <w:rFonts w:ascii="Arial" w:cs="Arial" w:eastAsia="Arial" w:hAnsi="Arial"/>
                <w:b/>
                <w:bCs/>
                <w:color w:val="0A2543"/>
                <w:sz w:val="20"/>
                <w:szCs w:val="20"/>
              </w:rPr>
              <w:t xml:space="preserve">Device Security</w:t>
            </w:r>
          </w:p>
        </w:tc>
        <w:tc>
          <w:tcPr>
            <w:tcW w:type="dxa" w:w="50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color w:val="0A2543"/>
                <w:sz w:val="19"/>
                <w:szCs w:val="19"/>
              </w:rPr>
              <w:t xml:space="preserve">Ensure only managed, healthy devices can access Microsoft 365. Deploy endpoint protection and require modern, passwordless authentication on company workstations.</w:t>
            </w:r>
          </w:p>
        </w:tc>
        <w:tc>
          <w:tcPr>
            <w:tcW w:type="dxa" w:w="17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r>
              <w:rPr>
                <w:rFonts w:ascii="Arial" w:cs="Arial" w:eastAsia="Arial" w:hAnsi="Arial"/>
                <w:color w:val="0D3060"/>
                <w:sz w:val="19"/>
                <w:szCs w:val="19"/>
              </w:rPr>
              <w:t xml:space="preserve">Weeks 5–8</w:t>
            </w:r>
          </w:p>
        </w:tc>
      </w:tr>
      <w:tr>
        <w:tc>
          <w:tcPr>
            <w:tcW w:type="dxa" w:w="640"/>
            <w:tcBorders>
              <w:top w:val="single" w:color="B8D4E8" w:sz="1"/>
              <w:left w:val="single" w:color="B8D4E8" w:sz="1"/>
              <w:bottom w:val="single" w:color="B8D4E8" w:sz="1"/>
              <w:right w:val="single" w:color="B8D4E8" w:sz="1"/>
            </w:tcBorders>
            <w:shd w:fill="5BBF4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3</w:t>
            </w:r>
          </w:p>
        </w:tc>
        <w:tc>
          <w:tcPr>
            <w:tcW w:type="dxa" w:w="20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b/>
                <w:bCs/>
                <w:color w:val="0A2543"/>
                <w:sz w:val="20"/>
                <w:szCs w:val="20"/>
              </w:rPr>
              <w:t xml:space="preserve">Data Protection</w:t>
            </w:r>
          </w:p>
        </w:tc>
        <w:tc>
          <w:tcPr>
            <w:tcW w:type="dxa" w:w="50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color w:val="0A2543"/>
                <w:sz w:val="19"/>
                <w:szCs w:val="19"/>
              </w:rPr>
              <w:t xml:space="preserve">Classify and label sensitive data across email, SharePoint, and Teams. Prevent accidental or malicious sharing of confidential information inside and outside the organization.</w:t>
            </w:r>
          </w:p>
        </w:tc>
        <w:tc>
          <w:tcPr>
            <w:tcW w:type="dxa" w:w="17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r>
              <w:rPr>
                <w:rFonts w:ascii="Arial" w:cs="Arial" w:eastAsia="Arial" w:hAnsi="Arial"/>
                <w:color w:val="0D3060"/>
                <w:sz w:val="19"/>
                <w:szCs w:val="19"/>
              </w:rPr>
              <w:t xml:space="preserve">Weeks 9–12</w:t>
            </w:r>
          </w:p>
        </w:tc>
      </w:tr>
      <w:tr>
        <w:tc>
          <w:tcPr>
            <w:tcW w:type="dxa" w:w="640"/>
            <w:tcBorders>
              <w:top w:val="single" w:color="B8D4E8" w:sz="1"/>
              <w:left w:val="single" w:color="B8D4E8" w:sz="1"/>
              <w:bottom w:val="single" w:color="B8D4E8" w:sz="1"/>
              <w:right w:val="single" w:color="B8D4E8" w:sz="1"/>
            </w:tcBorders>
            <w:shd w:fill="5BBF4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4</w:t>
            </w:r>
          </w:p>
        </w:tc>
        <w:tc>
          <w:tcPr>
            <w:tcW w:type="dxa" w:w="20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r>
              <w:rPr>
                <w:rFonts w:ascii="Arial" w:cs="Arial" w:eastAsia="Arial" w:hAnsi="Arial"/>
                <w:b/>
                <w:bCs/>
                <w:color w:val="0A2543"/>
                <w:sz w:val="20"/>
                <w:szCs w:val="20"/>
              </w:rPr>
              <w:t xml:space="preserve">Monitoring &amp; Response</w:t>
            </w:r>
          </w:p>
        </w:tc>
        <w:tc>
          <w:tcPr>
            <w:tcW w:type="dxa" w:w="50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color w:val="0A2543"/>
                <w:sz w:val="19"/>
                <w:szCs w:val="19"/>
              </w:rPr>
              <w:t xml:space="preserve">Connect all security signals into a single monitoring platform. Define automated responses for common threat scenarios and establish an ongoing security review process.</w:t>
            </w:r>
          </w:p>
        </w:tc>
        <w:tc>
          <w:tcPr>
            <w:tcW w:type="dxa" w:w="17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r>
              <w:rPr>
                <w:rFonts w:ascii="Arial" w:cs="Arial" w:eastAsia="Arial" w:hAnsi="Arial"/>
                <w:color w:val="0D3060"/>
                <w:sz w:val="19"/>
                <w:szCs w:val="19"/>
              </w:rPr>
              <w:t xml:space="preserve">Weeks 13–16</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C559" w:sz="1"/>
              <w:left w:val="single" w:color="7AC559" w:sz="18"/>
              <w:bottom w:val="single" w:color="7AC559" w:sz="1"/>
              <w:right w:val="single" w:color="7AC559" w:sz="1"/>
            </w:tcBorders>
            <w:shd w:fill="EBF9E8" w:val="clear"/>
            <w:tcMar>
              <w:top w:type="dxa" w:w="140"/>
              <w:left w:type="dxa" w:w="240"/>
              <w:bottom w:type="dxa" w:w="140"/>
              <w:right w:type="dxa" w:w="200"/>
            </w:tcMar>
          </w:tcPr>
          <w:p>
            <w:pPr>
              <w:jc w:val="left"/>
            </w:pPr>
            <w:r>
              <w:rPr>
                <w:rFonts w:ascii="Arial" w:cs="Arial" w:eastAsia="Arial" w:hAnsi="Arial"/>
                <w:color w:val="1A5C0A"/>
                <w:sz w:val="19"/>
                <w:szCs w:val="19"/>
              </w:rPr>
              <w:t xml:space="preserve">All changes are deployed in a monitoring-only mode before they affect users. Impact is assessed for 7 to 14 days before any control is activated. Users will receive advance communication before any sign-in experience changes.</w:t>
            </w:r>
          </w:p>
        </w:tc>
      </w:tr>
    </w:tbl>
    <w:p>
      <w:pPr>
        <w:spacing w:before="80" w:after="0"/>
      </w:pPr>
      <w:r>
        <w:t xml:space="preserve"/>
      </w:r>
    </w:p>
    <w:p>
      <w:pPr>
        <w:pBdr>
          <w:bottom w:val="single" w:color="5BBF46" w:sz="8" w:space="4"/>
        </w:pBdr>
        <w:spacing w:before="320" w:after="80"/>
      </w:pPr>
      <w:r>
        <w:rPr>
          <w:rFonts w:ascii="Arial" w:cs="Arial" w:eastAsia="Arial" w:hAnsi="Arial"/>
          <w:b/>
          <w:bCs/>
          <w:color w:val="0A2543"/>
          <w:sz w:val="38"/>
          <w:szCs w:val="38"/>
        </w:rPr>
        <w:t xml:space="preserve">Risks We Are Addressing</w:t>
      </w:r>
    </w:p>
    <w:p>
      <w:pPr>
        <w:spacing w:before="40" w:after="0"/>
      </w:pPr>
      <w:r>
        <w:t xml:space="preserve"/>
      </w:r>
    </w:p>
    <w:p>
      <w:pPr>
        <w:spacing w:before="60" w:after="60"/>
        <w:jc w:val="left"/>
      </w:pPr>
      <w:r>
        <w:rPr>
          <w:rFonts w:ascii="Arial" w:cs="Arial" w:eastAsia="Arial" w:hAnsi="Arial"/>
          <w:color w:val="0A2543"/>
          <w:sz w:val="20"/>
          <w:szCs w:val="20"/>
        </w:rPr>
        <w:t xml:space="preserve">The following threats represent the most common and highest-impact security scenarios faced by organizations using Microsoft 365 today. Each is directly addressed by this implementation.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Threat</w:t>
            </w:r>
          </w:p>
        </w:tc>
        <w:tc>
          <w:tcPr>
            <w:tcW w:type="dxa" w:w="328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Business Impact</w:t>
            </w:r>
          </w:p>
        </w:tc>
        <w:tc>
          <w:tcPr>
            <w:tcW w:type="dxa" w:w="348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How Zero Trust Addresses It</w:t>
            </w:r>
          </w:p>
        </w:tc>
      </w:tr>
      <w:tr>
        <w:tc>
          <w:tcPr>
            <w:tcW w:type="dxa" w:w="2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Business Email Compromise (BEC)</w:t>
            </w:r>
          </w:p>
        </w:tc>
        <w:tc>
          <w:tcPr>
            <w:tcW w:type="dxa" w:w="32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Fraudulent wire transfers, invoice fraud, executive impersonation. Average loss exceeds $125,000 per incident.</w:t>
            </w:r>
          </w:p>
        </w:tc>
        <w:tc>
          <w:tcPr>
            <w:tcW w:type="dxa" w:w="34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1A5C0A"/>
                <w:sz w:val="19"/>
                <w:szCs w:val="19"/>
              </w:rPr>
              <w:t xml:space="preserve">MFA and phishing-resistant admin credentials eliminate the account takeovers that enable BEC.</w:t>
            </w:r>
          </w:p>
        </w:tc>
      </w:tr>
      <w:tr>
        <w:tc>
          <w:tcPr>
            <w:tcW w:type="dxa" w:w="2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Ransomware via compromised account</w:t>
            </w:r>
          </w:p>
        </w:tc>
        <w:tc>
          <w:tcPr>
            <w:tcW w:type="dxa" w:w="32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Encrypted files, operational disruption, ransom demands, and potential data exfiltration before encryption.</w:t>
            </w:r>
          </w:p>
        </w:tc>
        <w:tc>
          <w:tcPr>
            <w:tcW w:type="dxa" w:w="34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1A5C0A"/>
                <w:sz w:val="19"/>
                <w:szCs w:val="19"/>
              </w:rPr>
              <w:t xml:space="preserve">Device compliance and session controls prevent lateral movement even when credentials are stolen.</w:t>
            </w:r>
          </w:p>
        </w:tc>
      </w:tr>
      <w:tr>
        <w:tc>
          <w:tcPr>
            <w:tcW w:type="dxa" w:w="2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Data exfiltration from unmanaged devices</w:t>
            </w:r>
          </w:p>
        </w:tc>
        <w:tc>
          <w:tcPr>
            <w:tcW w:type="dxa" w:w="32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Client data, financial records, or PII accessed from personal or unknown devices with no organizational visibility.</w:t>
            </w:r>
          </w:p>
        </w:tc>
        <w:tc>
          <w:tcPr>
            <w:tcW w:type="dxa" w:w="34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1A5C0A"/>
                <w:sz w:val="19"/>
                <w:szCs w:val="19"/>
              </w:rPr>
              <w:t xml:space="preserve">Device compliance blocks unmanaged devices; data classification encrypts files at the source.</w:t>
            </w:r>
          </w:p>
        </w:tc>
      </w:tr>
      <w:tr>
        <w:tc>
          <w:tcPr>
            <w:tcW w:type="dxa" w:w="2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Credential stuffing and password spray</w:t>
            </w:r>
          </w:p>
        </w:tc>
        <w:tc>
          <w:tcPr>
            <w:tcW w:type="dxa" w:w="32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Automated attacks test millions of credential combinations against cloud login portals around the clock.</w:t>
            </w:r>
          </w:p>
        </w:tc>
        <w:tc>
          <w:tcPr>
            <w:tcW w:type="dxa" w:w="34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1A5C0A"/>
                <w:sz w:val="19"/>
                <w:szCs w:val="19"/>
              </w:rPr>
              <w:t xml:space="preserve">MFA blocks these attacks entirely. Risk-based policies automatically lock compromised accounts.</w:t>
            </w:r>
          </w:p>
        </w:tc>
      </w:tr>
      <w:tr>
        <w:tc>
          <w:tcPr>
            <w:tcW w:type="dxa" w:w="2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Accidental or insider data sharing</w:t>
            </w:r>
          </w:p>
        </w:tc>
        <w:tc>
          <w:tcPr>
            <w:tcW w:type="dxa" w:w="32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Sensitive files shared externally by mistake or by a disgruntled employee with no audit trail.</w:t>
            </w:r>
          </w:p>
        </w:tc>
        <w:tc>
          <w:tcPr>
            <w:tcW w:type="dxa" w:w="34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1A5C0A"/>
                <w:sz w:val="19"/>
                <w:szCs w:val="19"/>
              </w:rPr>
              <w:t xml:space="preserve">DLP policies and sensitivity labels prevent unauthorized sharing and encrypt files on exit.</w:t>
            </w:r>
          </w:p>
        </w:tc>
      </w:tr>
    </w:tbl>
    <w:p>
      <w:pPr>
        <w:spacing w:before="80" w:after="0"/>
      </w:pPr>
      <w:r>
        <w:t xml:space="preserve"/>
      </w:r>
    </w:p>
    <w:p>
      <w:pPr>
        <w:pBdr>
          <w:bottom w:val="single" w:color="5BBF46" w:sz="8" w:space="4"/>
        </w:pBdr>
        <w:spacing w:before="320" w:after="80"/>
      </w:pPr>
      <w:r>
        <w:rPr>
          <w:rFonts w:ascii="Arial" w:cs="Arial" w:eastAsia="Arial" w:hAnsi="Arial"/>
          <w:b/>
          <w:bCs/>
          <w:color w:val="0A2543"/>
          <w:sz w:val="38"/>
          <w:szCs w:val="38"/>
        </w:rPr>
        <w:t xml:space="preserve">Investment Summary</w:t>
      </w:r>
    </w:p>
    <w:p>
      <w:pPr>
        <w:spacing w:before="40" w:after="0"/>
      </w:pPr>
      <w:r>
        <w:t xml:space="preserve"/>
      </w:r>
    </w:p>
    <w:p>
      <w:pPr>
        <w:spacing w:before="60" w:after="60"/>
        <w:jc w:val="left"/>
      </w:pPr>
      <w:r>
        <w:rPr>
          <w:rFonts w:ascii="Arial" w:cs="Arial" w:eastAsia="Arial" w:hAnsi="Arial"/>
          <w:color w:val="0A2543"/>
          <w:sz w:val="20"/>
          <w:szCs w:val="20"/>
        </w:rPr>
        <w:t xml:space="preserve">The majority of the capabilities required for this implementation are already included in existing Microsoft 365 licensing. There is no new hardware required. The primary investment is engineering time to configure, test, and deploy the controls correctly.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Item</w:t>
            </w:r>
          </w:p>
        </w:tc>
        <w:tc>
          <w:tcPr>
            <w:tcW w:type="dxa" w:w="312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Detail</w:t>
            </w:r>
          </w:p>
        </w:tc>
        <w:tc>
          <w:tcPr>
            <w:tcW w:type="dxa" w:w="312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Status</w:t>
            </w:r>
          </w:p>
        </w:tc>
      </w:tr>
      <w:tr>
        <w:tc>
          <w:tcPr>
            <w:tcW w:type="dxa" w:w="3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Engineering &amp; implementation</w:t>
            </w:r>
          </w:p>
        </w:tc>
        <w:tc>
          <w:tcPr>
            <w:tcW w:type="dxa" w:w="3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~120–160 hours across 16 weeks</w:t>
            </w:r>
          </w:p>
        </w:tc>
        <w:tc>
          <w:tcPr>
            <w:tcW w:type="dxa" w:w="3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To be scoped per engagement</w:t>
            </w:r>
          </w:p>
        </w:tc>
      </w:tr>
      <w:tr>
        <w:tc>
          <w:tcPr>
            <w:tcW w:type="dxa" w:w="31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M365 licensing</w:t>
            </w:r>
          </w:p>
        </w:tc>
        <w:tc>
          <w:tcPr>
            <w:tcW w:type="dxa" w:w="31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Business Premium covers most controls</w:t>
            </w:r>
          </w:p>
        </w:tc>
        <w:tc>
          <w:tcPr>
            <w:tcW w:type="dxa" w:w="31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Review P2 add-on for risk-based policies</w:t>
            </w:r>
          </w:p>
        </w:tc>
      </w:tr>
      <w:tr>
        <w:tc>
          <w:tcPr>
            <w:tcW w:type="dxa" w:w="3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New hardware</w:t>
            </w:r>
          </w:p>
        </w:tc>
        <w:tc>
          <w:tcPr>
            <w:tcW w:type="dxa" w:w="3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None required</w:t>
            </w:r>
          </w:p>
        </w:tc>
        <w:tc>
          <w:tcPr>
            <w:tcW w:type="dxa" w:w="3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No additional cost</w:t>
            </w:r>
          </w:p>
        </w:tc>
      </w:tr>
      <w:tr>
        <w:tc>
          <w:tcPr>
            <w:tcW w:type="dxa" w:w="31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End-user disruption</w:t>
            </w:r>
          </w:p>
        </w:tc>
        <w:tc>
          <w:tcPr>
            <w:tcW w:type="dxa" w:w="31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Minimal — phased and pre-communicated</w:t>
            </w:r>
          </w:p>
        </w:tc>
        <w:tc>
          <w:tcPr>
            <w:tcW w:type="dxa" w:w="31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Change management comms included</w:t>
            </w:r>
          </w:p>
        </w:tc>
      </w:tr>
      <w:tr>
        <w:tc>
          <w:tcPr>
            <w:tcW w:type="dxa" w:w="3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Ongoing management</w:t>
            </w:r>
          </w:p>
        </w:tc>
        <w:tc>
          <w:tcPr>
            <w:tcW w:type="dxa" w:w="3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Monthly review cadence post-implementation</w:t>
            </w:r>
          </w:p>
        </w:tc>
        <w:tc>
          <w:tcPr>
            <w:tcW w:type="dxa" w:w="3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Operational runbooks provided</w:t>
            </w:r>
          </w:p>
        </w:tc>
      </w:tr>
    </w:tbl>
    <w:p>
      <w:pPr>
        <w:spacing w:before="80" w:after="0"/>
      </w:pPr>
      <w:r>
        <w:t xml:space="preserve"/>
      </w:r>
    </w:p>
    <w:p>
      <w:pPr>
        <w:pBdr>
          <w:bottom w:val="single" w:color="5BBF46" w:sz="8" w:space="4"/>
        </w:pBdr>
        <w:spacing w:before="320" w:after="80"/>
      </w:pPr>
      <w:r>
        <w:rPr>
          <w:rFonts w:ascii="Arial" w:cs="Arial" w:eastAsia="Arial" w:hAnsi="Arial"/>
          <w:b/>
          <w:bCs/>
          <w:color w:val="0A2543"/>
          <w:sz w:val="38"/>
          <w:szCs w:val="38"/>
        </w:rPr>
        <w:t xml:space="preserve">Recommendation &amp; Next Steps</w:t>
      </w:r>
    </w:p>
    <w:p>
      <w:pPr>
        <w:spacing w:before="40" w:after="0"/>
      </w:pPr>
      <w:r>
        <w:t xml:space="preserve"/>
      </w:r>
    </w:p>
    <w:p>
      <w:pPr>
        <w:spacing w:before="60" w:after="60"/>
        <w:jc w:val="left"/>
      </w:pPr>
      <w:r>
        <w:rPr>
          <w:rFonts w:ascii="Arial" w:cs="Arial" w:eastAsia="Arial" w:hAnsi="Arial"/>
          <w:color w:val="0A2543"/>
          <w:sz w:val="20"/>
          <w:szCs w:val="20"/>
        </w:rPr>
        <w:t xml:space="preserve">We recommend approving this initiative and proceeding with Phase 1 immediately. Identity hardening delivers the highest security return for the lowest disruption and can be completed within the first month.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C559" w:sz="1"/>
              <w:left w:val="single" w:color="7AC559" w:sz="18"/>
              <w:bottom w:val="single" w:color="7AC559" w:sz="1"/>
              <w:right w:val="single" w:color="7AC559" w:sz="1"/>
            </w:tcBorders>
            <w:shd w:fill="EBF9E8" w:val="clear"/>
            <w:tcMar>
              <w:top w:type="dxa" w:w="140"/>
              <w:left w:type="dxa" w:w="240"/>
              <w:bottom w:type="dxa" w:w="140"/>
              <w:right w:type="dxa" w:w="200"/>
            </w:tcMar>
          </w:tcPr>
          <w:p>
            <w:pPr>
              <w:jc w:val="left"/>
            </w:pPr>
            <w:r>
              <w:rPr>
                <w:rFonts w:ascii="Arial" w:cs="Arial" w:eastAsia="Arial" w:hAnsi="Arial"/>
                <w:color w:val="1A5C0A"/>
                <w:sz w:val="19"/>
                <w:szCs w:val="19"/>
              </w:rPr>
              <w:t xml:space="preserve">Zero Trust is not a one-time project — it is a security posture. This implementation establishes the foundation. Once in place, the organization will have continuous visibility, automated threat response, and a measurable security score that improves over time.</w:t>
            </w:r>
          </w:p>
        </w:tc>
      </w:tr>
    </w:tbl>
    <w:p>
      <w:pPr>
        <w:spacing w:before="60" w:after="0"/>
      </w:pPr>
      <w:r>
        <w:t xml:space="preserve"/>
      </w:r>
    </w:p>
    <w:p>
      <w:pPr>
        <w:spacing w:before="180" w:after="40"/>
      </w:pPr>
      <w:r>
        <w:rPr>
          <w:rFonts w:ascii="Arial" w:cs="Arial" w:eastAsia="Arial" w:hAnsi="Arial"/>
          <w:b/>
          <w:bCs/>
          <w:color w:val="0A2543"/>
          <w:sz w:val="22"/>
          <w:szCs w:val="22"/>
        </w:rPr>
        <w:t xml:space="preserve">Requested approvals</w:t>
      </w:r>
    </w:p>
    <w:p>
      <w:pPr>
        <w:pStyle w:val="ListParagraph"/>
        <w:numPr>
          <w:ilvl w:val="0"/>
          <w:numId w:val="2"/>
        </w:numPr>
        <w:spacing w:before="40" w:after="40"/>
      </w:pPr>
      <w:r>
        <w:rPr>
          <w:rFonts w:ascii="Arial" w:cs="Arial" w:eastAsia="Arial" w:hAnsi="Arial"/>
          <w:color w:val="0A2543"/>
          <w:sz w:val="20"/>
          <w:szCs w:val="20"/>
        </w:rPr>
        <w:t xml:space="preserve">Authorization to proceed with Phase 1 identity hardening</w:t>
      </w:r>
    </w:p>
    <w:p>
      <w:pPr>
        <w:pStyle w:val="ListParagraph"/>
        <w:numPr>
          <w:ilvl w:val="0"/>
          <w:numId w:val="2"/>
        </w:numPr>
        <w:spacing w:before="40" w:after="40"/>
      </w:pPr>
      <w:r>
        <w:rPr>
          <w:rFonts w:ascii="Arial" w:cs="Arial" w:eastAsia="Arial" w:hAnsi="Arial"/>
          <w:color w:val="0A2543"/>
          <w:sz w:val="20"/>
          <w:szCs w:val="20"/>
        </w:rPr>
        <w:t xml:space="preserve">Confirmation of Microsoft 365 licensing tier in use</w:t>
      </w:r>
    </w:p>
    <w:p>
      <w:pPr>
        <w:pStyle w:val="ListParagraph"/>
        <w:numPr>
          <w:ilvl w:val="0"/>
          <w:numId w:val="2"/>
        </w:numPr>
        <w:spacing w:before="40" w:after="40"/>
      </w:pPr>
      <w:r>
        <w:rPr>
          <w:rFonts w:ascii="Arial" w:cs="Arial" w:eastAsia="Arial" w:hAnsi="Arial"/>
          <w:color w:val="0A2543"/>
          <w:sz w:val="20"/>
          <w:szCs w:val="20"/>
        </w:rPr>
        <w:t xml:space="preserve">Designation of project sponsor and communication lead for end-user messaging</w:t>
      </w:r>
    </w:p>
    <w:p>
      <w:pPr>
        <w:spacing w:before="60" w:after="0"/>
      </w:pPr>
      <w:r>
        <w:t xml:space="preserve"/>
      </w:r>
    </w:p>
    <w:p>
      <w:pPr>
        <w:spacing w:before="60" w:after="60"/>
        <w:jc w:val="left"/>
      </w:pPr>
      <w:r>
        <w:rPr>
          <w:rFonts w:ascii="Arial" w:cs="Arial" w:eastAsia="Arial" w:hAnsi="Arial"/>
          <w:color w:val="0A2543"/>
          <w:sz w:val="20"/>
          <w:szCs w:val="20"/>
        </w:rPr>
        <w:t xml:space="preserve">A detailed technical project plan, task-level timeline, risk register, and Conditional Access policy documentation are available separately for the technical team. Questions can be directed to your Versetal account team.</w:t>
      </w:r>
    </w:p>
    <w:sectPr>
      <w:headerReference w:type="default" r:id="rId6"/>
      <w:footerReference w:type="default" r:id="rId7"/>
      <w:pgSz w:w="12240" w:h="15840" w:orient="portrait"/>
      <w:pgMar w:top="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5BBF46" w:sz="4" w:space="2"/>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888888"/>
              <w:sz w:val="16"/>
              <w:szCs w:val="16"/>
            </w:rPr>
            <w:t xml:space="preserve">Versetal | Confidential</w:t>
          </w:r>
        </w:p>
      </w:tc>
      <w:tc>
        <w:tcPr>
          <w:tcW w:type="dxa" w:w="3120"/>
          <w:tcBorders>
            <w:top w:val="single" w:color="5BBF46" w:sz="4" w:space="2"/>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2543" w:val="clear"/>
          <w:tcMar>
            <w:top w:type="dxa" w:w="80"/>
            <w:left w:type="dxa" w:w="160"/>
            <w:bottom w:type="dxa" w:w="80"/>
            <w:right w:type="dxa" w:w="80"/>
          </w:tcMar>
        </w:tcPr>
        <w:p>
          <w:r>
            <w:rPr>
              <w:rFonts w:ascii="Arial" w:cs="Arial" w:eastAsia="Arial" w:hAnsi="Arial"/>
              <w:b/>
              <w:bCs/>
              <w:color w:val="5BBF46"/>
              <w:sz w:val="18"/>
              <w:szCs w:val="18"/>
            </w:rPr>
            <w:t xml:space="preserve">VERSETAL</w:t>
          </w:r>
        </w:p>
      </w:tc>
      <w:tc>
        <w:tcPr>
          <w:tcW w:type="dxa" w:w="4680"/>
          <w:tcBorders>
            <w:top w:val="none" w:color="FFFFFF" w:sz="0"/>
            <w:left w:val="none" w:color="FFFFFF" w:sz="0"/>
            <w:bottom w:val="none" w:color="FFFFFF" w:sz="0"/>
            <w:right w:val="none" w:color="FFFFFF" w:sz="0"/>
          </w:tcBorders>
          <w:shd w:fill="0A2543" w:val="clear"/>
          <w:tcMar>
            <w:top w:type="dxa" w:w="80"/>
            <w:left w:type="dxa" w:w="80"/>
            <w:bottom w:type="dxa" w:w="80"/>
            <w:right w:type="dxa" w:w="160"/>
          </w:tcMar>
        </w:tcPr>
        <w:p>
          <w:pPr>
            <w:jc w:val="right"/>
          </w:pPr>
          <w:r>
            <w:rPr>
              <w:rFonts w:ascii="Arial" w:cs="Arial" w:eastAsia="Arial" w:hAnsi="Arial"/>
              <w:color w:val="8BAFC8"/>
              <w:sz w:val="16"/>
              <w:szCs w:val="16"/>
            </w:rPr>
            <w:t xml:space="preserve">M365 Zero Trust  |  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2026-03-25T20:07:24.794Z</dcterms:created>
  <dcterms:modified xsi:type="dcterms:W3CDTF">2026-03-25T20:07:24.794Z</dcterms:modified>
</cp:coreProperties>
</file>

<file path=docProps/custom.xml><?xml version="1.0" encoding="utf-8"?>
<Properties xmlns="http://schemas.openxmlformats.org/officeDocument/2006/custom-properties" xmlns:vt="http://schemas.openxmlformats.org/officeDocument/2006/docPropsVTypes"/>
</file>