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3" w:val="clear"/>
            <w:tcMar>
              <w:top w:type="dxa" w:w="480"/>
              <w:left w:type="dxa" w:w="400"/>
              <w:bottom w:type="dxa" w:w="480"/>
              <w:right w:type="dxa" w:w="400"/>
            </w:tcMar>
          </w:tcPr>
          <w:p>
            <w:pPr>
              <w:jc w:val="left"/>
            </w:pPr>
            <w:r>
              <w:rPr>
                <w:rFonts w:ascii="Arial" w:cs="Arial" w:eastAsia="Arial" w:hAnsi="Arial"/>
                <w:b/>
                <w:bCs/>
                <w:color w:val="FFFFFF"/>
                <w:sz w:val="72"/>
                <w:szCs w:val="72"/>
              </w:rPr>
              <w:t xml:space="preserve">Zero Trust</w:t>
            </w:r>
          </w:p>
          <w:p>
            <w:pPr>
              <w:spacing w:before="40"/>
              <w:jc w:val="left"/>
            </w:pPr>
            <w:r>
              <w:rPr>
                <w:rFonts w:ascii="Arial" w:cs="Arial" w:eastAsia="Arial" w:hAnsi="Arial"/>
                <w:b/>
                <w:bCs/>
                <w:color w:val="5BBF46"/>
                <w:sz w:val="52"/>
                <w:szCs w:val="52"/>
              </w:rPr>
              <w:t xml:space="preserve">Phase Implementation Guide</w:t>
            </w:r>
          </w:p>
          <w:p>
            <w:pPr>
              <w:spacing w:before="80"/>
              <w:jc w:val="left"/>
            </w:pPr>
            <w:r>
              <w:rPr>
                <w:rFonts w:ascii="Arial" w:cs="Arial" w:eastAsia="Arial" w:hAnsi="Arial"/>
                <w:color w:val="8BAFC8"/>
                <w:sz w:val="26"/>
                <w:szCs w:val="26"/>
              </w:rPr>
              <w:t xml:space="preserve">A plain-language walkthrough of each phase — what it does, why it matters, and how it delivers security</w:t>
            </w:r>
          </w:p>
          <w:p>
            <w:pPr>
              <w:spacing w:before="80" w:after="0"/>
            </w:pPr>
            <w:r>
              <w:t xml:space="preserve"/>
            </w:r>
          </w:p>
          <w:p>
            <w:pPr>
              <w:pBdr>
                <w:bottom w:val="single" w:color="5BBF46" w:sz="6" w:space="1"/>
              </w:pBdr>
              <w:spacing w:before="0" w:after="0"/>
            </w:pPr>
            <w:r>
              <w:rPr>
                <w:sz w:val="2"/>
                <w:szCs w:val="2"/>
              </w:rPr>
              <w:t xml:space="preserve"/>
            </w:r>
          </w:p>
          <w:p>
            <w:pPr>
              <w:spacing w:before="40" w:after="0"/>
            </w:pPr>
            <w:r>
              <w:t xml:space="preserve"/>
            </w:r>
          </w:p>
          <w:p>
            <w:pPr>
              <w:spacing w:before="40"/>
            </w:pPr>
            <w:r>
              <w:rPr>
                <w:rFonts w:ascii="Arial" w:cs="Arial" w:eastAsia="Arial" w:hAnsi="Arial"/>
                <w:color w:val="8BAFC8"/>
                <w:sz w:val="18"/>
                <w:szCs w:val="18"/>
              </w:rPr>
              <w:t xml:space="preserve">Prepared by Versetal</w:t>
            </w:r>
          </w:p>
          <w:p>
            <w:pPr>
              <w:spacing w:before="40"/>
            </w:pPr>
            <w:r>
              <w:rPr>
                <w:rFonts w:ascii="Arial" w:cs="Arial" w:eastAsia="Arial" w:hAnsi="Arial"/>
                <w:color w:val="8BAFC8"/>
                <w:sz w:val="18"/>
                <w:szCs w:val="18"/>
              </w:rPr>
              <w:t xml:space="preserve">Audience: IT Administration &amp; Management</w:t>
            </w:r>
          </w:p>
          <w:p>
            <w:pPr>
              <w:spacing w:before="40"/>
            </w:pPr>
            <w:r>
              <w:rPr>
                <w:rFonts w:ascii="Arial" w:cs="Arial" w:eastAsia="Arial" w:hAnsi="Arial"/>
                <w:color w:val="8BAFC8"/>
                <w:sz w:val="18"/>
                <w:szCs w:val="18"/>
              </w:rPr>
              <w:t xml:space="preserve">Classification: Confidential</w:t>
            </w:r>
          </w:p>
          <w:p>
            <w:pPr>
              <w:spacing w:before="40"/>
            </w:pPr>
            <w:r>
              <w:rPr>
                <w:rFonts w:ascii="Arial" w:cs="Arial" w:eastAsia="Arial" w:hAnsi="Arial"/>
                <w:color w:val="8BAFC8"/>
                <w:sz w:val="18"/>
                <w:szCs w:val="18"/>
              </w:rPr>
              <w:t xml:space="preserve">Version 1.0</w:t>
            </w:r>
          </w:p>
        </w:tc>
      </w:tr>
    </w:tbl>
    <w:p>
      <w:r>
        <w:br w:type="page"/>
      </w:r>
    </w:p>
    <w:p>
      <w:pPr>
        <w:pBdr>
          <w:bottom w:val="single" w:color="5BBF46" w:sz="8" w:space="4"/>
        </w:pBdr>
        <w:spacing w:before="320" w:after="80"/>
      </w:pPr>
      <w:r>
        <w:rPr>
          <w:rFonts w:ascii="Arial" w:cs="Arial" w:eastAsia="Arial" w:hAnsi="Arial"/>
          <w:b/>
          <w:bCs/>
          <w:color w:val="0A2543"/>
          <w:sz w:val="38"/>
          <w:szCs w:val="38"/>
        </w:rPr>
        <w:t xml:space="preserve">How the Phases Work Together</w:t>
      </w:r>
    </w:p>
    <w:p>
      <w:pPr>
        <w:spacing w:before="40" w:after="0"/>
      </w:pPr>
      <w:r>
        <w:t xml:space="preserve"/>
      </w:r>
    </w:p>
    <w:p>
      <w:pPr>
        <w:spacing w:before="60" w:after="60"/>
        <w:jc w:val="both"/>
      </w:pPr>
      <w:r>
        <w:rPr>
          <w:rFonts w:ascii="Arial" w:cs="Arial" w:eastAsia="Arial" w:hAnsi="Arial"/>
          <w:color w:val="0A2543"/>
          <w:sz w:val="20"/>
          <w:szCs w:val="20"/>
        </w:rPr>
        <w:t xml:space="preserve">The Zero Trust implementation is structured into four sequential phases. Each phase builds on the one before it — you cannot safely run Phase 2 without Phase 1 in place, and Phase 3 controls are only meaningful once Phase 2 has established device integrity. The sequence is deliberate.</w:t>
      </w:r>
    </w:p>
    <w:p>
      <w:pPr>
        <w:spacing w:before="40" w:after="0"/>
      </w:pPr>
      <w:r>
        <w:t xml:space="preserve"/>
      </w:r>
    </w:p>
    <w:p>
      <w:pPr>
        <w:spacing w:before="60" w:after="60"/>
        <w:jc w:val="both"/>
      </w:pPr>
      <w:r>
        <w:rPr>
          <w:rFonts w:ascii="Arial" w:cs="Arial" w:eastAsia="Arial" w:hAnsi="Arial"/>
          <w:color w:val="0A2543"/>
          <w:sz w:val="20"/>
          <w:szCs w:val="20"/>
        </w:rPr>
        <w:t xml:space="preserve">Phase 1 proves who you are. Phase 2 proves what you are on. Phase 3 controls what you can do with data once you are in. Phase 4 ensures you can see everything that is happening and respond before damage is done.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200"/>
        <w:gridCol w:w="1240"/>
        <w:gridCol w:w="960"/>
      </w:tblGrid>
      <w:tr>
        <w:tc>
          <w:tcPr>
            <w:tcW w:type="dxa" w:w="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t>
            </w:r>
          </w:p>
        </w:tc>
        <w:tc>
          <w:tcPr>
            <w:tcW w:type="dxa" w:w="2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Phase</w:t>
            </w:r>
          </w:p>
        </w:tc>
        <w:tc>
          <w:tcPr>
            <w:tcW w:type="dxa" w:w="42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What it establishes</w:t>
            </w:r>
          </w:p>
        </w:tc>
        <w:tc>
          <w:tcPr>
            <w:tcW w:type="dxa" w:w="124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Weeks</w:t>
            </w:r>
          </w:p>
        </w:tc>
        <w:tc>
          <w:tcPr>
            <w:tcW w:type="dxa" w:w="9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Scripts</w:t>
            </w:r>
          </w:p>
        </w:tc>
      </w:tr>
      <w:tr>
        <w:tc>
          <w:tcPr>
            <w:tcW w:type="dxa" w:w="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1</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Foundation &amp; Identity Hardening</w:t>
            </w:r>
          </w:p>
        </w:tc>
        <w:tc>
          <w:tcPr>
            <w:tcW w:type="dxa" w:w="4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MFA, legacy auth block, PIM, phishing-resistant admin auth, risk-based policies</w:t>
            </w:r>
          </w:p>
        </w:tc>
        <w:tc>
          <w:tcPr>
            <w:tcW w:type="dxa" w:w="124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1–4</w:t>
            </w:r>
          </w:p>
        </w:tc>
        <w:tc>
          <w:tcPr>
            <w:tcW w:type="dxa" w:w="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4</w:t>
            </w:r>
          </w:p>
        </w:tc>
      </w:tr>
      <w:tr>
        <w:tc>
          <w:tcPr>
            <w:tcW w:type="dxa" w:w="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2</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Device Compliance &amp; Endpoint Sec.</w:t>
            </w:r>
          </w:p>
        </w:tc>
        <w:tc>
          <w:tcPr>
            <w:tcW w:type="dxa" w:w="4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Intune compliance, WHfB, ASR rules, Defender for Endpoint, Autopilot</w:t>
            </w:r>
          </w:p>
        </w:tc>
        <w:tc>
          <w:tcPr>
            <w:tcW w:type="dxa" w:w="124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5–8</w:t>
            </w:r>
          </w:p>
        </w:tc>
        <w:tc>
          <w:tcPr>
            <w:tcW w:type="dxa" w:w="9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2</w:t>
            </w:r>
          </w:p>
        </w:tc>
      </w:tr>
      <w:tr>
        <w:tc>
          <w:tcPr>
            <w:tcW w:type="dxa" w:w="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3</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Data Protection &amp; App Security</w:t>
            </w:r>
          </w:p>
        </w:tc>
        <w:tc>
          <w:tcPr>
            <w:tcW w:type="dxa" w:w="4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Sensitivity labels, DLP, MCAS shadow IT, MAM policies, session controls (prep)</w:t>
            </w:r>
          </w:p>
        </w:tc>
        <w:tc>
          <w:tcPr>
            <w:tcW w:type="dxa" w:w="124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9–12</w:t>
            </w:r>
          </w:p>
        </w:tc>
        <w:tc>
          <w:tcPr>
            <w:tcW w:type="dxa" w:w="9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0</w:t>
            </w:r>
          </w:p>
        </w:tc>
      </w:tr>
      <w:tr>
        <w:tc>
          <w:tcPr>
            <w:tcW w:type="dxa" w:w="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4</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Monitoring, Alerting &amp; Response</w:t>
            </w:r>
          </w:p>
        </w:tc>
        <w:tc>
          <w:tcPr>
            <w:tcW w:type="dxa" w:w="4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Sentinel SIEM, UEBA, analytics rules, playbooks, CA010 enable, IR runbooks</w:t>
            </w:r>
          </w:p>
        </w:tc>
        <w:tc>
          <w:tcPr>
            <w:tcW w:type="dxa" w:w="124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13–16</w:t>
            </w:r>
          </w:p>
        </w:tc>
        <w:tc>
          <w:tcPr>
            <w:tcW w:type="dxa" w:w="9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both"/>
            </w:pPr>
            <w:r>
              <w:rPr>
                <w:rFonts w:ascii="Arial" w:cs="Arial" w:eastAsia="Arial" w:hAnsi="Arial"/>
                <w:color w:val="6B4200"/>
                <w:sz w:val="19"/>
                <w:szCs w:val="19"/>
              </w:rPr>
              <w:t xml:space="preserve">Before any script runs: confirm both break-glass accounts can authenticate to portal.azure.com right now. vers_azbtg01@versetalinfo.onmicrosoft.com and vers_azbtg02@versetalinfo.onmicrosoft.com are hardcoded into every script and excluded from all policies — but they must be tested before enforcement begins.</w:t>
            </w:r>
          </w:p>
        </w:tc>
      </w:tr>
    </w:tbl>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6B8A" w:sz="1"/>
              <w:left w:val="single" w:color="1A6B8A" w:sz="1"/>
              <w:bottom w:val="single" w:color="1A6B8A" w:sz="1"/>
              <w:right w:val="single" w:color="1A6B8A" w:sz="1"/>
            </w:tcBorders>
            <w:shd w:fill="1A6B8A" w:val="clear"/>
            <w:tcMar>
              <w:top w:type="dxa" w:w="200"/>
              <w:left w:type="dxa" w:w="80"/>
              <w:bottom w:type="dxa" w:w="200"/>
              <w:right w:type="dxa" w:w="80"/>
            </w:tcMar>
          </w:tcPr>
          <w:p>
            <w:pPr>
              <w:jc w:val="center"/>
            </w:pPr>
            <w:r>
              <w:rPr>
                <w:rFonts w:ascii="Arial" w:cs="Arial" w:eastAsia="Arial" w:hAnsi="Arial"/>
                <w:b/>
                <w:bCs/>
                <w:color w:val="FFFFFF"/>
                <w:sz w:val="32"/>
                <w:szCs w:val="32"/>
              </w:rPr>
              <w:t xml:space="preserve">1</w:t>
            </w:r>
          </w:p>
        </w:tc>
        <w:tc>
          <w:tcPr>
            <w:tcW w:type="dxa" w:w="8800"/>
            <w:tcBorders>
              <w:top w:val="single" w:color="1A6B8A" w:sz="1"/>
              <w:left w:val="single" w:color="1A6B8A" w:sz="1"/>
              <w:bottom w:val="single" w:color="1A6B8A" w:sz="1"/>
              <w:right w:val="single" w:color="1A6B8A" w:sz="1"/>
            </w:tcBorders>
            <w:shd w:fill="0A2543" w:val="clear"/>
            <w:tcMar>
              <w:top w:type="dxa" w:w="160"/>
              <w:left w:type="dxa" w:w="240"/>
              <w:bottom w:type="dxa" w:w="160"/>
              <w:right w:type="dxa" w:w="200"/>
            </w:tcMar>
          </w:tcPr>
          <w:p>
            <w:r>
              <w:rPr>
                <w:rFonts w:ascii="Arial" w:cs="Arial" w:eastAsia="Arial" w:hAnsi="Arial"/>
                <w:b/>
                <w:bCs/>
                <w:color w:val="FFFFFF"/>
                <w:sz w:val="28"/>
                <w:szCs w:val="28"/>
              </w:rPr>
              <w:t xml:space="preserve">Foundation &amp; Identity Hardening</w:t>
            </w:r>
          </w:p>
          <w:p>
            <w:pPr>
              <w:spacing w:before="40"/>
            </w:pPr>
            <w:r>
              <w:rPr>
                <w:rFonts w:ascii="Arial" w:cs="Arial" w:eastAsia="Arial" w:hAnsi="Arial"/>
                <w:color w:val="8BAFC8"/>
                <w:sz w:val="18"/>
                <w:szCs w:val="18"/>
              </w:rPr>
              <w:t xml:space="preserve">Weeks 1–4  |  The highest-ROI phase — most breaches are stopped here</w:t>
            </w:r>
          </w:p>
        </w:tc>
      </w:tr>
    </w:tbl>
    <w:p>
      <w:pPr>
        <w:spacing w:before="60" w:after="0"/>
      </w:pPr>
      <w:r>
        <w:t xml:space="preserve"/>
      </w:r>
    </w:p>
    <w:p>
      <w:pPr>
        <w:spacing w:before="240" w:after="60"/>
      </w:pPr>
      <w:r>
        <w:rPr>
          <w:rFonts w:ascii="Arial" w:cs="Arial" w:eastAsia="Arial" w:hAnsi="Arial"/>
          <w:b/>
          <w:bCs/>
          <w:color w:val="1A6B8A"/>
          <w:sz w:val="27"/>
          <w:szCs w:val="27"/>
        </w:rPr>
        <w:t xml:space="preserve">The Problem This Phase Solves</w:t>
      </w:r>
    </w:p>
    <w:p>
      <w:pPr>
        <w:spacing w:before="60" w:after="60"/>
        <w:jc w:val="both"/>
      </w:pPr>
      <w:r>
        <w:rPr>
          <w:rFonts w:ascii="Arial" w:cs="Arial" w:eastAsia="Arial" w:hAnsi="Arial"/>
          <w:color w:val="0A2543"/>
          <w:sz w:val="20"/>
          <w:szCs w:val="20"/>
        </w:rPr>
        <w:t xml:space="preserve">Identity is your new perimeter. In a cloud-first world, if someone can successfully authenticate as a valid user, they can access everything that user has access to — email, files, Teams, SharePoint, Azure resources. There is no office building wall to stop them, no on-premises firewall, no VPN chokepoint. The authentication event is the only gate.</w:t>
      </w:r>
    </w:p>
    <w:p>
      <w:pPr>
        <w:spacing w:before="40" w:after="0"/>
      </w:pPr>
      <w:r>
        <w:t xml:space="preserve"/>
      </w:r>
    </w:p>
    <w:p>
      <w:pPr>
        <w:spacing w:before="60" w:after="60"/>
        <w:jc w:val="both"/>
      </w:pPr>
      <w:r>
        <w:rPr>
          <w:rFonts w:ascii="Arial" w:cs="Arial" w:eastAsia="Arial" w:hAnsi="Arial"/>
          <w:color w:val="0A2543"/>
          <w:sz w:val="20"/>
          <w:szCs w:val="20"/>
        </w:rPr>
        <w:t xml:space="preserve">The two most common attack techniques against M365 tenants are password spray — where an attacker tries a single common password against thousands of accounts — and credential stuffing, where leaked username and password pairs from other breaches are tested against M365. Both attacks are trivially automated, run continuously at scale, and succeed against any account that does not have MFA. Phase 1 makes both attacks useless.</w:t>
      </w:r>
    </w:p>
    <w:p>
      <w:pPr>
        <w:spacing w:before="60" w:after="0"/>
      </w:pPr>
      <w:r>
        <w:t xml:space="preserve"/>
      </w:r>
    </w:p>
    <w:p>
      <w:pPr>
        <w:spacing w:before="240" w:after="60"/>
      </w:pPr>
      <w:r>
        <w:rPr>
          <w:rFonts w:ascii="Arial" w:cs="Arial" w:eastAsia="Arial" w:hAnsi="Arial"/>
          <w:b/>
          <w:bCs/>
          <w:color w:val="1A6B8A"/>
          <w:sz w:val="27"/>
          <w:szCs w:val="27"/>
        </w:rPr>
        <w:t xml:space="preserve">Week 1 — Manual Groundwork</w:t>
      </w:r>
    </w:p>
    <w:p>
      <w:pPr>
        <w:spacing w:before="60" w:after="60"/>
        <w:jc w:val="both"/>
      </w:pPr>
      <w:r>
        <w:rPr>
          <w:rFonts w:ascii="Arial" w:cs="Arial" w:eastAsia="Arial" w:hAnsi="Arial"/>
          <w:color w:val="0A2543"/>
          <w:sz w:val="20"/>
          <w:szCs w:val="20"/>
        </w:rPr>
        <w:t xml:space="preserve">Nothing enforces in Week 1. This week is entirely about building the prerequisites that make the CA policies safe to deploy in Week 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6B8A" w:sz="1"/>
              <w:left w:val="single" w:color="1A6B8A" w:sz="1"/>
              <w:bottom w:val="single" w:color="1A6B8A" w:sz="1"/>
              <w:right w:val="single" w:color="1A6B8A" w:sz="1"/>
            </w:tcBorders>
            <w:shd w:fill="1A6B8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w:t>
            </w:r>
          </w:p>
        </w:tc>
        <w:tc>
          <w:tcPr>
            <w:tcW w:type="dxa" w:w="8360"/>
            <w:tcBorders>
              <w:top w:val="single" w:color="1A6B8A" w:sz="1"/>
              <w:left w:val="single" w:color="1A6B8A" w:sz="1"/>
              <w:bottom w:val="single" w:color="1A6B8A" w:sz="1"/>
              <w:right w:val="single" w:color="1A6B8A" w:sz="1"/>
            </w:tcBorders>
            <w:shd w:fill="EBF4FA"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Verify both break-glass accounts (vers_azbtg01 and vers_azbtg02) can authenticate — test this before touching anything else.</w:t>
            </w:r>
          </w:p>
          <w:p>
            <w:pPr>
              <w:spacing w:before="30" w:after="30"/>
              <w:jc w:val="both"/>
            </w:pPr>
            <w:r>
              <w:rPr>
                <w:rFonts w:ascii="Arial" w:cs="Arial" w:eastAsia="Arial" w:hAnsi="Arial"/>
                <w:color w:val="0A2543"/>
                <w:sz w:val="19"/>
                <w:szCs w:val="19"/>
              </w:rPr>
              <w:t xml:space="preserve">Enable PIM for all privileged Entra ID roles. No one should have standing Global Administrator access. Every privileged action should require a time-bound activation with justification.</w:t>
            </w:r>
          </w:p>
          <w:p>
            <w:pPr>
              <w:spacing w:before="30" w:after="30"/>
              <w:jc w:val="both"/>
            </w:pPr>
            <w:r>
              <w:rPr>
                <w:rFonts w:ascii="Arial" w:cs="Arial" w:eastAsia="Arial" w:hAnsi="Arial"/>
                <w:color w:val="0A2543"/>
                <w:sz w:val="19"/>
                <w:szCs w:val="19"/>
              </w:rPr>
              <w:t xml:space="preserve">Deploy SSPR and Combined MFA Registration. Users need a self-service path to register their MFA methods. If they cannot register, the MFA rollout in Week 2 will generate helpdesk tickets.</w:t>
            </w:r>
          </w:p>
          <w:p>
            <w:pPr>
              <w:spacing w:before="30" w:after="30"/>
              <w:jc w:val="both"/>
            </w:pPr>
            <w:r>
              <w:rPr>
                <w:rFonts w:ascii="Arial" w:cs="Arial" w:eastAsia="Arial" w:hAnsi="Arial"/>
                <w:color w:val="0A2543"/>
                <w:sz w:val="19"/>
                <w:szCs w:val="19"/>
              </w:rPr>
              <w:t xml:space="preserve">Define Named Locations — the IP addresses of your offices and VPN exit points. This is what tells the tenant what a trusted network looks like, which CA008 uses in Week 2.</w:t>
            </w:r>
          </w:p>
          <w:p>
            <w:pPr>
              <w:spacing w:before="30" w:after="30"/>
              <w:jc w:val="both"/>
            </w:pPr>
            <w:r>
              <w:rPr>
                <w:rFonts w:ascii="Arial" w:cs="Arial" w:eastAsia="Arial" w:hAnsi="Arial"/>
                <w:color w:val="0A2543"/>
                <w:sz w:val="19"/>
                <w:szCs w:val="19"/>
              </w:rPr>
              <w:t xml:space="preserve">Audit all admin accounts and remove any standing Global Administrator assignments. All GA access should go through PIM from this point forward.</w:t>
            </w:r>
          </w:p>
          <w:p>
            <w:pPr>
              <w:spacing w:before="30" w:after="30"/>
              <w:jc w:val="both"/>
            </w:pPr>
            <w:r>
              <w:rPr>
                <w:rFonts w:ascii="Arial" w:cs="Arial" w:eastAsia="Arial" w:hAnsi="Arial"/>
                <w:color w:val="0A2543"/>
                <w:sz w:val="19"/>
                <w:szCs w:val="19"/>
              </w:rPr>
              <w:t xml:space="preserve">Ensure all admin accounts have FIDO2 keys or Windows Hello for Business enrolled. CA003 cannot be safely enabled until this is done.</w:t>
            </w:r>
          </w:p>
        </w:tc>
      </w:tr>
    </w:tbl>
    <w:p>
      <w:pPr>
        <w:spacing w:before="60" w:after="0"/>
      </w:pPr>
      <w:r>
        <w:t xml:space="preserve"/>
      </w:r>
    </w:p>
    <w:p>
      <w:pPr>
        <w:spacing w:before="240" w:after="60"/>
      </w:pPr>
      <w:r>
        <w:rPr>
          <w:rFonts w:ascii="Arial" w:cs="Arial" w:eastAsia="Arial" w:hAnsi="Arial"/>
          <w:b/>
          <w:bCs/>
          <w:color w:val="1A6B8A"/>
          <w:sz w:val="27"/>
          <w:szCs w:val="27"/>
        </w:rPr>
        <w:t xml:space="preserve">Week 2 — Deploy All Five Policies in Report-Only</w:t>
      </w:r>
    </w:p>
    <w:p>
      <w:pPr>
        <w:spacing w:before="60" w:after="60"/>
        <w:jc w:val="both"/>
      </w:pPr>
      <w:r>
        <w:rPr>
          <w:rFonts w:ascii="Arial" w:cs="Arial" w:eastAsia="Arial" w:hAnsi="Arial"/>
          <w:color w:val="0A2543"/>
          <w:sz w:val="20"/>
          <w:szCs w:val="20"/>
        </w:rPr>
        <w:t xml:space="preserve">The main Phase 1 script runs this week, deploying CA001, CA002, CA003, CA008, and CA009 simultaneously in Report-only mode. Nothing enforces yet. The tenant is watching, logging what would have happened, and generating data for review.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6B8A" w:sz="1"/>
              <w:left w:val="single" w:color="1A6B8A" w:sz="1"/>
              <w:bottom w:val="single" w:color="1A6B8A" w:sz="1"/>
              <w:right w:val="single" w:color="1A6B8A" w:sz="1"/>
            </w:tcBorders>
            <w:shd w:fill="1A6B8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2</w:t>
            </w:r>
          </w:p>
        </w:tc>
        <w:tc>
          <w:tcPr>
            <w:tcW w:type="dxa" w:w="8360"/>
            <w:tcBorders>
              <w:top w:val="single" w:color="1A6B8A" w:sz="1"/>
              <w:left w:val="single" w:color="1A6B8A" w:sz="1"/>
              <w:bottom w:val="single" w:color="1A6B8A" w:sz="1"/>
              <w:right w:val="single" w:color="1A6B8A" w:sz="1"/>
            </w:tcBorders>
            <w:shd w:fill="EBF4FA"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Run Phase1-Deploy-CA001-CA002-CA003-CA008-CA009.ps1 — all five policies deploy in Report-only.</w:t>
            </w:r>
          </w:p>
          <w:p>
            <w:pPr>
              <w:spacing w:before="30" w:after="30"/>
              <w:jc w:val="both"/>
            </w:pPr>
            <w:r>
              <w:rPr>
                <w:rFonts w:ascii="Arial" w:cs="Arial" w:eastAsia="Arial" w:hAnsi="Arial"/>
                <w:color w:val="0A2543"/>
                <w:sz w:val="19"/>
                <w:szCs w:val="19"/>
              </w:rPr>
              <w:t xml:space="preserve">Immediately begin reviewing Sign-in logs. Filter by Conditional Access = Report-only. You will see which users would have been prompted for MFA, which sign-ins would have been blocked, and which legacy auth connections exist.</w:t>
            </w:r>
          </w:p>
          <w:p>
            <w:pPr>
              <w:spacing w:before="30" w:after="30"/>
              <w:jc w:val="both"/>
            </w:pPr>
            <w:r>
              <w:rPr>
                <w:rFonts w:ascii="Arial" w:cs="Arial" w:eastAsia="Arial" w:hAnsi="Arial"/>
                <w:color w:val="0A2543"/>
                <w:sz w:val="19"/>
                <w:szCs w:val="19"/>
              </w:rPr>
              <w:t xml:space="preserve">Start the legacy auth audit specifically. Filter Sign-in logs by Client app = Other clients and Client app = Exchange ActiveSync. Document every unique application or device hitting these endpoints — these are your Basic Auth dependencies that must be migrated before CA002 can be safely enabled.</w:t>
            </w:r>
          </w:p>
        </w:tc>
      </w:tr>
    </w:tbl>
    <w:p>
      <w:pPr>
        <w:spacing w:before="40" w:after="0"/>
      </w:pPr>
      <w:r>
        <w:t xml:space="preserve"/>
      </w:r>
    </w:p>
    <w:p>
      <w:pPr>
        <w:spacing w:before="180" w:after="40"/>
      </w:pPr>
      <w:r>
        <w:rPr>
          <w:rFonts w:ascii="Arial" w:cs="Arial" w:eastAsia="Arial" w:hAnsi="Arial"/>
          <w:b/>
          <w:bCs/>
          <w:color w:val="0A2543"/>
          <w:sz w:val="22"/>
          <w:szCs w:val="22"/>
        </w:rPr>
        <w:t xml:space="preserve">What each policy does in this phase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0A2543"/>
                <w:sz w:val="18"/>
                <w:szCs w:val="18"/>
              </w:rPr>
              <w:t xml:space="preserve">CA001</w:t>
            </w:r>
          </w:p>
        </w:tc>
        <w:tc>
          <w:tcPr>
            <w:tcW w:type="dxa" w:w="7800"/>
            <w:tcBorders>
              <w:top w:val="single" w:color="B8D4E8" w:sz="1"/>
              <w:left w:val="single" w:color="B8D4E8" w:sz="1"/>
              <w:bottom w:val="single" w:color="B8D4E8" w:sz="1"/>
              <w:right w:val="single" w:color="B8D4E8" w:sz="1"/>
            </w:tcBorders>
            <w:shd w:fill="FFFFFF" w:val="clear"/>
            <w:tcMar>
              <w:top w:type="dxa" w:w="100"/>
              <w:left w:type="dxa" w:w="160"/>
              <w:bottom w:type="dxa" w:w="100"/>
              <w:right w:type="dxa" w:w="160"/>
            </w:tcMar>
          </w:tcPr>
          <w:p>
            <w:pPr>
              <w:jc w:val="both"/>
            </w:pPr>
            <w:r>
              <w:rPr>
                <w:rFonts w:ascii="Arial" w:cs="Arial" w:eastAsia="Arial" w:hAnsi="Arial"/>
                <w:color w:val="0A2543"/>
                <w:sz w:val="19"/>
                <w:szCs w:val="19"/>
              </w:rPr>
              <w:t xml:space="preserve">Requires every user to complete multi-factor authentication on every sign-in for every application. A password alone grants nothing. This single control blocks over 99.9% of automated credential attacks.</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0A2543"/>
                <w:sz w:val="18"/>
                <w:szCs w:val="18"/>
              </w:rPr>
              <w:t xml:space="preserve">CA002</w:t>
            </w:r>
          </w:p>
        </w:tc>
        <w:tc>
          <w:tcPr>
            <w:tcW w:type="dxa" w:w="7800"/>
            <w:tcBorders>
              <w:top w:val="single" w:color="B8D4E8" w:sz="1"/>
              <w:left w:val="single" w:color="B8D4E8" w:sz="1"/>
              <w:bottom w:val="single" w:color="B8D4E8" w:sz="1"/>
              <w:right w:val="single" w:color="B8D4E8" w:sz="1"/>
            </w:tcBorders>
            <w:shd w:fill="D6E8F5" w:val="clear"/>
            <w:tcMar>
              <w:top w:type="dxa" w:w="100"/>
              <w:left w:type="dxa" w:w="160"/>
              <w:bottom w:type="dxa" w:w="100"/>
              <w:right w:type="dxa" w:w="160"/>
            </w:tcMar>
          </w:tcPr>
          <w:p>
            <w:pPr>
              <w:jc w:val="both"/>
            </w:pPr>
            <w:r>
              <w:rPr>
                <w:rFonts w:ascii="Arial" w:cs="Arial" w:eastAsia="Arial" w:hAnsi="Arial"/>
                <w:color w:val="0A2543"/>
                <w:sz w:val="19"/>
                <w:szCs w:val="19"/>
              </w:rPr>
              <w:t xml:space="preserve">Blocks all sign-ins using legacy authentication protocols — IMAP, POP3, SMTP AUTH, and Basic Auth. These protocols predate MFA and cannot enforce a second factor. Any account reachable via legacy auth is vulnerable to password spray regardless of MFA configuration.</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0A2543"/>
                <w:sz w:val="18"/>
                <w:szCs w:val="18"/>
              </w:rPr>
              <w:t xml:space="preserve">CA003</w:t>
            </w:r>
          </w:p>
        </w:tc>
        <w:tc>
          <w:tcPr>
            <w:tcW w:type="dxa" w:w="7800"/>
            <w:tcBorders>
              <w:top w:val="single" w:color="B8D4E8" w:sz="1"/>
              <w:left w:val="single" w:color="B8D4E8" w:sz="1"/>
              <w:bottom w:val="single" w:color="B8D4E8" w:sz="1"/>
              <w:right w:val="single" w:color="B8D4E8" w:sz="1"/>
            </w:tcBorders>
            <w:shd w:fill="FFFFFF" w:val="clear"/>
            <w:tcMar>
              <w:top w:type="dxa" w:w="100"/>
              <w:left w:type="dxa" w:w="160"/>
              <w:bottom w:type="dxa" w:w="100"/>
              <w:right w:type="dxa" w:w="160"/>
            </w:tcMar>
          </w:tcPr>
          <w:p>
            <w:pPr>
              <w:jc w:val="both"/>
            </w:pPr>
            <w:r>
              <w:rPr>
                <w:rFonts w:ascii="Arial" w:cs="Arial" w:eastAsia="Arial" w:hAnsi="Arial"/>
                <w:color w:val="0A2543"/>
                <w:sz w:val="19"/>
                <w:szCs w:val="19"/>
              </w:rPr>
              <w:t xml:space="preserve">Requires all privileged role holders (Global Admins, Security Admins, etc.) to authenticate using only phishing-resistant methods — FIDO2 hardware security keys or Windows Hello for Business. Standard push MFA is not accepted. This closes the AiTM phishing gap where attackers relay MFA tokens in real time.</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0A2543"/>
                <w:sz w:val="18"/>
                <w:szCs w:val="18"/>
              </w:rPr>
              <w:t xml:space="preserve">CA008</w:t>
            </w:r>
          </w:p>
        </w:tc>
        <w:tc>
          <w:tcPr>
            <w:tcW w:type="dxa" w:w="7800"/>
            <w:tcBorders>
              <w:top w:val="single" w:color="B8D4E8" w:sz="1"/>
              <w:left w:val="single" w:color="B8D4E8" w:sz="1"/>
              <w:bottom w:val="single" w:color="B8D4E8" w:sz="1"/>
              <w:right w:val="single" w:color="B8D4E8" w:sz="1"/>
            </w:tcBorders>
            <w:shd w:fill="D6E8F5" w:val="clear"/>
            <w:tcMar>
              <w:top w:type="dxa" w:w="100"/>
              <w:left w:type="dxa" w:w="160"/>
              <w:bottom w:type="dxa" w:w="100"/>
              <w:right w:type="dxa" w:w="160"/>
            </w:tcMar>
          </w:tcPr>
          <w:p>
            <w:pPr>
              <w:jc w:val="both"/>
            </w:pPr>
            <w:r>
              <w:rPr>
                <w:rFonts w:ascii="Arial" w:cs="Arial" w:eastAsia="Arial" w:hAnsi="Arial"/>
                <w:color w:val="0A2543"/>
                <w:sz w:val="19"/>
                <w:szCs w:val="19"/>
              </w:rPr>
              <w:t xml:space="preserve">Requires MFA when a sign-in originates from outside your defined Named Locations (office IPs, VPN exits). Adds location-awareness to the authentication decision and generates a clear anomaly signal in logs when access comes from unexpected geographies.</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0A2543"/>
                <w:sz w:val="18"/>
                <w:szCs w:val="18"/>
              </w:rPr>
              <w:t xml:space="preserve">CA009</w:t>
            </w:r>
          </w:p>
        </w:tc>
        <w:tc>
          <w:tcPr>
            <w:tcW w:type="dxa" w:w="7800"/>
            <w:tcBorders>
              <w:top w:val="single" w:color="B8D4E8" w:sz="1"/>
              <w:left w:val="single" w:color="B8D4E8" w:sz="1"/>
              <w:bottom w:val="single" w:color="B8D4E8" w:sz="1"/>
              <w:right w:val="single" w:color="B8D4E8" w:sz="1"/>
            </w:tcBorders>
            <w:shd w:fill="FFFFFF" w:val="clear"/>
            <w:tcMar>
              <w:top w:type="dxa" w:w="100"/>
              <w:left w:type="dxa" w:w="160"/>
              <w:bottom w:type="dxa" w:w="100"/>
              <w:right w:type="dxa" w:w="160"/>
            </w:tcMar>
          </w:tcPr>
          <w:p>
            <w:pPr>
              <w:jc w:val="both"/>
            </w:pPr>
            <w:r>
              <w:rPr>
                <w:rFonts w:ascii="Arial" w:cs="Arial" w:eastAsia="Arial" w:hAnsi="Arial"/>
                <w:color w:val="0A2543"/>
                <w:sz w:val="19"/>
                <w:szCs w:val="19"/>
              </w:rPr>
              <w:t xml:space="preserve">A dedicated, standalone policy requiring MFA specifically for the Azure portal, ARM API, Azure CLI, and PowerShell. Kept separate from all other policies so Azure management plane protection cannot be accidentally removed when other policies change.</w:t>
            </w:r>
          </w:p>
        </w:tc>
      </w:tr>
    </w:tbl>
    <w:p>
      <w:pPr>
        <w:spacing w:before="60" w:after="0"/>
      </w:pPr>
      <w:r>
        <w:t xml:space="preserve"/>
      </w:r>
    </w:p>
    <w:p>
      <w:pPr>
        <w:spacing w:before="240" w:after="60"/>
      </w:pPr>
      <w:r>
        <w:rPr>
          <w:rFonts w:ascii="Arial" w:cs="Arial" w:eastAsia="Arial" w:hAnsi="Arial"/>
          <w:b/>
          <w:bCs/>
          <w:color w:val="1A6B8A"/>
          <w:sz w:val="27"/>
          <w:szCs w:val="27"/>
        </w:rPr>
        <w:t xml:space="preserve">Week 3 — First Enforcement + Risk Policy Deployment</w:t>
      </w:r>
    </w:p>
    <w:p>
      <w:pPr>
        <w:spacing w:before="60" w:after="60"/>
        <w:jc w:val="both"/>
      </w:pPr>
      <w:r>
        <w:rPr>
          <w:rFonts w:ascii="Arial" w:cs="Arial" w:eastAsia="Arial" w:hAnsi="Arial"/>
          <w:color w:val="0A2543"/>
          <w:sz w:val="20"/>
          <w:szCs w:val="20"/>
        </w:rPr>
        <w:t xml:space="preserve">Week 3 contains the first real enforcement milestone. CA002 goes live — legacy authentication is blocked. This is always enabled first, before MFA, because it closes a bypass that MFA cannot address. It also tends to cause the least user disruption since no legitimate modern application should be using Basic Auth.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6B8A" w:sz="1"/>
              <w:left w:val="single" w:color="1A6B8A" w:sz="1"/>
              <w:bottom w:val="single" w:color="1A6B8A" w:sz="1"/>
              <w:right w:val="single" w:color="1A6B8A" w:sz="1"/>
            </w:tcBorders>
            <w:shd w:fill="1A6B8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3</w:t>
            </w:r>
          </w:p>
        </w:tc>
        <w:tc>
          <w:tcPr>
            <w:tcW w:type="dxa" w:w="8360"/>
            <w:tcBorders>
              <w:top w:val="single" w:color="1A6B8A" w:sz="1"/>
              <w:left w:val="single" w:color="1A6B8A" w:sz="1"/>
              <w:bottom w:val="single" w:color="1A6B8A" w:sz="1"/>
              <w:right w:val="single" w:color="1A6B8A" w:sz="1"/>
            </w:tcBorders>
            <w:shd w:fill="EBF4FA"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Once the legacy auth audit from Week 2 is complete and all dependencies are migrated or documented, enable CA002. This is a hard block — any device or application still using Basic Auth will immediately stop working.</w:t>
            </w:r>
          </w:p>
          <w:p>
            <w:pPr>
              <w:spacing w:before="30" w:after="30"/>
              <w:jc w:val="both"/>
            </w:pPr>
            <w:r>
              <w:rPr>
                <w:rFonts w:ascii="Arial" w:cs="Arial" w:eastAsia="Arial" w:hAnsi="Arial"/>
                <w:color w:val="0A2543"/>
                <w:sz w:val="19"/>
                <w:szCs w:val="19"/>
              </w:rPr>
              <w:t xml:space="preserve">Deploy CA004 and CA005 in Report-only. These are the Entra ID Protection risk-based policies and require P2 licensing. CA004 automatically blocks sign-ins that Identity Protection flags as high risk based on ML analysis. CA005 forces a password change when a user's credentials are detected in breach databases or on the dark web.</w:t>
            </w:r>
          </w:p>
          <w:p>
            <w:pPr>
              <w:spacing w:before="30" w:after="30"/>
              <w:jc w:val="both"/>
            </w:pPr>
            <w:r>
              <w:rPr>
                <w:rFonts w:ascii="Arial" w:cs="Arial" w:eastAsia="Arial" w:hAnsi="Arial"/>
                <w:color w:val="0A2543"/>
                <w:sz w:val="19"/>
                <w:szCs w:val="19"/>
              </w:rPr>
              <w:t xml:space="preserve">Review the Risky Sign-ins and Risky Users reports in Entra ID Protection. Understand the false positive rate for your environment — frequent travellers or VPN users may generate risk signals that need Named Location tuning before CA004 is enabled.</w:t>
            </w:r>
          </w:p>
        </w:tc>
      </w:tr>
    </w:tbl>
    <w:p>
      <w:pPr>
        <w:spacing w:before="60" w:after="0"/>
      </w:pPr>
      <w:r>
        <w:t xml:space="preserve"/>
      </w:r>
    </w:p>
    <w:p>
      <w:pPr>
        <w:spacing w:before="240" w:after="60"/>
      </w:pPr>
      <w:r>
        <w:rPr>
          <w:rFonts w:ascii="Arial" w:cs="Arial" w:eastAsia="Arial" w:hAnsi="Arial"/>
          <w:b/>
          <w:bCs/>
          <w:color w:val="1A6B8A"/>
          <w:sz w:val="27"/>
          <w:szCs w:val="27"/>
        </w:rPr>
        <w:t xml:space="preserve">Week 4 — Full Phase 1 Enforcement</w:t>
      </w:r>
    </w:p>
    <w:p>
      <w:pPr>
        <w:spacing w:before="60" w:after="60"/>
        <w:jc w:val="both"/>
      </w:pPr>
      <w:r>
        <w:rPr>
          <w:rFonts w:ascii="Arial" w:cs="Arial" w:eastAsia="Arial" w:hAnsi="Arial"/>
          <w:color w:val="0A2543"/>
          <w:sz w:val="20"/>
          <w:szCs w:val="20"/>
        </w:rPr>
        <w:t xml:space="preserve">Week 4 is the major milestone. After 14 days of Report-only data you have a clear picture of impact. Your admins have hardware credentials enrolled, your helpdesk is briefed, and user communications have gone out. The enable script activates the remaining policies in a deliberate sequence with short pauses between each.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A6B8A" w:sz="1"/>
              <w:left w:val="single" w:color="1A6B8A" w:sz="1"/>
              <w:bottom w:val="single" w:color="1A6B8A" w:sz="1"/>
              <w:right w:val="single" w:color="1A6B8A" w:sz="1"/>
            </w:tcBorders>
            <w:shd w:fill="1A6B8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4</w:t>
            </w:r>
          </w:p>
        </w:tc>
        <w:tc>
          <w:tcPr>
            <w:tcW w:type="dxa" w:w="8360"/>
            <w:tcBorders>
              <w:top w:val="single" w:color="1A6B8A" w:sz="1"/>
              <w:left w:val="single" w:color="1A6B8A" w:sz="1"/>
              <w:bottom w:val="single" w:color="1A6B8A" w:sz="1"/>
              <w:right w:val="single" w:color="1A6B8A" w:sz="1"/>
            </w:tcBorders>
            <w:shd w:fill="EBF4FA"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Enable CA001 — MFA is now enforced for every user on every sign-in. This is the most impactful single action of the entire implementation.</w:t>
            </w:r>
          </w:p>
          <w:p>
            <w:pPr>
              <w:spacing w:before="30" w:after="30"/>
              <w:jc w:val="both"/>
            </w:pPr>
            <w:r>
              <w:rPr>
                <w:rFonts w:ascii="Arial" w:cs="Arial" w:eastAsia="Arial" w:hAnsi="Arial"/>
                <w:color w:val="0A2543"/>
                <w:sz w:val="19"/>
                <w:szCs w:val="19"/>
              </w:rPr>
              <w:t xml:space="preserve">Enable CA003 — Admin accounts now require FIDO2 or WHfB. Standard Authenticator push is no longer accepted for privileged roles.</w:t>
            </w:r>
          </w:p>
          <w:p>
            <w:pPr>
              <w:spacing w:before="30" w:after="30"/>
              <w:jc w:val="both"/>
            </w:pPr>
            <w:r>
              <w:rPr>
                <w:rFonts w:ascii="Arial" w:cs="Arial" w:eastAsia="Arial" w:hAnsi="Arial"/>
                <w:color w:val="0A2543"/>
                <w:sz w:val="19"/>
                <w:szCs w:val="19"/>
              </w:rPr>
              <w:t xml:space="preserve">Enable CA008 and CA009 — location-aware MFA and Azure management plane protection go live.</w:t>
            </w:r>
          </w:p>
          <w:p>
            <w:pPr>
              <w:spacing w:before="30" w:after="30"/>
              <w:jc w:val="both"/>
            </w:pPr>
            <w:r>
              <w:rPr>
                <w:rFonts w:ascii="Arial" w:cs="Arial" w:eastAsia="Arial" w:hAnsi="Arial"/>
                <w:color w:val="0A2543"/>
                <w:sz w:val="19"/>
                <w:szCs w:val="19"/>
              </w:rPr>
              <w:t xml:space="preserve">Enable CA004 — high-risk sign-ins are now automatically blocked in real time without human intervention.</w:t>
            </w:r>
          </w:p>
          <w:p>
            <w:pPr>
              <w:spacing w:before="30" w:after="30"/>
              <w:jc w:val="both"/>
            </w:pPr>
            <w:r>
              <w:rPr>
                <w:rFonts w:ascii="Arial" w:cs="Arial" w:eastAsia="Arial" w:hAnsi="Arial"/>
                <w:color w:val="0A2543"/>
                <w:sz w:val="19"/>
                <w:szCs w:val="19"/>
              </w:rPr>
              <w:t xml:space="preserve">Enable CA005 — users with detected compromised credentials are forced to re-authenticate and change their password before regaining access.</w:t>
            </w:r>
          </w:p>
          <w:p>
            <w:pPr>
              <w:spacing w:before="30" w:after="30"/>
              <w:jc w:val="both"/>
            </w:pPr>
            <w:r>
              <w:rPr>
                <w:rFonts w:ascii="Arial" w:cs="Arial" w:eastAsia="Arial" w:hAnsi="Arial"/>
                <w:color w:val="0A2543"/>
                <w:sz w:val="19"/>
                <w:szCs w:val="19"/>
              </w:rPr>
              <w:t xml:space="preserve">Validate: sign in as a test user and confirm MFA is prompted. Sign in as a test admin and confirm FIDO2 is required. Test both break-glass accounts and confirm they still work.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C559" w:sz="1"/>
              <w:left w:val="single" w:color="7AC559" w:sz="18"/>
              <w:bottom w:val="single" w:color="7AC559" w:sz="1"/>
              <w:right w:val="single" w:color="7AC559" w:sz="1"/>
            </w:tcBorders>
            <w:shd w:fill="EBF9E8" w:val="clear"/>
            <w:tcMar>
              <w:top w:type="dxa" w:w="140"/>
              <w:left w:type="dxa" w:w="240"/>
              <w:bottom w:type="dxa" w:w="140"/>
              <w:right w:type="dxa" w:w="200"/>
            </w:tcMar>
          </w:tcPr>
          <w:p>
            <w:pPr>
              <w:jc w:val="both"/>
            </w:pPr>
            <w:r>
              <w:rPr>
                <w:rFonts w:ascii="Arial" w:cs="Arial" w:eastAsia="Arial" w:hAnsi="Arial"/>
                <w:color w:val="1A5C0A"/>
                <w:sz w:val="19"/>
                <w:szCs w:val="19"/>
              </w:rPr>
              <w:t xml:space="preserve">Phase 1 complete: every user requires MFA, legacy auth is blocked, admin accounts require hardware-bound credentials, and Identity Protection is actively monitoring and blocking high-risk sign-ins in real time.</w:t>
            </w:r>
          </w:p>
        </w:tc>
      </w:tr>
    </w:tbl>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E7D32" w:sz="1"/>
              <w:left w:val="single" w:color="2E7D32" w:sz="1"/>
              <w:bottom w:val="single" w:color="2E7D32" w:sz="1"/>
              <w:right w:val="single" w:color="2E7D32" w:sz="1"/>
            </w:tcBorders>
            <w:shd w:fill="2E7D32" w:val="clear"/>
            <w:tcMar>
              <w:top w:type="dxa" w:w="200"/>
              <w:left w:type="dxa" w:w="80"/>
              <w:bottom w:type="dxa" w:w="200"/>
              <w:right w:type="dxa" w:w="80"/>
            </w:tcMar>
          </w:tcPr>
          <w:p>
            <w:pPr>
              <w:jc w:val="center"/>
            </w:pPr>
            <w:r>
              <w:rPr>
                <w:rFonts w:ascii="Arial" w:cs="Arial" w:eastAsia="Arial" w:hAnsi="Arial"/>
                <w:b/>
                <w:bCs/>
                <w:color w:val="FFFFFF"/>
                <w:sz w:val="32"/>
                <w:szCs w:val="32"/>
              </w:rPr>
              <w:t xml:space="preserve">2</w:t>
            </w:r>
          </w:p>
        </w:tc>
        <w:tc>
          <w:tcPr>
            <w:tcW w:type="dxa" w:w="8800"/>
            <w:tcBorders>
              <w:top w:val="single" w:color="2E7D32" w:sz="1"/>
              <w:left w:val="single" w:color="2E7D32" w:sz="1"/>
              <w:bottom w:val="single" w:color="2E7D32" w:sz="1"/>
              <w:right w:val="single" w:color="2E7D32" w:sz="1"/>
            </w:tcBorders>
            <w:shd w:fill="0A2543" w:val="clear"/>
            <w:tcMar>
              <w:top w:type="dxa" w:w="160"/>
              <w:left w:type="dxa" w:w="240"/>
              <w:bottom w:type="dxa" w:w="160"/>
              <w:right w:type="dxa" w:w="200"/>
            </w:tcMar>
          </w:tcPr>
          <w:p>
            <w:r>
              <w:rPr>
                <w:rFonts w:ascii="Arial" w:cs="Arial" w:eastAsia="Arial" w:hAnsi="Arial"/>
                <w:b/>
                <w:bCs/>
                <w:color w:val="FFFFFF"/>
                <w:sz w:val="28"/>
                <w:szCs w:val="28"/>
              </w:rPr>
              <w:t xml:space="preserve">Device Compliance &amp; Endpoint Security</w:t>
            </w:r>
          </w:p>
          <w:p>
            <w:pPr>
              <w:spacing w:before="40"/>
            </w:pPr>
            <w:r>
              <w:rPr>
                <w:rFonts w:ascii="Arial" w:cs="Arial" w:eastAsia="Arial" w:hAnsi="Arial"/>
                <w:color w:val="8BAFC8"/>
                <w:sz w:val="18"/>
                <w:szCs w:val="18"/>
              </w:rPr>
              <w:t xml:space="preserve">Weeks 5–8  |  Prove not just who you are, but what you are signing in from</w:t>
            </w:r>
          </w:p>
        </w:tc>
      </w:tr>
    </w:tbl>
    <w:p>
      <w:pPr>
        <w:spacing w:before="60" w:after="0"/>
      </w:pPr>
      <w:r>
        <w:t xml:space="preserve"/>
      </w:r>
    </w:p>
    <w:p>
      <w:pPr>
        <w:spacing w:before="240" w:after="60"/>
      </w:pPr>
      <w:r>
        <w:rPr>
          <w:rFonts w:ascii="Arial" w:cs="Arial" w:eastAsia="Arial" w:hAnsi="Arial"/>
          <w:b/>
          <w:bCs/>
          <w:color w:val="2E7D32"/>
          <w:sz w:val="27"/>
          <w:szCs w:val="27"/>
        </w:rPr>
        <w:t xml:space="preserve">The Problem This Phase Solves</w:t>
      </w:r>
    </w:p>
    <w:p>
      <w:pPr>
        <w:spacing w:before="60" w:after="60"/>
        <w:jc w:val="both"/>
      </w:pPr>
      <w:r>
        <w:rPr>
          <w:rFonts w:ascii="Arial" w:cs="Arial" w:eastAsia="Arial" w:hAnsi="Arial"/>
          <w:color w:val="0A2543"/>
          <w:sz w:val="20"/>
          <w:szCs w:val="20"/>
        </w:rPr>
        <w:t xml:space="preserve">Phase 1 established that you need a valid identity to get in. Phase 2 establishes that you also need a healthy, managed device. The gap this closes is significant: session tokens — the authenticated credentials that your browser holds after a successful login — can be stolen from an endpoint and replayed from a completely different machine. If an endpoint is infected with an infostealer, or is unpatched and compromised, the attacker on that machine can capture the token and use it as if they were the legitimate user, on a different device, without ever needing the password or MFA.</w:t>
      </w:r>
    </w:p>
    <w:p>
      <w:pPr>
        <w:spacing w:before="40" w:after="0"/>
      </w:pPr>
      <w:r>
        <w:t xml:space="preserve"/>
      </w:r>
    </w:p>
    <w:p>
      <w:pPr>
        <w:spacing w:before="60" w:after="60"/>
        <w:jc w:val="both"/>
      </w:pPr>
      <w:r>
        <w:rPr>
          <w:rFonts w:ascii="Arial" w:cs="Arial" w:eastAsia="Arial" w:hAnsi="Arial"/>
          <w:color w:val="0A2543"/>
          <w:sz w:val="20"/>
          <w:szCs w:val="20"/>
        </w:rPr>
        <w:t xml:space="preserve">Device compliance solves this by ensuring that before any M365 resource is accessed, the device has proven itself to be in a known-good state: encrypted, patched, running endpoint protection, and under organizational management.</w:t>
      </w:r>
    </w:p>
    <w:p>
      <w:pPr>
        <w:spacing w:before="60" w:after="0"/>
      </w:pPr>
      <w:r>
        <w:t xml:space="preserve"/>
      </w:r>
    </w:p>
    <w:p>
      <w:pPr>
        <w:spacing w:before="240" w:after="60"/>
      </w:pPr>
      <w:r>
        <w:rPr>
          <w:rFonts w:ascii="Arial" w:cs="Arial" w:eastAsia="Arial" w:hAnsi="Arial"/>
          <w:b/>
          <w:bCs/>
          <w:color w:val="2E7D32"/>
          <w:sz w:val="27"/>
          <w:szCs w:val="27"/>
        </w:rPr>
        <w:t xml:space="preserve">Weeks 5–6 — Intune Enrollment (Manual)</w:t>
      </w:r>
    </w:p>
    <w:p>
      <w:pPr>
        <w:spacing w:before="60" w:after="60"/>
        <w:jc w:val="both"/>
      </w:pPr>
      <w:r>
        <w:rPr>
          <w:rFonts w:ascii="Arial" w:cs="Arial" w:eastAsia="Arial" w:hAnsi="Arial"/>
          <w:color w:val="0A2543"/>
          <w:sz w:val="20"/>
          <w:szCs w:val="20"/>
        </w:rPr>
        <w:t xml:space="preserve">There are no CA scripts in Weeks 5 and 6. This time is spent on the Intune groundwork that must be complete before CA006 can be safely enabled.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Weeks 5–6</w:t>
            </w:r>
          </w:p>
        </w:tc>
        <w:tc>
          <w:tcPr>
            <w:tcW w:type="dxa" w:w="8360"/>
            <w:tcBorders>
              <w:top w:val="single" w:color="2E7D32" w:sz="1"/>
              <w:left w:val="single" w:color="2E7D32" w:sz="1"/>
              <w:bottom w:val="single" w:color="2E7D32" w:sz="1"/>
              <w:right w:val="single" w:color="2E7D32" w:sz="1"/>
            </w:tcBorders>
            <w:shd w:fill="EBF5EB"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Define the Windows compliance policy in Intune: BitLocker encryption must be active, Secure Boot must be enabled, the OS must be on a current patch level, and Defender real-time protection must be running. A device failing any of these criteria is marked non-compliant.</w:t>
            </w:r>
          </w:p>
          <w:p>
            <w:pPr>
              <w:spacing w:before="30" w:after="30"/>
              <w:jc w:val="both"/>
            </w:pPr>
            <w:r>
              <w:rPr>
                <w:rFonts w:ascii="Arial" w:cs="Arial" w:eastAsia="Arial" w:hAnsi="Arial"/>
                <w:color w:val="0A2543"/>
                <w:sz w:val="19"/>
                <w:szCs w:val="19"/>
              </w:rPr>
              <w:t xml:space="preserve">Define the iOS and Android compliance policy: minimum OS version, screen PIN required, device encryption active, jailbreak or root detection enabled.</w:t>
            </w:r>
          </w:p>
          <w:p>
            <w:pPr>
              <w:spacing w:before="30" w:after="30"/>
              <w:jc w:val="both"/>
            </w:pPr>
            <w:r>
              <w:rPr>
                <w:rFonts w:ascii="Arial" w:cs="Arial" w:eastAsia="Arial" w:hAnsi="Arial"/>
                <w:color w:val="0A2543"/>
                <w:sz w:val="19"/>
                <w:szCs w:val="19"/>
              </w:rPr>
              <w:t xml:space="preserve">Enroll existing Windows devices into Intune. Depending on the environment this is done via a GPO-based MDM enrollment push, SCCM co-management, or for new devices via Autopilot. The goal is every corporate Windows machine showing as Intune-managed before Week 7.</w:t>
            </w:r>
          </w:p>
          <w:p>
            <w:pPr>
              <w:spacing w:before="30" w:after="30"/>
              <w:jc w:val="both"/>
            </w:pPr>
            <w:r>
              <w:rPr>
                <w:rFonts w:ascii="Arial" w:cs="Arial" w:eastAsia="Arial" w:hAnsi="Arial"/>
                <w:color w:val="0A2543"/>
                <w:sz w:val="19"/>
                <w:szCs w:val="19"/>
              </w:rPr>
              <w:t xml:space="preserve">Configure Autopilot deployment profiles so that any net-new device ordered going forward provisions itself directly into Intune and receives all policies automatically — no manual setup required.</w:t>
            </w:r>
          </w:p>
          <w:p>
            <w:pPr>
              <w:spacing w:before="30" w:after="30"/>
              <w:jc w:val="both"/>
            </w:pPr>
            <w:r>
              <w:rPr>
                <w:rFonts w:ascii="Arial" w:cs="Arial" w:eastAsia="Arial" w:hAnsi="Arial"/>
                <w:color w:val="0A2543"/>
                <w:sz w:val="19"/>
                <w:szCs w:val="19"/>
              </w:rPr>
              <w:t xml:space="preserve">Deploy Windows Hello for Business via Intune policy. This moves users toward passwordless authentication on their endpoints, where the device itself becomes a credential bound to the hardware TPM chip.</w:t>
            </w:r>
          </w:p>
          <w:p>
            <w:pPr>
              <w:spacing w:before="30" w:after="30"/>
              <w:jc w:val="both"/>
            </w:pPr>
            <w:r>
              <w:rPr>
                <w:rFonts w:ascii="Arial" w:cs="Arial" w:eastAsia="Arial" w:hAnsi="Arial"/>
                <w:color w:val="0A2543"/>
                <w:sz w:val="19"/>
                <w:szCs w:val="19"/>
              </w:rPr>
              <w:t xml:space="preserve">Enable the Microsoft Defender for Endpoint and Intune integration. This allows compliance policies to factor in Defender's threat signal — a device with an active malware detection can be automatically marked non-compliant.</w:t>
            </w:r>
          </w:p>
        </w:tc>
      </w:tr>
    </w:tbl>
    <w:p>
      <w:pPr>
        <w:spacing w:before="60" w:after="0"/>
      </w:pPr>
      <w:r>
        <w:t xml:space="preserve"/>
      </w:r>
    </w:p>
    <w:p>
      <w:pPr>
        <w:spacing w:before="240" w:after="60"/>
      </w:pPr>
      <w:r>
        <w:rPr>
          <w:rFonts w:ascii="Arial" w:cs="Arial" w:eastAsia="Arial" w:hAnsi="Arial"/>
          <w:b/>
          <w:bCs/>
          <w:color w:val="2E7D32"/>
          <w:sz w:val="27"/>
          <w:szCs w:val="27"/>
        </w:rPr>
        <w:t xml:space="preserve">Week 7 — Deploy CA006 &amp; CA007 in Report-Only</w:t>
      </w:r>
    </w:p>
    <w:p>
      <w:pPr>
        <w:spacing w:before="60" w:after="60"/>
        <w:jc w:val="both"/>
      </w:pPr>
      <w:r>
        <w:rPr>
          <w:rFonts w:ascii="Arial" w:cs="Arial" w:eastAsia="Arial" w:hAnsi="Arial"/>
          <w:color w:val="0A2543"/>
          <w:sz w:val="20"/>
          <w:szCs w:val="20"/>
        </w:rPr>
        <w:t xml:space="preserve">The two device compliance policies deploy this week. It is important to understand the deliberate split between them — CA006 handles Windows and macOS through full MDM, while CA007 handles mobile through a completely different mechanism.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7</w:t>
            </w:r>
          </w:p>
        </w:tc>
        <w:tc>
          <w:tcPr>
            <w:tcW w:type="dxa" w:w="8360"/>
            <w:tcBorders>
              <w:top w:val="single" w:color="2E7D32" w:sz="1"/>
              <w:left w:val="single" w:color="2E7D32" w:sz="1"/>
              <w:bottom w:val="single" w:color="2E7D32" w:sz="1"/>
              <w:right w:val="single" w:color="2E7D32" w:sz="1"/>
            </w:tcBorders>
            <w:shd w:fill="EBF5EB"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Run Phase2-Deploy-CA006-CA007-DeviceCompliance.ps1 — both policies deploy in Report-only.</w:t>
            </w:r>
          </w:p>
          <w:p>
            <w:pPr>
              <w:spacing w:before="30" w:after="30"/>
              <w:jc w:val="both"/>
            </w:pPr>
            <w:r>
              <w:rPr>
                <w:rFonts w:ascii="Arial" w:cs="Arial" w:eastAsia="Arial" w:hAnsi="Arial"/>
                <w:color w:val="0A2543"/>
                <w:sz w:val="19"/>
                <w:szCs w:val="19"/>
              </w:rPr>
              <w:t xml:space="preserve">Deploy ASR (Attack Surface Reduction) rules via Intune in audit mode. ASR rules block specific attack techniques at the OS level — macro execution from Office files, credential dumping from LSASS, process injection patterns. Audit mode logs what would have been blocked without actually blocking it, allowing you to tune for false positives before enforcement.</w:t>
            </w:r>
          </w:p>
          <w:p>
            <w:pPr>
              <w:spacing w:before="30" w:after="30"/>
              <w:jc w:val="both"/>
            </w:pPr>
            <w:r>
              <w:rPr>
                <w:rFonts w:ascii="Arial" w:cs="Arial" w:eastAsia="Arial" w:hAnsi="Arial"/>
                <w:color w:val="0A2543"/>
                <w:sz w:val="19"/>
                <w:szCs w:val="19"/>
              </w:rPr>
              <w:t xml:space="preserve">Review the compliance dashboard in Intune. Every device that is not yet showing Compliant needs to be remediated before Week 8. Common issues are BitLocker not enabled, OS not updated, or Defender in a degraded state.</w:t>
            </w:r>
          </w:p>
        </w:tc>
      </w:tr>
    </w:tbl>
    <w:p>
      <w:pPr>
        <w:spacing w:before="40" w:after="0"/>
      </w:pPr>
      <w:r>
        <w:t xml:space="preserve"/>
      </w:r>
    </w:p>
    <w:p>
      <w:pPr>
        <w:spacing w:before="180" w:after="40"/>
      </w:pPr>
      <w:r>
        <w:rPr>
          <w:rFonts w:ascii="Arial" w:cs="Arial" w:eastAsia="Arial" w:hAnsi="Arial"/>
          <w:b/>
          <w:bCs/>
          <w:color w:val="0A2543"/>
          <w:sz w:val="22"/>
          <w:szCs w:val="22"/>
        </w:rPr>
        <w:t xml:space="preserve">The Windows/macOS vs Mobile split — why it matters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2E7D32"/>
                <w:sz w:val="18"/>
                <w:szCs w:val="18"/>
              </w:rPr>
              <w:t xml:space="preserve">CA006 — Windows &amp; macOS</w:t>
            </w:r>
          </w:p>
        </w:tc>
        <w:tc>
          <w:tcPr>
            <w:tcW w:type="dxa" w:w="7800"/>
            <w:tcBorders>
              <w:top w:val="single" w:color="B8D4E8" w:sz="1"/>
              <w:left w:val="single" w:color="B8D4E8" w:sz="1"/>
              <w:bottom w:val="single" w:color="B8D4E8" w:sz="1"/>
              <w:right w:val="single" w:color="B8D4E8" w:sz="1"/>
            </w:tcBorders>
            <w:shd w:fill="FFFFFF" w:val="clear"/>
            <w:tcMar>
              <w:top w:type="dxa" w:w="100"/>
              <w:left w:type="dxa" w:w="160"/>
              <w:bottom w:type="dxa" w:w="100"/>
              <w:right w:type="dxa" w:w="160"/>
            </w:tcMar>
          </w:tcPr>
          <w:p>
            <w:pPr>
              <w:jc w:val="both"/>
            </w:pPr>
            <w:r>
              <w:rPr>
                <w:rFonts w:ascii="Arial" w:cs="Arial" w:eastAsia="Arial" w:hAnsi="Arial"/>
                <w:color w:val="0A2543"/>
                <w:sz w:val="19"/>
                <w:szCs w:val="19"/>
              </w:rPr>
              <w:t xml:space="preserve">Requires full Intune MDM enrollment and a passing compliance check before any M365 app access is granted. The device must be enrolled, managed, encrypted, patched, and running endpoint protection. Unmanaged Windows or Mac machines are blocked entirely.</w:t>
            </w:r>
          </w:p>
        </w:tc>
      </w:tr>
    </w:tbl>
    <w:p>
      <w:pPr>
        <w:spacing w:before="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2E7D32"/>
                <w:sz w:val="18"/>
                <w:szCs w:val="18"/>
              </w:rPr>
              <w:t xml:space="preserve">CA007 — iOS &amp; Android</w:t>
            </w:r>
          </w:p>
        </w:tc>
        <w:tc>
          <w:tcPr>
            <w:tcW w:type="dxa" w:w="7800"/>
            <w:tcBorders>
              <w:top w:val="single" w:color="B8D4E8" w:sz="1"/>
              <w:left w:val="single" w:color="B8D4E8" w:sz="1"/>
              <w:bottom w:val="single" w:color="B8D4E8" w:sz="1"/>
              <w:right w:val="single" w:color="B8D4E8" w:sz="1"/>
            </w:tcBorders>
            <w:shd w:fill="D6E8F5" w:val="clear"/>
            <w:tcMar>
              <w:top w:type="dxa" w:w="100"/>
              <w:left w:type="dxa" w:w="160"/>
              <w:bottom w:type="dxa" w:w="100"/>
              <w:right w:type="dxa" w:w="160"/>
            </w:tcMar>
          </w:tcPr>
          <w:p>
            <w:pPr>
              <w:jc w:val="both"/>
            </w:pPr>
            <w:r>
              <w:rPr>
                <w:rFonts w:ascii="Arial" w:cs="Arial" w:eastAsia="Arial" w:hAnsi="Arial"/>
                <w:color w:val="0A2543"/>
                <w:sz w:val="19"/>
                <w:szCs w:val="19"/>
              </w:rPr>
              <w:t xml:space="preserve">Uses MAM without enrollment — personal phones do not need to be fully managed by Intune. Instead, corporate apps (Outlook, Teams, OneDrive) run inside a managed container with a PIN, data encryption, blocked save-to-personal-storage, and selective wipe capability. The personal device itself is never touched. This avoids the resistance that full MDM enrollment on personal phones generates, while still protecting corporate data.</w:t>
            </w:r>
          </w:p>
        </w:tc>
      </w:tr>
    </w:tbl>
    <w:p>
      <w:pPr>
        <w:spacing w:before="60" w:after="0"/>
      </w:pPr>
      <w:r>
        <w:t xml:space="preserve"/>
      </w:r>
    </w:p>
    <w:p>
      <w:pPr>
        <w:spacing w:before="240" w:after="60"/>
      </w:pPr>
      <w:r>
        <w:rPr>
          <w:rFonts w:ascii="Arial" w:cs="Arial" w:eastAsia="Arial" w:hAnsi="Arial"/>
          <w:b/>
          <w:bCs/>
          <w:color w:val="2E7D32"/>
          <w:sz w:val="27"/>
          <w:szCs w:val="27"/>
        </w:rPr>
        <w:t xml:space="preserve">Week 8 — Enable &amp;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8</w:t>
            </w:r>
          </w:p>
        </w:tc>
        <w:tc>
          <w:tcPr>
            <w:tcW w:type="dxa" w:w="8360"/>
            <w:tcBorders>
              <w:top w:val="single" w:color="2E7D32" w:sz="1"/>
              <w:left w:val="single" w:color="2E7D32" w:sz="1"/>
              <w:bottom w:val="single" w:color="2E7D32" w:sz="1"/>
              <w:right w:val="single" w:color="2E7D32" w:sz="1"/>
            </w:tcBorders>
            <w:shd w:fill="EBF5EB"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Remediate all non-compliant devices identified during the Report-only period. Any device still showing non-compliant when CA006 enables will immediately lose M365 access until it passes compliance.</w:t>
            </w:r>
          </w:p>
          <w:p>
            <w:pPr>
              <w:spacing w:before="30" w:after="30"/>
              <w:jc w:val="both"/>
            </w:pPr>
            <w:r>
              <w:rPr>
                <w:rFonts w:ascii="Arial" w:cs="Arial" w:eastAsia="Arial" w:hAnsi="Arial"/>
                <w:color w:val="0A2543"/>
                <w:sz w:val="19"/>
                <w:szCs w:val="19"/>
              </w:rPr>
              <w:t xml:space="preserve">Confirm Intune App Protection Policies for iOS and Android are fully deployed and tested. A test user on a personal iPhone should be able to access Outlook only through the managed app — the native iPhone Mail app should be blocked.</w:t>
            </w:r>
          </w:p>
          <w:p>
            <w:pPr>
              <w:spacing w:before="30" w:after="30"/>
              <w:jc w:val="both"/>
            </w:pPr>
            <w:r>
              <w:rPr>
                <w:rFonts w:ascii="Arial" w:cs="Arial" w:eastAsia="Arial" w:hAnsi="Arial"/>
                <w:color w:val="0A2543"/>
                <w:sz w:val="19"/>
                <w:szCs w:val="19"/>
              </w:rPr>
              <w:t xml:space="preserve">Enable CA006 and CA007 via Phase2-Enable-CA006-CA007.ps1. From this point, unmanaged Windows and Mac devices are blocked from M365. Personal mobile devices can access corporate apps only through the approved apps with protection policies applied.</w:t>
            </w:r>
          </w:p>
          <w:p>
            <w:pPr>
              <w:spacing w:before="30" w:after="30"/>
              <w:jc w:val="both"/>
            </w:pPr>
            <w:r>
              <w:rPr>
                <w:rFonts w:ascii="Arial" w:cs="Arial" w:eastAsia="Arial" w:hAnsi="Arial"/>
                <w:color w:val="0A2543"/>
                <w:sz w:val="19"/>
                <w:szCs w:val="19"/>
              </w:rPr>
              <w:t xml:space="preserve">Switch ASR rules from Audit to Enforce mode after reviewing the audit logs for false positives.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C559" w:sz="1"/>
              <w:left w:val="single" w:color="7AC559" w:sz="18"/>
              <w:bottom w:val="single" w:color="7AC559" w:sz="1"/>
              <w:right w:val="single" w:color="7AC559" w:sz="1"/>
            </w:tcBorders>
            <w:shd w:fill="EBF9E8" w:val="clear"/>
            <w:tcMar>
              <w:top w:type="dxa" w:w="140"/>
              <w:left w:type="dxa" w:w="240"/>
              <w:bottom w:type="dxa" w:w="140"/>
              <w:right w:type="dxa" w:w="200"/>
            </w:tcMar>
          </w:tcPr>
          <w:p>
            <w:pPr>
              <w:jc w:val="both"/>
            </w:pPr>
            <w:r>
              <w:rPr>
                <w:rFonts w:ascii="Arial" w:cs="Arial" w:eastAsia="Arial" w:hAnsi="Arial"/>
                <w:color w:val="1A5C0A"/>
                <w:sz w:val="19"/>
                <w:szCs w:val="19"/>
              </w:rPr>
              <w:t xml:space="preserve">Phase 2 complete: access to M365 now requires both a verified identity (Phase 1) and a managed, healthy device. Session token theft from unmanaged endpoints can no longer be replayed against corporate resources.</w:t>
            </w:r>
          </w:p>
        </w:tc>
      </w:tr>
    </w:tbl>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7B4F00" w:sz="1"/>
              <w:left w:val="single" w:color="7B4F00" w:sz="1"/>
              <w:bottom w:val="single" w:color="7B4F00" w:sz="1"/>
              <w:right w:val="single" w:color="7B4F00" w:sz="1"/>
            </w:tcBorders>
            <w:shd w:fill="7B4F00" w:val="clear"/>
            <w:tcMar>
              <w:top w:type="dxa" w:w="200"/>
              <w:left w:type="dxa" w:w="80"/>
              <w:bottom w:type="dxa" w:w="200"/>
              <w:right w:type="dxa" w:w="80"/>
            </w:tcMar>
          </w:tcPr>
          <w:p>
            <w:pPr>
              <w:jc w:val="center"/>
            </w:pPr>
            <w:r>
              <w:rPr>
                <w:rFonts w:ascii="Arial" w:cs="Arial" w:eastAsia="Arial" w:hAnsi="Arial"/>
                <w:b/>
                <w:bCs/>
                <w:color w:val="FFFFFF"/>
                <w:sz w:val="32"/>
                <w:szCs w:val="32"/>
              </w:rPr>
              <w:t xml:space="preserve">3</w:t>
            </w:r>
          </w:p>
        </w:tc>
        <w:tc>
          <w:tcPr>
            <w:tcW w:type="dxa" w:w="8800"/>
            <w:tcBorders>
              <w:top w:val="single" w:color="7B4F00" w:sz="1"/>
              <w:left w:val="single" w:color="7B4F00" w:sz="1"/>
              <w:bottom w:val="single" w:color="7B4F00" w:sz="1"/>
              <w:right w:val="single" w:color="7B4F00" w:sz="1"/>
            </w:tcBorders>
            <w:shd w:fill="0A2543" w:val="clear"/>
            <w:tcMar>
              <w:top w:type="dxa" w:w="160"/>
              <w:left w:type="dxa" w:w="240"/>
              <w:bottom w:type="dxa" w:w="160"/>
              <w:right w:type="dxa" w:w="200"/>
            </w:tcMar>
          </w:tcPr>
          <w:p>
            <w:r>
              <w:rPr>
                <w:rFonts w:ascii="Arial" w:cs="Arial" w:eastAsia="Arial" w:hAnsi="Arial"/>
                <w:b/>
                <w:bCs/>
                <w:color w:val="FFFFFF"/>
                <w:sz w:val="28"/>
                <w:szCs w:val="28"/>
              </w:rPr>
              <w:t xml:space="preserve">Data Protection &amp; Application Security</w:t>
            </w:r>
          </w:p>
          <w:p>
            <w:pPr>
              <w:spacing w:before="40"/>
            </w:pPr>
            <w:r>
              <w:rPr>
                <w:rFonts w:ascii="Arial" w:cs="Arial" w:eastAsia="Arial" w:hAnsi="Arial"/>
                <w:color w:val="8BAFC8"/>
                <w:sz w:val="18"/>
                <w:szCs w:val="18"/>
              </w:rPr>
              <w:t xml:space="preserve">Weeks 9–12  |  Control what happens to data once legitimate access is granted</w:t>
            </w:r>
          </w:p>
        </w:tc>
      </w:tr>
    </w:tbl>
    <w:p>
      <w:pPr>
        <w:spacing w:before="60" w:after="0"/>
      </w:pPr>
      <w:r>
        <w:t xml:space="preserve"/>
      </w:r>
    </w:p>
    <w:p>
      <w:pPr>
        <w:spacing w:before="240" w:after="60"/>
      </w:pPr>
      <w:r>
        <w:rPr>
          <w:rFonts w:ascii="Arial" w:cs="Arial" w:eastAsia="Arial" w:hAnsi="Arial"/>
          <w:b/>
          <w:bCs/>
          <w:color w:val="7B4F00"/>
          <w:sz w:val="27"/>
          <w:szCs w:val="27"/>
        </w:rPr>
        <w:t xml:space="preserve">The Problem This Phase Solves</w:t>
      </w:r>
    </w:p>
    <w:p>
      <w:pPr>
        <w:spacing w:before="60" w:after="60"/>
        <w:jc w:val="both"/>
      </w:pPr>
      <w:r>
        <w:rPr>
          <w:rFonts w:ascii="Arial" w:cs="Arial" w:eastAsia="Arial" w:hAnsi="Arial"/>
          <w:color w:val="0A2543"/>
          <w:sz w:val="20"/>
          <w:szCs w:val="20"/>
        </w:rPr>
        <w:t xml:space="preserve">Phases 1 and 2 control access. Phase 3 controls data. The threat model shifts here — instead of an external attacker trying to authenticate, the risk is data leaving the organization through legitimate channels. This includes an employee accidentally emailing a sensitive file to the wrong address, a contractor downloading a confidential document to a personal device, a disgruntled employee exfiltrating client data before resigning, or an authorized user sharing a SharePoint link that grants far more access than intended.</w:t>
      </w:r>
    </w:p>
    <w:p>
      <w:pPr>
        <w:spacing w:before="40" w:after="0"/>
      </w:pPr>
      <w:r>
        <w:t xml:space="preserve"/>
      </w:r>
    </w:p>
    <w:p>
      <w:pPr>
        <w:spacing w:before="60" w:after="60"/>
        <w:jc w:val="both"/>
      </w:pPr>
      <w:r>
        <w:rPr>
          <w:rFonts w:ascii="Arial" w:cs="Arial" w:eastAsia="Arial" w:hAnsi="Arial"/>
          <w:color w:val="0A2543"/>
          <w:sz w:val="20"/>
          <w:szCs w:val="20"/>
        </w:rPr>
        <w:t xml:space="preserve">Phase 3 addresses this by classifying data at the point where it is created, encrypting it based on that classification, and then enforcing rules about where it can go and who can access it — rules that travel with the file itself, not just with the system that stores it.</w:t>
      </w:r>
    </w:p>
    <w:p>
      <w:pPr>
        <w:spacing w:before="60" w:after="0"/>
      </w:pPr>
      <w:r>
        <w:t xml:space="preserve"/>
      </w:r>
    </w:p>
    <w:p>
      <w:pPr>
        <w:spacing w:before="240" w:after="60"/>
      </w:pPr>
      <w:r>
        <w:rPr>
          <w:rFonts w:ascii="Arial" w:cs="Arial" w:eastAsia="Arial" w:hAnsi="Arial"/>
          <w:b/>
          <w:bCs/>
          <w:color w:val="7B4F00"/>
          <w:sz w:val="27"/>
          <w:szCs w:val="27"/>
        </w:rPr>
        <w:t xml:space="preserve">Week 9 — Sensitivity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4F00" w:sz="1"/>
              <w:left w:val="single" w:color="7B4F00" w:sz="1"/>
              <w:bottom w:val="single" w:color="7B4F00" w:sz="1"/>
              <w:right w:val="single" w:color="7B4F00" w:sz="1"/>
            </w:tcBorders>
            <w:shd w:fill="7B4F00"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9</w:t>
            </w:r>
          </w:p>
        </w:tc>
        <w:tc>
          <w:tcPr>
            <w:tcW w:type="dxa" w:w="8360"/>
            <w:tcBorders>
              <w:top w:val="single" w:color="7B4F00" w:sz="1"/>
              <w:left w:val="single" w:color="7B4F00" w:sz="1"/>
              <w:bottom w:val="single" w:color="7B4F00" w:sz="1"/>
              <w:right w:val="single" w:color="7B4F00" w:sz="1"/>
            </w:tcBorders>
            <w:shd w:fill="FEF6E4"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Design the sensitivity label taxonomy in Microsoft Purview. The standard four-tier structure works for most organizations: Public (can be shared freely outside the organization), Internal (default for most business content, not for external sharing), Confidential (limited distribution, specific audiences, requires justification), and Highly Confidential (encrypted, access controlled, full audit trail, external sharing blocked).</w:t>
            </w:r>
          </w:p>
          <w:p>
            <w:pPr>
              <w:spacing w:before="30" w:after="30"/>
              <w:jc w:val="both"/>
            </w:pPr>
            <w:r>
              <w:rPr>
                <w:rFonts w:ascii="Arial" w:cs="Arial" w:eastAsia="Arial" w:hAnsi="Arial"/>
                <w:color w:val="0A2543"/>
                <w:sz w:val="19"/>
                <w:szCs w:val="19"/>
              </w:rPr>
              <w:t xml:space="preserve">Deploy sensitivity labels to all M365 workloads — Word, Excel, PowerPoint, Outlook, Teams, and SharePoint. Labels appear as a dropdown in the ribbon. Users apply them when creating or editing content. The label is stored as metadata that Purview uses for all subsequent enforcement decisions.</w:t>
            </w:r>
          </w:p>
          <w:p>
            <w:pPr>
              <w:spacing w:before="30" w:after="30"/>
              <w:jc w:val="both"/>
            </w:pPr>
            <w:r>
              <w:rPr>
                <w:rFonts w:ascii="Arial" w:cs="Arial" w:eastAsia="Arial" w:hAnsi="Arial"/>
                <w:color w:val="0A2543"/>
                <w:sz w:val="19"/>
                <w:szCs w:val="19"/>
              </w:rPr>
              <w:t xml:space="preserve">Configure default labeling policies so that documents created without a manual label selection automatically receive the Internal label. This ensures nothing falls through the cracks without a classification.</w:t>
            </w:r>
          </w:p>
          <w:p>
            <w:pPr>
              <w:spacing w:before="30" w:after="30"/>
              <w:jc w:val="both"/>
            </w:pPr>
            <w:r>
              <w:rPr>
                <w:rFonts w:ascii="Arial" w:cs="Arial" w:eastAsia="Arial" w:hAnsi="Arial"/>
                <w:color w:val="0A2543"/>
                <w:sz w:val="19"/>
                <w:szCs w:val="19"/>
              </w:rPr>
              <w:t xml:space="preserve">The label travels with the document. If a Confidential file is downloaded and emailed from a personal account, it is still encrypted and still enforces access controls — the protection is in the file, not just in the system.</w:t>
            </w:r>
          </w:p>
        </w:tc>
      </w:tr>
    </w:tbl>
    <w:p>
      <w:pPr>
        <w:spacing w:before="60" w:after="0"/>
      </w:pPr>
      <w:r>
        <w:t xml:space="preserve"/>
      </w:r>
    </w:p>
    <w:p>
      <w:pPr>
        <w:spacing w:before="240" w:after="60"/>
      </w:pPr>
      <w:r>
        <w:rPr>
          <w:rFonts w:ascii="Arial" w:cs="Arial" w:eastAsia="Arial" w:hAnsi="Arial"/>
          <w:b/>
          <w:bCs/>
          <w:color w:val="7B4F00"/>
          <w:sz w:val="27"/>
          <w:szCs w:val="27"/>
        </w:rPr>
        <w:t xml:space="preserve">Week 10 — DLP Policies &amp; Auto-Labeling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4F00" w:sz="1"/>
              <w:left w:val="single" w:color="7B4F00" w:sz="1"/>
              <w:bottom w:val="single" w:color="7B4F00" w:sz="1"/>
              <w:right w:val="single" w:color="7B4F00" w:sz="1"/>
            </w:tcBorders>
            <w:shd w:fill="7B4F00"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10</w:t>
            </w:r>
          </w:p>
        </w:tc>
        <w:tc>
          <w:tcPr>
            <w:tcW w:type="dxa" w:w="8360"/>
            <w:tcBorders>
              <w:top w:val="single" w:color="7B4F00" w:sz="1"/>
              <w:left w:val="single" w:color="7B4F00" w:sz="1"/>
              <w:bottom w:val="single" w:color="7B4F00" w:sz="1"/>
              <w:right w:val="single" w:color="7B4F00" w:sz="1"/>
            </w:tcBorders>
            <w:shd w:fill="FEF6E4"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Build Data Loss Prevention policies in Purview. These watch for sensitive content patterns in real time — Social Security numbers, credit card numbers, medical record identifiers, passport numbers, bank account details — and prevent that content from being sent externally via email, shared via SharePoint link to external users, or uploaded to unapproved services.</w:t>
            </w:r>
          </w:p>
          <w:p>
            <w:pPr>
              <w:spacing w:before="30" w:after="30"/>
              <w:jc w:val="both"/>
            </w:pPr>
            <w:r>
              <w:rPr>
                <w:rFonts w:ascii="Arial" w:cs="Arial" w:eastAsia="Arial" w:hAnsi="Arial"/>
                <w:color w:val="0A2543"/>
                <w:sz w:val="19"/>
                <w:szCs w:val="19"/>
              </w:rPr>
              <w:t xml:space="preserve">Configure DLP to alert rather than block initially. Blocking immediately generates user friction and helpdesk tickets. Running in alert mode for two weeks lets you tune for false positives — legitimate business scenarios where sensitive data does need to move — before the block rules activate.</w:t>
            </w:r>
          </w:p>
          <w:p>
            <w:pPr>
              <w:spacing w:before="30" w:after="30"/>
              <w:jc w:val="both"/>
            </w:pPr>
            <w:r>
              <w:rPr>
                <w:rFonts w:ascii="Arial" w:cs="Arial" w:eastAsia="Arial" w:hAnsi="Arial"/>
                <w:color w:val="0A2543"/>
                <w:sz w:val="19"/>
                <w:szCs w:val="19"/>
              </w:rPr>
              <w:t xml:space="preserve">Deploy auto-labeling policies. These scan existing content already sitting in SharePoint and OneDrive and automatically apply the appropriate sensitivity label based on what the document contains. This retroactively classifies your existing data estate without requiring users to manually relabel thousands of files.</w:t>
            </w:r>
          </w:p>
          <w:p>
            <w:pPr>
              <w:spacing w:before="30" w:after="30"/>
              <w:jc w:val="both"/>
            </w:pPr>
            <w:r>
              <w:rPr>
                <w:rFonts w:ascii="Arial" w:cs="Arial" w:eastAsia="Arial" w:hAnsi="Arial"/>
                <w:color w:val="0A2543"/>
                <w:sz w:val="19"/>
                <w:szCs w:val="19"/>
              </w:rPr>
              <w:t xml:space="preserve">Set up a bulk download alert. If any user downloads an unusually large number of files from SharePoint in a short window — a common pattern for data exfiltration before someone leaves — an alert fires in Purview and will eventually surface in Sentinel.</w:t>
            </w:r>
          </w:p>
        </w:tc>
      </w:tr>
    </w:tbl>
    <w:p>
      <w:pPr>
        <w:spacing w:before="60" w:after="0"/>
      </w:pPr>
      <w:r>
        <w:t xml:space="preserve"/>
      </w:r>
    </w:p>
    <w:p>
      <w:pPr>
        <w:spacing w:before="240" w:after="60"/>
      </w:pPr>
      <w:r>
        <w:rPr>
          <w:rFonts w:ascii="Arial" w:cs="Arial" w:eastAsia="Arial" w:hAnsi="Arial"/>
          <w:b/>
          <w:bCs/>
          <w:color w:val="7B4F00"/>
          <w:sz w:val="27"/>
          <w:szCs w:val="27"/>
        </w:rPr>
        <w:t xml:space="preserve">Week 11 — Defender for Cloud Apps (MCAS)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4F00" w:sz="1"/>
              <w:left w:val="single" w:color="7B4F00" w:sz="1"/>
              <w:bottom w:val="single" w:color="7B4F00" w:sz="1"/>
              <w:right w:val="single" w:color="7B4F00" w:sz="1"/>
            </w:tcBorders>
            <w:shd w:fill="7B4F00"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11</w:t>
            </w:r>
          </w:p>
        </w:tc>
        <w:tc>
          <w:tcPr>
            <w:tcW w:type="dxa" w:w="8360"/>
            <w:tcBorders>
              <w:top w:val="single" w:color="7B4F00" w:sz="1"/>
              <w:left w:val="single" w:color="7B4F00" w:sz="1"/>
              <w:bottom w:val="single" w:color="7B4F00" w:sz="1"/>
              <w:right w:val="single" w:color="7B4F00" w:sz="1"/>
            </w:tcBorders>
            <w:shd w:fill="FEF6E4"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Enable the Microsoft 365 connector in Defender for Cloud Apps. This gives MCAS full visibility into every action taken across SharePoint, OneDrive, Teams, and Exchange — file downloads, sharing events, permission changes, sign-in patterns.</w:t>
            </w:r>
          </w:p>
          <w:p>
            <w:pPr>
              <w:spacing w:before="30" w:after="30"/>
              <w:jc w:val="both"/>
            </w:pPr>
            <w:r>
              <w:rPr>
                <w:rFonts w:ascii="Arial" w:cs="Arial" w:eastAsia="Arial" w:hAnsi="Arial"/>
                <w:color w:val="0A2543"/>
                <w:sz w:val="19"/>
                <w:szCs w:val="19"/>
              </w:rPr>
              <w:t xml:space="preserve">Configure the MCAS session policy that will back CA010 in Phase 4: Block downloads on unmanaged devices. When a user accesses M365 from a browser on a device that is not Intune-compliant, their session is routed through the MCAS reverse proxy. The proxy allows them to view content but disables the download button and blocks print-to-PDF. Data can be seen but not taken.</w:t>
            </w:r>
          </w:p>
          <w:p>
            <w:pPr>
              <w:spacing w:before="30" w:after="30"/>
              <w:jc w:val="both"/>
            </w:pPr>
            <w:r>
              <w:rPr>
                <w:rFonts w:ascii="Arial" w:cs="Arial" w:eastAsia="Arial" w:hAnsi="Arial"/>
                <w:color w:val="0A2543"/>
                <w:sz w:val="19"/>
                <w:szCs w:val="19"/>
              </w:rPr>
              <w:t xml:space="preserve">Enable shadow IT discovery. MCAS analyses traffic logs from your managed endpoints and surfaces every cloud application your users are accessing — file sharing services, collaboration tools, AI assistants, anything. Each app is scored for risk. This gives you a clear picture of unsanctioned cloud usage and lets you make informed decisions about which apps to block, tolerate, or formally adopt.</w:t>
            </w:r>
          </w:p>
          <w:p>
            <w:pPr>
              <w:spacing w:before="30" w:after="30"/>
              <w:jc w:val="both"/>
            </w:pPr>
            <w:r>
              <w:rPr>
                <w:rFonts w:ascii="Arial" w:cs="Arial" w:eastAsia="Arial" w:hAnsi="Arial"/>
                <w:color w:val="0A2543"/>
                <w:sz w:val="19"/>
                <w:szCs w:val="19"/>
              </w:rPr>
              <w:t xml:space="preserve">Review app governance. Any third-party app that users have connected to M365 via OAuth — given permissions to access their email, calendar, or files — appears here. Revoke access to anything that is not recognized, legitimate, and necessary.</w:t>
            </w:r>
          </w:p>
        </w:tc>
      </w:tr>
    </w:tbl>
    <w:p>
      <w:pPr>
        <w:spacing w:before="60" w:after="0"/>
      </w:pPr>
      <w:r>
        <w:t xml:space="preserve"/>
      </w:r>
    </w:p>
    <w:p>
      <w:pPr>
        <w:spacing w:before="240" w:after="60"/>
      </w:pPr>
      <w:r>
        <w:rPr>
          <w:rFonts w:ascii="Arial" w:cs="Arial" w:eastAsia="Arial" w:hAnsi="Arial"/>
          <w:b/>
          <w:bCs/>
          <w:color w:val="7B4F00"/>
          <w:sz w:val="27"/>
          <w:szCs w:val="27"/>
        </w:rPr>
        <w:t xml:space="preserve">Week 12 — Mobile Policies, SharePoint Audit &amp; CA010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B4F00" w:sz="1"/>
              <w:left w:val="single" w:color="7B4F00" w:sz="1"/>
              <w:bottom w:val="single" w:color="7B4F00" w:sz="1"/>
              <w:right w:val="single" w:color="7B4F00" w:sz="1"/>
            </w:tcBorders>
            <w:shd w:fill="7B4F00"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12</w:t>
            </w:r>
          </w:p>
        </w:tc>
        <w:tc>
          <w:tcPr>
            <w:tcW w:type="dxa" w:w="8360"/>
            <w:tcBorders>
              <w:top w:val="single" w:color="7B4F00" w:sz="1"/>
              <w:left w:val="single" w:color="7B4F00" w:sz="1"/>
              <w:bottom w:val="single" w:color="7B4F00" w:sz="1"/>
              <w:right w:val="single" w:color="7B4F00" w:sz="1"/>
            </w:tcBorders>
            <w:shd w:fill="FEF6E4"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Complete the Intune App Protection Policies for iOS and Android if not finalized in Phase 2. These policies must be assigned and pushed before CA007 can fully enforce.</w:t>
            </w:r>
          </w:p>
          <w:p>
            <w:pPr>
              <w:spacing w:before="30" w:after="30"/>
              <w:jc w:val="both"/>
            </w:pPr>
            <w:r>
              <w:rPr>
                <w:rFonts w:ascii="Arial" w:cs="Arial" w:eastAsia="Arial" w:hAnsi="Arial"/>
                <w:color w:val="0A2543"/>
                <w:sz w:val="19"/>
                <w:szCs w:val="19"/>
              </w:rPr>
              <w:t xml:space="preserve">Audit SharePoint external sharing settings in the SharePoint Admin Center. Many organizations discover that external sharing is set far more permissively than intended — links that do not require sign-in, links that never expire, sites shared with broad Anyone access. Tighten these settings to match your actual business requirements.</w:t>
            </w:r>
          </w:p>
          <w:p>
            <w:pPr>
              <w:spacing w:before="30" w:after="30"/>
              <w:jc w:val="both"/>
            </w:pPr>
            <w:r>
              <w:rPr>
                <w:rFonts w:ascii="Arial" w:cs="Arial" w:eastAsia="Arial" w:hAnsi="Arial"/>
                <w:color w:val="0A2543"/>
                <w:sz w:val="19"/>
                <w:szCs w:val="19"/>
              </w:rPr>
              <w:t xml:space="preserve">Deploy CA010 in Report-only using the -DeployOnly flag. CA010 routes unmanaged device browser sessions through the MCAS proxy. Deploying it now in Report-only lets you see which sessions would be affected before you enforce session controls in Phase 4.</w:t>
            </w:r>
          </w:p>
          <w:p>
            <w:pPr>
              <w:spacing w:before="30" w:after="30"/>
              <w:jc w:val="both"/>
            </w:pPr>
            <w:r>
              <w:rPr>
                <w:rFonts w:ascii="Arial" w:cs="Arial" w:eastAsia="Arial" w:hAnsi="Arial"/>
                <w:color w:val="0A2543"/>
                <w:sz w:val="19"/>
                <w:szCs w:val="19"/>
              </w:rPr>
              <w:t xml:space="preserve">Do not enable CA010 yet. The MCAS session policy must be confirmed working first. CA010 routes traffic to MCAS — if the MCAS policy is not correctly configured, routing traffic there without rules does nothing and you have added latency for no benefit.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C559" w:sz="1"/>
              <w:left w:val="single" w:color="7AC559" w:sz="18"/>
              <w:bottom w:val="single" w:color="7AC559" w:sz="1"/>
              <w:right w:val="single" w:color="7AC559" w:sz="1"/>
            </w:tcBorders>
            <w:shd w:fill="EBF9E8" w:val="clear"/>
            <w:tcMar>
              <w:top w:type="dxa" w:w="140"/>
              <w:left w:type="dxa" w:w="240"/>
              <w:bottom w:type="dxa" w:w="140"/>
              <w:right w:type="dxa" w:w="200"/>
            </w:tcMar>
          </w:tcPr>
          <w:p>
            <w:pPr>
              <w:jc w:val="both"/>
            </w:pPr>
            <w:r>
              <w:rPr>
                <w:rFonts w:ascii="Arial" w:cs="Arial" w:eastAsia="Arial" w:hAnsi="Arial"/>
                <w:color w:val="1A5C0A"/>
                <w:sz w:val="19"/>
                <w:szCs w:val="19"/>
              </w:rPr>
              <w:t xml:space="preserve">Phase 3 complete: sensitive data is classified, encrypted, and protected wherever it lives. DLP prevents unauthorized sharing. MCAS provides full visibility into cloud app usage and enforces session-level controls for unmanaged device access.</w:t>
            </w:r>
          </w:p>
        </w:tc>
      </w:tr>
    </w:tbl>
    <w:p>
      <w:pPr>
        <w:spacing w:before="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6A1B9A" w:sz="1"/>
              <w:left w:val="single" w:color="6A1B9A" w:sz="1"/>
              <w:bottom w:val="single" w:color="6A1B9A" w:sz="1"/>
              <w:right w:val="single" w:color="6A1B9A" w:sz="1"/>
            </w:tcBorders>
            <w:shd w:fill="6A1B9A" w:val="clear"/>
            <w:tcMar>
              <w:top w:type="dxa" w:w="200"/>
              <w:left w:type="dxa" w:w="80"/>
              <w:bottom w:type="dxa" w:w="200"/>
              <w:right w:type="dxa" w:w="80"/>
            </w:tcMar>
          </w:tcPr>
          <w:p>
            <w:pPr>
              <w:jc w:val="center"/>
            </w:pPr>
            <w:r>
              <w:rPr>
                <w:rFonts w:ascii="Arial" w:cs="Arial" w:eastAsia="Arial" w:hAnsi="Arial"/>
                <w:b/>
                <w:bCs/>
                <w:color w:val="FFFFFF"/>
                <w:sz w:val="32"/>
                <w:szCs w:val="32"/>
              </w:rPr>
              <w:t xml:space="preserve">4</w:t>
            </w:r>
          </w:p>
        </w:tc>
        <w:tc>
          <w:tcPr>
            <w:tcW w:type="dxa" w:w="8800"/>
            <w:tcBorders>
              <w:top w:val="single" w:color="6A1B9A" w:sz="1"/>
              <w:left w:val="single" w:color="6A1B9A" w:sz="1"/>
              <w:bottom w:val="single" w:color="6A1B9A" w:sz="1"/>
              <w:right w:val="single" w:color="6A1B9A" w:sz="1"/>
            </w:tcBorders>
            <w:shd w:fill="0A2543" w:val="clear"/>
            <w:tcMar>
              <w:top w:type="dxa" w:w="160"/>
              <w:left w:type="dxa" w:w="240"/>
              <w:bottom w:type="dxa" w:w="160"/>
              <w:right w:type="dxa" w:w="200"/>
            </w:tcMar>
          </w:tcPr>
          <w:p>
            <w:r>
              <w:rPr>
                <w:rFonts w:ascii="Arial" w:cs="Arial" w:eastAsia="Arial" w:hAnsi="Arial"/>
                <w:b/>
                <w:bCs/>
                <w:color w:val="FFFFFF"/>
                <w:sz w:val="28"/>
                <w:szCs w:val="28"/>
              </w:rPr>
              <w:t xml:space="preserve">Monitoring, Alerting &amp; Continuous Improvement</w:t>
            </w:r>
          </w:p>
          <w:p>
            <w:pPr>
              <w:spacing w:before="40"/>
            </w:pPr>
            <w:r>
              <w:rPr>
                <w:rFonts w:ascii="Arial" w:cs="Arial" w:eastAsia="Arial" w:hAnsi="Arial"/>
                <w:color w:val="8BAFC8"/>
                <w:sz w:val="18"/>
                <w:szCs w:val="18"/>
              </w:rPr>
              <w:t xml:space="preserve">Weeks 13–16  |  See everything, respond automatically, sustain the posture over time</w:t>
            </w:r>
          </w:p>
        </w:tc>
      </w:tr>
    </w:tbl>
    <w:p>
      <w:pPr>
        <w:spacing w:before="60" w:after="0"/>
      </w:pPr>
      <w:r>
        <w:t xml:space="preserve"/>
      </w:r>
    </w:p>
    <w:p>
      <w:pPr>
        <w:spacing w:before="240" w:after="60"/>
      </w:pPr>
      <w:r>
        <w:rPr>
          <w:rFonts w:ascii="Arial" w:cs="Arial" w:eastAsia="Arial" w:hAnsi="Arial"/>
          <w:b/>
          <w:bCs/>
          <w:color w:val="6A1B9A"/>
          <w:sz w:val="27"/>
          <w:szCs w:val="27"/>
        </w:rPr>
        <w:t xml:space="preserve">The Problem This Phase Solves</w:t>
      </w:r>
    </w:p>
    <w:p>
      <w:pPr>
        <w:spacing w:before="60" w:after="60"/>
        <w:jc w:val="both"/>
      </w:pPr>
      <w:r>
        <w:rPr>
          <w:rFonts w:ascii="Arial" w:cs="Arial" w:eastAsia="Arial" w:hAnsi="Arial"/>
          <w:color w:val="0A2543"/>
          <w:sz w:val="20"/>
          <w:szCs w:val="20"/>
        </w:rPr>
        <w:t xml:space="preserve">The first three phases put controls in place. Phase 4 makes sure those controls are working, that you can see when they are being tested, and that you can respond before damage is done. Without this phase you have strong controls but no visibility. You would be secure until you are not, and you would not know which situation you were in.</w:t>
      </w:r>
    </w:p>
    <w:p>
      <w:pPr>
        <w:spacing w:before="40" w:after="0"/>
      </w:pPr>
      <w:r>
        <w:t xml:space="preserve"/>
      </w:r>
    </w:p>
    <w:p>
      <w:pPr>
        <w:spacing w:before="60" w:after="60"/>
        <w:jc w:val="both"/>
      </w:pPr>
      <w:r>
        <w:rPr>
          <w:rFonts w:ascii="Arial" w:cs="Arial" w:eastAsia="Arial" w:hAnsi="Arial"/>
          <w:color w:val="0A2543"/>
          <w:sz w:val="20"/>
          <w:szCs w:val="20"/>
        </w:rPr>
        <w:t xml:space="preserve">Phase 4 connects every signal from the previous three phases into a single monitoring platform — Microsoft Sentinel — and teaches it to recognize the attack patterns most relevant to your environment. It then automates the initial response so that a detected threat is contained in seconds rather than hours.</w:t>
      </w:r>
    </w:p>
    <w:p>
      <w:pPr>
        <w:spacing w:before="60" w:after="0"/>
      </w:pPr>
      <w:r>
        <w:t xml:space="preserve"/>
      </w:r>
    </w:p>
    <w:p>
      <w:pPr>
        <w:spacing w:before="240" w:after="60"/>
      </w:pPr>
      <w:r>
        <w:rPr>
          <w:rFonts w:ascii="Arial" w:cs="Arial" w:eastAsia="Arial" w:hAnsi="Arial"/>
          <w:b/>
          <w:bCs/>
          <w:color w:val="6A1B9A"/>
          <w:sz w:val="27"/>
          <w:szCs w:val="27"/>
        </w:rPr>
        <w:t xml:space="preserve">Week 13 — Deploy Microsoft 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6A1B9A" w:sz="1"/>
              <w:left w:val="single" w:color="6A1B9A" w:sz="1"/>
              <w:bottom w:val="single" w:color="6A1B9A" w:sz="1"/>
              <w:right w:val="single" w:color="6A1B9A" w:sz="1"/>
            </w:tcBorders>
            <w:shd w:fill="6A1B9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13</w:t>
            </w:r>
          </w:p>
        </w:tc>
        <w:tc>
          <w:tcPr>
            <w:tcW w:type="dxa" w:w="8360"/>
            <w:tcBorders>
              <w:top w:val="single" w:color="6A1B9A" w:sz="1"/>
              <w:left w:val="single" w:color="6A1B9A" w:sz="1"/>
              <w:bottom w:val="single" w:color="6A1B9A" w:sz="1"/>
              <w:right w:val="single" w:color="6A1B9A" w:sz="1"/>
            </w:tcBorders>
            <w:shd w:fill="F5EEF8"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Create the Microsoft Sentinel workspace in Azure. Configure the Log Analytics data retention period — 90 days is the minimum for meaningful threat hunting; 180 days is recommended for compliance and incident investigation purposes.</w:t>
            </w:r>
          </w:p>
          <w:p>
            <w:pPr>
              <w:spacing w:before="30" w:after="30"/>
              <w:jc w:val="both"/>
            </w:pPr>
            <w:r>
              <w:rPr>
                <w:rFonts w:ascii="Arial" w:cs="Arial" w:eastAsia="Arial" w:hAnsi="Arial"/>
                <w:color w:val="0A2543"/>
                <w:sz w:val="19"/>
                <w:szCs w:val="19"/>
              </w:rPr>
              <w:t xml:space="preserve">Connect the M365 Defender data connector — this brings in all alerts, incidents, and raw events from Defender for Endpoint, Defender for Office 365, and Defender for Identity.</w:t>
            </w:r>
          </w:p>
          <w:p>
            <w:pPr>
              <w:spacing w:before="30" w:after="30"/>
              <w:jc w:val="both"/>
            </w:pPr>
            <w:r>
              <w:rPr>
                <w:rFonts w:ascii="Arial" w:cs="Arial" w:eastAsia="Arial" w:hAnsi="Arial"/>
                <w:color w:val="0A2543"/>
                <w:sz w:val="19"/>
                <w:szCs w:val="19"/>
              </w:rPr>
              <w:t xml:space="preserve">Connect the Entra ID data connector — this brings in sign-in logs and audit logs. Sign-in logs are the most valuable source for identity threat detection: every authentication attempt, every CA policy decision, every MFA challenge and result.</w:t>
            </w:r>
          </w:p>
          <w:p>
            <w:pPr>
              <w:spacing w:before="30" w:after="30"/>
              <w:jc w:val="both"/>
            </w:pPr>
            <w:r>
              <w:rPr>
                <w:rFonts w:ascii="Arial" w:cs="Arial" w:eastAsia="Arial" w:hAnsi="Arial"/>
                <w:color w:val="0A2543"/>
                <w:sz w:val="19"/>
                <w:szCs w:val="19"/>
              </w:rPr>
              <w:t xml:space="preserve">Connect the Microsoft Defender for Cloud Apps connector, the Intune connector, and the Azure Activity connector. Every data source from the previous three phases now flows into a single place.</w:t>
            </w:r>
          </w:p>
          <w:p>
            <w:pPr>
              <w:spacing w:before="30" w:after="30"/>
              <w:jc w:val="both"/>
            </w:pPr>
            <w:r>
              <w:rPr>
                <w:rFonts w:ascii="Arial" w:cs="Arial" w:eastAsia="Arial" w:hAnsi="Arial"/>
                <w:color w:val="0A2543"/>
                <w:sz w:val="19"/>
                <w:szCs w:val="19"/>
              </w:rPr>
              <w:t xml:space="preserve">For MSP multi-tenant environments managed through Azure Lighthouse: configure cross-workspace queries so that your central Sentinel instance can query client workspaces, or configure client data to flow into a centralized workspace with table-level RBAC separating each client's data.</w:t>
            </w:r>
          </w:p>
        </w:tc>
      </w:tr>
    </w:tbl>
    <w:p>
      <w:pPr>
        <w:spacing w:before="60" w:after="0"/>
      </w:pPr>
      <w:r>
        <w:t xml:space="preserve"/>
      </w:r>
    </w:p>
    <w:p>
      <w:pPr>
        <w:spacing w:before="240" w:after="60"/>
      </w:pPr>
      <w:r>
        <w:rPr>
          <w:rFonts w:ascii="Arial" w:cs="Arial" w:eastAsia="Arial" w:hAnsi="Arial"/>
          <w:b/>
          <w:bCs/>
          <w:color w:val="6A1B9A"/>
          <w:sz w:val="27"/>
          <w:szCs w:val="27"/>
        </w:rPr>
        <w:t xml:space="preserve">Week 14 — Analytics Rules &amp; Threat Detection</w:t>
      </w:r>
    </w:p>
    <w:p>
      <w:pPr>
        <w:spacing w:before="60" w:after="60"/>
        <w:jc w:val="both"/>
      </w:pPr>
      <w:r>
        <w:rPr>
          <w:rFonts w:ascii="Arial" w:cs="Arial" w:eastAsia="Arial" w:hAnsi="Arial"/>
          <w:color w:val="0A2543"/>
          <w:sz w:val="20"/>
          <w:szCs w:val="20"/>
        </w:rPr>
        <w:t xml:space="preserve">Analytics rules are Sentinel's intelligence — they continuously query the incoming data and generate incidents when patterns match known attack techniques. Without analytics rules, Sentinel is just a very expensive log storage system.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6A1B9A" w:sz="1"/>
              <w:left w:val="single" w:color="6A1B9A" w:sz="1"/>
              <w:bottom w:val="single" w:color="6A1B9A" w:sz="1"/>
              <w:right w:val="single" w:color="6A1B9A" w:sz="1"/>
            </w:tcBorders>
            <w:shd w:fill="6A1B9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14</w:t>
            </w:r>
          </w:p>
        </w:tc>
        <w:tc>
          <w:tcPr>
            <w:tcW w:type="dxa" w:w="8360"/>
            <w:tcBorders>
              <w:top w:val="single" w:color="6A1B9A" w:sz="1"/>
              <w:left w:val="single" w:color="6A1B9A" w:sz="1"/>
              <w:bottom w:val="single" w:color="6A1B9A" w:sz="1"/>
              <w:right w:val="single" w:color="6A1B9A" w:sz="1"/>
            </w:tcBorders>
            <w:shd w:fill="F5EEF8"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Enable the Entra ID Protection analytics rule pack. This converts Identity Protection risk detections — the same signals that drive CA004 and CA005 — into Sentinel incidents, giving analysts a full investigation interface with timeline, related events, and recommended actions.</w:t>
            </w:r>
          </w:p>
          <w:p>
            <w:pPr>
              <w:spacing w:before="30" w:after="30"/>
              <w:jc w:val="both"/>
            </w:pPr>
            <w:r>
              <w:rPr>
                <w:rFonts w:ascii="Arial" w:cs="Arial" w:eastAsia="Arial" w:hAnsi="Arial"/>
                <w:color w:val="0A2543"/>
                <w:sz w:val="19"/>
                <w:szCs w:val="19"/>
              </w:rPr>
              <w:t xml:space="preserve">Enable UEBA (User and Entity Behavior Analytics). UEBA builds a behavioral baseline for each user over time — typical sign-in hours, typical locations, typical application usage, typical data access volume. Deviations from this baseline generate a peer comparison score that surfaces in investigations and adds context to alerts.</w:t>
            </w:r>
          </w:p>
          <w:p>
            <w:pPr>
              <w:spacing w:before="30" w:after="30"/>
              <w:jc w:val="both"/>
            </w:pPr>
            <w:r>
              <w:rPr>
                <w:rFonts w:ascii="Arial" w:cs="Arial" w:eastAsia="Arial" w:hAnsi="Arial"/>
                <w:color w:val="0A2543"/>
                <w:sz w:val="19"/>
                <w:szCs w:val="19"/>
              </w:rPr>
              <w:t xml:space="preserve">Deploy custom analytics rules for the scenarios most relevant to your environment. Impossible travel: a user signs in from London and then Sydney within two hours — physically impossible, almost certainly credential theft. MFA fatigue: more than five MFA push notifications sent to a single user within ten minutes — an attacker hammering push notifications hoping the user approves out of frustration. Bulk download: a user downloads more than one hundred files from SharePoint within thirty minutes outside business hours. New privileged role assignment outside of PIM: any GA or other privileged role added directly without going through the PIM approval workflow.</w:t>
            </w:r>
          </w:p>
          <w:p>
            <w:pPr>
              <w:spacing w:before="30" w:after="30"/>
              <w:jc w:val="both"/>
            </w:pPr>
            <w:r>
              <w:rPr>
                <w:rFonts w:ascii="Arial" w:cs="Arial" w:eastAsia="Arial" w:hAnsi="Arial"/>
                <w:color w:val="0A2543"/>
                <w:sz w:val="19"/>
                <w:szCs w:val="19"/>
              </w:rPr>
              <w:t xml:space="preserve">Review all analytics rules in test mode before activating. Confirm they generate incidents on known-good test data before they start generating alerts on production traffic.</w:t>
            </w:r>
          </w:p>
        </w:tc>
      </w:tr>
    </w:tbl>
    <w:p>
      <w:pPr>
        <w:spacing w:before="60" w:after="0"/>
      </w:pPr>
      <w:r>
        <w:t xml:space="preserve"/>
      </w:r>
    </w:p>
    <w:p>
      <w:pPr>
        <w:spacing w:before="240" w:after="60"/>
      </w:pPr>
      <w:r>
        <w:rPr>
          <w:rFonts w:ascii="Arial" w:cs="Arial" w:eastAsia="Arial" w:hAnsi="Arial"/>
          <w:b/>
          <w:bCs/>
          <w:color w:val="6A1B9A"/>
          <w:sz w:val="27"/>
          <w:szCs w:val="27"/>
        </w:rPr>
        <w:t xml:space="preserve">Week 15 — Automation, Playbooks &amp; CA010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6A1B9A" w:sz="1"/>
              <w:left w:val="single" w:color="6A1B9A" w:sz="1"/>
              <w:bottom w:val="single" w:color="6A1B9A" w:sz="1"/>
              <w:right w:val="single" w:color="6A1B9A" w:sz="1"/>
            </w:tcBorders>
            <w:shd w:fill="6A1B9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15</w:t>
            </w:r>
          </w:p>
        </w:tc>
        <w:tc>
          <w:tcPr>
            <w:tcW w:type="dxa" w:w="8360"/>
            <w:tcBorders>
              <w:top w:val="single" w:color="6A1B9A" w:sz="1"/>
              <w:left w:val="single" w:color="6A1B9A" w:sz="1"/>
              <w:bottom w:val="single" w:color="6A1B9A" w:sz="1"/>
              <w:right w:val="single" w:color="6A1B9A" w:sz="1"/>
            </w:tcBorders>
            <w:shd w:fill="F5EEF8"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Build the auto-disable playbook. When Sentinel generates a High severity identity incident — compromised account, impossible travel, confirmed credential theft — a Logic App automatically disables the user account in Entra ID and notifies the security team. This response happens in seconds. Without automation the attacker has the window between the alert and the analyst noticing it, which in practice can be hours.</w:t>
            </w:r>
          </w:p>
          <w:p>
            <w:pPr>
              <w:spacing w:before="30" w:after="30"/>
              <w:jc w:val="both"/>
            </w:pPr>
            <w:r>
              <w:rPr>
                <w:rFonts w:ascii="Arial" w:cs="Arial" w:eastAsia="Arial" w:hAnsi="Arial"/>
                <w:color w:val="0A2543"/>
                <w:sz w:val="19"/>
                <w:szCs w:val="19"/>
              </w:rPr>
              <w:t xml:space="preserve">Build the risky user notification playbook. For Medium severity incidents where automatic disablement is too aggressive, the playbook sends the user a notification via email and Teams, requires them to re-authenticate, and flags their account for analyst review.</w:t>
            </w:r>
          </w:p>
          <w:p>
            <w:pPr>
              <w:spacing w:before="30" w:after="30"/>
              <w:jc w:val="both"/>
            </w:pPr>
            <w:r>
              <w:rPr>
                <w:rFonts w:ascii="Arial" w:cs="Arial" w:eastAsia="Arial" w:hAnsi="Arial"/>
                <w:color w:val="0A2543"/>
                <w:sz w:val="19"/>
                <w:szCs w:val="19"/>
              </w:rPr>
              <w:t xml:space="preserve">Enable CA010 — the final CA policy in the stack. By this point the MCAS session policy has been running in observation mode since Week 12. You have confirmed it correctly identifies unmanaged device browser sessions. Enable CA010 via Phase4-Deploy-Enable-CA010-MCASSessionControls.ps1. From this point, users accessing M365 from unmanaged devices in a browser can view content but cannot download, print, or export files.</w:t>
            </w:r>
          </w:p>
          <w:p>
            <w:pPr>
              <w:spacing w:before="30" w:after="30"/>
              <w:jc w:val="both"/>
            </w:pPr>
            <w:r>
              <w:rPr>
                <w:rFonts w:ascii="Arial" w:cs="Arial" w:eastAsia="Arial" w:hAnsi="Arial"/>
                <w:color w:val="0A2543"/>
                <w:sz w:val="19"/>
                <w:szCs w:val="19"/>
              </w:rPr>
              <w:t xml:space="preserve">With CA010 enabled, all ten Conditional Access policies are now active across the tenant.</w:t>
            </w:r>
          </w:p>
          <w:p>
            <w:pPr>
              <w:spacing w:before="30" w:after="30"/>
              <w:jc w:val="both"/>
            </w:pPr>
            <w:r>
              <w:rPr>
                <w:rFonts w:ascii="Arial" w:cs="Arial" w:eastAsia="Arial" w:hAnsi="Arial"/>
                <w:color w:val="0A2543"/>
                <w:sz w:val="19"/>
                <w:szCs w:val="19"/>
              </w:rPr>
              <w:t xml:space="preserve">Establish the monthly Secure Score review cadence. Assign ownership of remaining recommendations — some will be owned by IT, some may require management approval. Document the current score as the baseline.</w:t>
            </w:r>
          </w:p>
        </w:tc>
      </w:tr>
    </w:tbl>
    <w:p>
      <w:pPr>
        <w:spacing w:before="60" w:after="0"/>
      </w:pPr>
      <w:r>
        <w:t xml:space="preserve"/>
      </w:r>
    </w:p>
    <w:p>
      <w:pPr>
        <w:spacing w:before="240" w:after="60"/>
      </w:pPr>
      <w:r>
        <w:rPr>
          <w:rFonts w:ascii="Arial" w:cs="Arial" w:eastAsia="Arial" w:hAnsi="Arial"/>
          <w:b/>
          <w:bCs/>
          <w:color w:val="6A1B9A"/>
          <w:sz w:val="27"/>
          <w:szCs w:val="27"/>
        </w:rPr>
        <w:t xml:space="preserve">Week 16 — Close, Review &amp; Ongoing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6A1B9A" w:sz="1"/>
              <w:left w:val="single" w:color="6A1B9A" w:sz="1"/>
              <w:bottom w:val="single" w:color="6A1B9A" w:sz="1"/>
              <w:right w:val="single" w:color="6A1B9A" w:sz="1"/>
            </w:tcBorders>
            <w:shd w:fill="6A1B9A"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Week 16</w:t>
            </w:r>
          </w:p>
        </w:tc>
        <w:tc>
          <w:tcPr>
            <w:tcW w:type="dxa" w:w="8360"/>
            <w:tcBorders>
              <w:top w:val="single" w:color="6A1B9A" w:sz="1"/>
              <w:left w:val="single" w:color="6A1B9A" w:sz="1"/>
              <w:bottom w:val="single" w:color="6A1B9A" w:sz="1"/>
              <w:right w:val="single" w:color="6A1B9A" w:sz="1"/>
            </w:tcBorders>
            <w:shd w:fill="F5EEF8" w:val="clear"/>
            <w:tcMar>
              <w:top w:type="dxa" w:w="120"/>
              <w:left w:type="dxa" w:w="200"/>
              <w:bottom w:type="dxa" w:w="120"/>
              <w:right w:type="dxa" w:w="160"/>
            </w:tcMar>
          </w:tcPr>
          <w:p>
            <w:pPr>
              <w:spacing w:before="30" w:after="30"/>
              <w:jc w:val="both"/>
            </w:pPr>
            <w:r>
              <w:rPr>
                <w:rFonts w:ascii="Arial" w:cs="Arial" w:eastAsia="Arial" w:hAnsi="Arial"/>
                <w:color w:val="0A2543"/>
                <w:sz w:val="19"/>
                <w:szCs w:val="19"/>
              </w:rPr>
              <w:t xml:space="preserve">Run the first Entra ID Access Review for all privileged roles. Every PIM-eligible assignment is surfaced and must be certified as still needed or removed. This is the governance mechanism that prevents role sprawl over time — the slow accumulation of admin access that nobody is actively using.</w:t>
            </w:r>
          </w:p>
          <w:p>
            <w:pPr>
              <w:spacing w:before="30" w:after="30"/>
              <w:jc w:val="both"/>
            </w:pPr>
            <w:r>
              <w:rPr>
                <w:rFonts w:ascii="Arial" w:cs="Arial" w:eastAsia="Arial" w:hAnsi="Arial"/>
                <w:color w:val="0A2543"/>
                <w:sz w:val="19"/>
                <w:szCs w:val="19"/>
              </w:rPr>
              <w:t xml:space="preserve">Conduct a tabletop exercise. Walk through a Business Email Compromise scenario from start to finish as a team: attacker sends phishing email, user clicks, credential is captured, attacker attempts sign-in. At each step, trace exactly what your controls would have done. Would CA001 have blocked the sign-in attempt? Would CA004 have flagged the risky sign-in? Would Sentinel have generated an incident? Would the playbook have disabled the account? Identify any gaps.</w:t>
            </w:r>
          </w:p>
          <w:p>
            <w:pPr>
              <w:spacing w:before="30" w:after="30"/>
              <w:jc w:val="both"/>
            </w:pPr>
            <w:r>
              <w:rPr>
                <w:rFonts w:ascii="Arial" w:cs="Arial" w:eastAsia="Arial" w:hAnsi="Arial"/>
                <w:color w:val="0A2543"/>
                <w:sz w:val="19"/>
                <w:szCs w:val="19"/>
              </w:rPr>
              <w:t xml:space="preserve">Document IR runbooks for the three most likely scenarios in an M365 environment: compromised user account (who does what, in what order, to contain and recover), data exfiltration event (how to identify scope, preserve evidence, notify stakeholders), and ransomware delivered via M365 (isolation procedures, backup verification, communication plan).</w:t>
            </w:r>
          </w:p>
          <w:p>
            <w:pPr>
              <w:spacing w:before="30" w:after="30"/>
              <w:jc w:val="both"/>
            </w:pPr>
            <w:r>
              <w:rPr>
                <w:rFonts w:ascii="Arial" w:cs="Arial" w:eastAsia="Arial" w:hAnsi="Arial"/>
                <w:color w:val="0A2543"/>
                <w:sz w:val="19"/>
                <w:szCs w:val="19"/>
              </w:rPr>
              <w:t xml:space="preserve">Pull the final Secure Score from both Entra ID and Microsoft Defender. Document the score, compare to the pre-implementation baseline, and publish the improvement to stakeholders. This is the measurable output of the 16-week effort.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C559" w:sz="1"/>
              <w:left w:val="single" w:color="7AC559" w:sz="18"/>
              <w:bottom w:val="single" w:color="7AC559" w:sz="1"/>
              <w:right w:val="single" w:color="7AC559" w:sz="1"/>
            </w:tcBorders>
            <w:shd w:fill="EBF9E8" w:val="clear"/>
            <w:tcMar>
              <w:top w:type="dxa" w:w="140"/>
              <w:left w:type="dxa" w:w="240"/>
              <w:bottom w:type="dxa" w:w="140"/>
              <w:right w:type="dxa" w:w="200"/>
            </w:tcMar>
          </w:tcPr>
          <w:p>
            <w:pPr>
              <w:jc w:val="both"/>
            </w:pPr>
            <w:r>
              <w:rPr>
                <w:rFonts w:ascii="Arial" w:cs="Arial" w:eastAsia="Arial" w:hAnsi="Arial"/>
                <w:color w:val="1A5C0A"/>
                <w:sz w:val="19"/>
                <w:szCs w:val="19"/>
              </w:rPr>
              <w:t xml:space="preserve">Phase 4 complete: all ten CA policies are active, Sentinel is receiving signals from every layer of the stack, automated responses are containing threats without human delay, and the organization has a documented, repeatable process for ongoing security improvement.</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What Ties It All Together</w:t>
      </w:r>
    </w:p>
    <w:p>
      <w:pPr>
        <w:spacing w:before="40" w:after="0"/>
      </w:pPr>
      <w:r>
        <w:t xml:space="preserve"/>
      </w:r>
    </w:p>
    <w:p>
      <w:pPr>
        <w:spacing w:before="60" w:after="60"/>
        <w:jc w:val="both"/>
      </w:pPr>
      <w:r>
        <w:rPr>
          <w:rFonts w:ascii="Arial" w:cs="Arial" w:eastAsia="Arial" w:hAnsi="Arial"/>
          <w:color w:val="0A2543"/>
          <w:sz w:val="20"/>
          <w:szCs w:val="20"/>
        </w:rPr>
        <w:t xml:space="preserve">Each phase has a dependency on the one before it, and that dependency is not arbitrary — it reflects the actual attack chain that a threat actor follows when targeting an M365 environment.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Phase</w:t>
            </w:r>
          </w:p>
        </w:tc>
        <w:tc>
          <w:tcPr>
            <w:tcW w:type="dxa" w:w="39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If skipped, the gap is...</w:t>
            </w:r>
          </w:p>
        </w:tc>
        <w:tc>
          <w:tcPr>
            <w:tcW w:type="dxa" w:w="39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What an attacker exploits</w:t>
            </w:r>
          </w:p>
        </w:tc>
      </w:tr>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Phase 1
Identity</w:t>
            </w:r>
          </w:p>
        </w:tc>
        <w:tc>
          <w:tcPr>
            <w:tcW w:type="dxa" w:w="39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Users have no MFA. Passwords are the only credential.</w:t>
            </w:r>
          </w:p>
        </w:tc>
        <w:tc>
          <w:tcPr>
            <w:tcW w:type="dxa" w:w="39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Credential stuffing, password spray, phishing. Standard automated attacks work against every account.</w:t>
            </w:r>
          </w:p>
        </w:tc>
      </w:tr>
      <w:tr>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Phase 2
Device</w:t>
            </w:r>
          </w:p>
        </w:tc>
        <w:tc>
          <w:tcPr>
            <w:tcW w:type="dxa" w:w="39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MFA exists but device health is unverified.</w:t>
            </w:r>
          </w:p>
        </w:tc>
        <w:tc>
          <w:tcPr>
            <w:tcW w:type="dxa" w:w="39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Infostealer malware on an unmanaged endpoint captures session tokens. Attacker replays them from a clean machine, bypassing MFA entirely.</w:t>
            </w:r>
          </w:p>
        </w:tc>
      </w:tr>
      <w:tr>
        <w:tc>
          <w:tcPr>
            <w:tcW w:type="dxa" w:w="1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Phase 3
Data</w:t>
            </w:r>
          </w:p>
        </w:tc>
        <w:tc>
          <w:tcPr>
            <w:tcW w:type="dxa" w:w="39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Access is controlled but data has no protection of its own.</w:t>
            </w:r>
          </w:p>
        </w:tc>
        <w:tc>
          <w:tcPr>
            <w:tcW w:type="dxa" w:w="39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Authorized user downloads sensitive files to personal storage, forwards to personal email, or exfiltrates before leaving. Controls stop outsiders but not insiders.</w:t>
            </w:r>
          </w:p>
        </w:tc>
      </w:tr>
      <w:tr>
        <w:tc>
          <w:tcPr>
            <w:tcW w:type="dxa" w:w="1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Phase 4
Monitoring</w:t>
            </w:r>
          </w:p>
        </w:tc>
        <w:tc>
          <w:tcPr>
            <w:tcW w:type="dxa" w:w="39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Controls are in place but there is no visibility into whether they are working.</w:t>
            </w:r>
          </w:p>
        </w:tc>
        <w:tc>
          <w:tcPr>
            <w:tcW w:type="dxa" w:w="39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Slow-burn attack over weeks goes undetected. Policy misconfiguration creates an unnoticed gap. Breach discovered only after significant damage.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8"/>
              <w:bottom w:val="single" w:color="2AA7DF" w:sz="1"/>
              <w:right w:val="single" w:color="2AA7DF" w:sz="1"/>
            </w:tcBorders>
            <w:shd w:fill="EBF6FD" w:val="clear"/>
            <w:tcMar>
              <w:top w:type="dxa" w:w="140"/>
              <w:left w:type="dxa" w:w="240"/>
              <w:bottom w:type="dxa" w:w="140"/>
              <w:right w:type="dxa" w:w="200"/>
            </w:tcMar>
          </w:tcPr>
          <w:p>
            <w:pPr>
              <w:jc w:val="both"/>
            </w:pPr>
            <w:r>
              <w:rPr>
                <w:rFonts w:ascii="Arial" w:cs="Arial" w:eastAsia="Arial" w:hAnsi="Arial"/>
                <w:color w:val="0D3060"/>
                <w:sz w:val="19"/>
                <w:szCs w:val="19"/>
              </w:rPr>
              <w:t xml:space="preserve">The implementation is designed to be run in sequence, but each phase also delivers independent value. If resource constraints require prioritization, Phase 1 delivers the greatest risk reduction per hour invested. Phases 2, 3, and 4 each address a progressively more sophisticated attacker who has already been stopped at the previous layer.</w:t>
            </w:r>
          </w:p>
        </w:tc>
      </w:tr>
    </w:tbl>
    <w:p>
      <w:pPr>
        <w:spacing w:before="80" w:after="0"/>
      </w:pPr>
      <w:r>
        <w:t xml:space="preserve"/>
      </w:r>
    </w:p>
    <w:p>
      <w:pPr>
        <w:pBdr>
          <w:bottom w:val="single" w:color="5BBF46" w:sz="8" w:space="4"/>
        </w:pBdr>
        <w:spacing w:before="320" w:after="80"/>
      </w:pPr>
      <w:r>
        <w:rPr>
          <w:rFonts w:ascii="Arial" w:cs="Arial" w:eastAsia="Arial" w:hAnsi="Arial"/>
          <w:b/>
          <w:bCs/>
          <w:color w:val="0A2543"/>
          <w:sz w:val="38"/>
          <w:szCs w:val="38"/>
        </w:rPr>
        <w:t xml:space="preserve">Ongoing Management After Week 16</w:t>
      </w:r>
    </w:p>
    <w:p>
      <w:pPr>
        <w:spacing w:before="40" w:after="0"/>
      </w:pPr>
      <w:r>
        <w:t xml:space="preserve"/>
      </w:r>
    </w:p>
    <w:p>
      <w:pPr>
        <w:spacing w:before="60" w:after="60"/>
        <w:jc w:val="both"/>
      </w:pPr>
      <w:r>
        <w:rPr>
          <w:rFonts w:ascii="Arial" w:cs="Arial" w:eastAsia="Arial" w:hAnsi="Arial"/>
          <w:color w:val="0A2543"/>
          <w:sz w:val="20"/>
          <w:szCs w:val="20"/>
        </w:rPr>
        <w:t xml:space="preserve">Zero Trust is not a project with an end date — it is a security posture that requires ongoing attention. The following cadence should be established as part of normal IT operations after the implementation is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Frequency</w:t>
            </w:r>
          </w:p>
        </w:tc>
        <w:tc>
          <w:tcPr>
            <w:tcW w:type="dxa" w:w="55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Activity</w:t>
            </w:r>
          </w:p>
        </w:tc>
        <w:tc>
          <w:tcPr>
            <w:tcW w:type="dxa" w:w="24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Owner</w:t>
            </w:r>
          </w:p>
        </w:tc>
      </w:tr>
      <w:tr>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Weekly</w:t>
            </w:r>
          </w:p>
        </w:tc>
        <w:tc>
          <w:tcPr>
            <w:tcW w:type="dxa" w:w="5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Review Entra ID Protection risky users and sign-in risk alerts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Weekly</w:t>
            </w:r>
          </w:p>
        </w:tc>
        <w:tc>
          <w:tcPr>
            <w:tcW w:type="dxa" w:w="5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Review Secure Score delta — action any newly surfaced recommendations</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Monthly</w:t>
            </w:r>
          </w:p>
        </w:tc>
        <w:tc>
          <w:tcPr>
            <w:tcW w:type="dxa" w:w="5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Privileged role access review via Entra ID Access Reviews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 + Management</w:t>
            </w:r>
          </w:p>
        </w:tc>
      </w:tr>
      <w:tr>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Monthly</w:t>
            </w:r>
          </w:p>
        </w:tc>
        <w:tc>
          <w:tcPr>
            <w:tcW w:type="dxa" w:w="5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Review CA policy change log — confirm no unauthorized modifications</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Monthly</w:t>
            </w:r>
          </w:p>
        </w:tc>
        <w:tc>
          <w:tcPr>
            <w:tcW w:type="dxa" w:w="5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Review MCAS activity log for anomalous session events and shadow IT changes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Quarterly</w:t>
            </w:r>
          </w:p>
        </w:tc>
        <w:tc>
          <w:tcPr>
            <w:tcW w:type="dxa" w:w="5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Full CA policy audit — validate all policies match documented intent</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Quarterly</w:t>
            </w:r>
          </w:p>
        </w:tc>
        <w:tc>
          <w:tcPr>
            <w:tcW w:type="dxa" w:w="5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DLP policy review — tune false positives, add new sensitive data types as needed</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Quarterly</w:t>
            </w:r>
          </w:p>
        </w:tc>
        <w:tc>
          <w:tcPr>
            <w:tcW w:type="dxa" w:w="5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Tabletop exercise or red team exercise</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 + External</w:t>
            </w:r>
          </w:p>
        </w:tc>
      </w:tr>
      <w:tr>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Quarterly</w:t>
            </w:r>
          </w:p>
        </w:tc>
        <w:tc>
          <w:tcPr>
            <w:tcW w:type="dxa" w:w="5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Test both break-glass accounts — confirm authentication still works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Annually</w:t>
            </w:r>
          </w:p>
        </w:tc>
        <w:tc>
          <w:tcPr>
            <w:tcW w:type="dxa" w:w="55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Full Zero Trust maturity assessment against Microsoft ZT framework</w:t>
            </w:r>
          </w:p>
        </w:tc>
        <w:tc>
          <w:tcPr>
            <w:tcW w:type="dxa" w:w="24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w:t>
            </w:r>
          </w:p>
        </w:tc>
      </w:tr>
      <w:tr>
        <w:tc>
          <w:tcPr>
            <w:tcW w:type="dxa" w:w="1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bCs/>
                <w:color w:val="0A2543"/>
                <w:sz w:val="19"/>
                <w:szCs w:val="19"/>
              </w:rPr>
              <w:t xml:space="preserve">Annually</w:t>
            </w:r>
          </w:p>
        </w:tc>
        <w:tc>
          <w:tcPr>
            <w:tcW w:type="dxa" w:w="55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Review and update IR runbooks</w:t>
            </w:r>
          </w:p>
        </w:tc>
        <w:tc>
          <w:tcPr>
            <w:tcW w:type="dxa" w:w="24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both"/>
            </w:pPr>
            <w:r>
              <w:rPr>
                <w:rFonts w:ascii="Arial" w:cs="Arial" w:eastAsia="Arial" w:hAnsi="Arial"/>
                <w:b w:val="false"/>
                <w:bCs w:val="false"/>
                <w:color w:val="0A2543"/>
                <w:sz w:val="19"/>
                <w:szCs w:val="19"/>
              </w:rPr>
              <w:t xml:space="preserve">IT Admin + Management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both"/>
            </w:pPr>
            <w:r>
              <w:rPr>
                <w:rFonts w:ascii="Arial" w:cs="Arial" w:eastAsia="Arial" w:hAnsi="Arial"/>
                <w:color w:val="6B4200"/>
                <w:sz w:val="19"/>
                <w:szCs w:val="19"/>
              </w:rPr>
              <w:t xml:space="preserve">The break-glass accounts vers_azbtg01@versetalinfo.onmicrosoft.com and vers_azbtg02@versetalinfo.onmicrosoft.com must be tested quarterly. A break-glass account that cannot authenticate provides no protection during a lockout event. Add this test to the quarterly calendar as a non-negotiable item.</w:t>
            </w:r>
          </w:p>
        </w:tc>
      </w:tr>
    </w:tbl>
    <w:sectPr>
      <w:headerReference w:type="default" r:id="rId6"/>
      <w:footerReference w:type="default" r:id="rId7"/>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5BBF46" w:sz="4" w:space="2"/>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888888"/>
              <w:sz w:val="16"/>
              <w:szCs w:val="16"/>
            </w:rPr>
            <w:t xml:space="preserve">Versetal | Confidential</w:t>
          </w:r>
        </w:p>
      </w:tc>
      <w:tc>
        <w:tcPr>
          <w:tcW w:type="dxa" w:w="3120"/>
          <w:tcBorders>
            <w:top w:val="single" w:color="5BBF46" w:sz="4" w:space="2"/>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2543" w:val="clear"/>
          <w:tcMar>
            <w:top w:type="dxa" w:w="80"/>
            <w:left w:type="dxa" w:w="160"/>
            <w:bottom w:type="dxa" w:w="80"/>
            <w:right w:type="dxa" w:w="80"/>
          </w:tcMar>
        </w:tcPr>
        <w:p>
          <w:r>
            <w:rPr>
              <w:rFonts w:ascii="Arial" w:cs="Arial" w:eastAsia="Arial" w:hAnsi="Arial"/>
              <w:b/>
              <w:bCs/>
              <w:color w:val="5BBF46"/>
              <w:sz w:val="18"/>
              <w:szCs w:val="18"/>
            </w:rPr>
            <w:t xml:space="preserve">VERSETAL</w:t>
          </w:r>
        </w:p>
      </w:tc>
      <w:tc>
        <w:tcPr>
          <w:tcW w:type="dxa" w:w="4680"/>
          <w:tcBorders>
            <w:top w:val="none" w:color="FFFFFF" w:sz="0"/>
            <w:left w:val="none" w:color="FFFFFF" w:sz="0"/>
            <w:bottom w:val="none" w:color="FFFFFF" w:sz="0"/>
            <w:right w:val="none" w:color="FFFFFF" w:sz="0"/>
          </w:tcBorders>
          <w:shd w:fill="0A2543" w:val="clear"/>
          <w:tcMar>
            <w:top w:type="dxa" w:w="80"/>
            <w:left w:type="dxa" w:w="80"/>
            <w:bottom w:type="dxa" w:w="80"/>
            <w:right w:type="dxa" w:w="160"/>
          </w:tcMar>
        </w:tcPr>
        <w:p>
          <w:pPr>
            <w:jc w:val="right"/>
          </w:pPr>
          <w:r>
            <w:rPr>
              <w:rFonts w:ascii="Arial" w:cs="Arial" w:eastAsia="Arial" w:hAnsi="Arial"/>
              <w:color w:val="8BAFC8"/>
              <w:sz w:val="16"/>
              <w:szCs w:val="16"/>
            </w:rPr>
            <w:t xml:space="preserve">M365 Zero Trust  |  Phase Implementation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2026-03-25T19:59:06.523Z</dcterms:created>
  <dcterms:modified xsi:type="dcterms:W3CDTF">2026-03-25T19:59:06.523Z</dcterms:modified>
</cp:coreProperties>
</file>

<file path=docProps/custom.xml><?xml version="1.0" encoding="utf-8"?>
<Properties xmlns="http://schemas.openxmlformats.org/officeDocument/2006/custom-properties" xmlns:vt="http://schemas.openxmlformats.org/officeDocument/2006/docPropsVTypes"/>
</file>