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3" w:val="clear"/>
            <w:tcMar>
              <w:top w:type="dxa" w:w="480"/>
              <w:left w:type="dxa" w:w="400"/>
              <w:bottom w:type="dxa" w:w="480"/>
              <w:right w:type="dxa" w:w="400"/>
            </w:tcMar>
          </w:tcPr>
          <w:p>
            <w:pPr>
              <w:jc w:val="left"/>
            </w:pPr>
            <w:r>
              <w:rPr>
                <w:rFonts w:ascii="Arial" w:cs="Arial" w:eastAsia="Arial" w:hAnsi="Arial"/>
                <w:b/>
                <w:bCs/>
                <w:color w:val="FFFFFF"/>
                <w:sz w:val="72"/>
                <w:szCs w:val="72"/>
              </w:rPr>
              <w:t xml:space="preserve">Microsoft 365</w:t>
            </w:r>
          </w:p>
          <w:p>
            <w:pPr>
              <w:spacing w:before="40"/>
              <w:jc w:val="left"/>
            </w:pPr>
            <w:r>
              <w:rPr>
                <w:rFonts w:ascii="Arial" w:cs="Arial" w:eastAsia="Arial" w:hAnsi="Arial"/>
                <w:b/>
                <w:bCs/>
                <w:color w:val="5BBF46"/>
                <w:sz w:val="52"/>
                <w:szCs w:val="52"/>
              </w:rPr>
              <w:t xml:space="preserve">Zero Trust Implementation</w:t>
            </w:r>
          </w:p>
          <w:p>
            <w:pPr>
              <w:spacing w:before="80"/>
              <w:jc w:val="left"/>
            </w:pPr>
            <w:r>
              <w:rPr>
                <w:rFonts w:ascii="Arial" w:cs="Arial" w:eastAsia="Arial" w:hAnsi="Arial"/>
                <w:color w:val="8BAFC8"/>
                <w:sz w:val="26"/>
                <w:szCs w:val="26"/>
              </w:rPr>
              <w:t xml:space="preserve">Project Plan &amp; Technical Reference</w:t>
            </w:r>
          </w:p>
          <w:p>
            <w:pPr>
              <w:spacing w:before="80" w:after="0"/>
            </w:pPr>
            <w:r>
              <w:t xml:space="preserve"/>
            </w:r>
          </w:p>
          <w:p>
            <w:pPr>
              <w:pBdr>
                <w:bottom w:val="single" w:color="5BBF46" w:sz="6" w:space="1"/>
              </w:pBdr>
              <w:spacing w:before="0" w:after="0"/>
            </w:pPr>
            <w:r>
              <w:rPr>
                <w:sz w:val="2"/>
                <w:szCs w:val="2"/>
              </w:rPr>
              <w:t xml:space="preserve"/>
            </w:r>
          </w:p>
          <w:p>
            <w:pPr>
              <w:spacing w:before="40" w:after="0"/>
            </w:pPr>
            <w:r>
              <w:t xml:space="preserve"/>
            </w:r>
          </w:p>
          <w:p>
            <w:pPr>
              <w:spacing w:before="40"/>
            </w:pPr>
            <w:r>
              <w:rPr>
                <w:rFonts w:ascii="Arial" w:cs="Arial" w:eastAsia="Arial" w:hAnsi="Arial"/>
                <w:color w:val="8BAFC8"/>
                <w:sz w:val="18"/>
                <w:szCs w:val="18"/>
              </w:rPr>
              <w:t xml:space="preserve">Prepared by Versetal</w:t>
            </w:r>
          </w:p>
          <w:p>
            <w:pPr>
              <w:spacing w:before="40"/>
            </w:pPr>
            <w:r>
              <w:rPr>
                <w:rFonts w:ascii="Arial" w:cs="Arial" w:eastAsia="Arial" w:hAnsi="Arial"/>
                <w:color w:val="8BAFC8"/>
                <w:sz w:val="18"/>
                <w:szCs w:val="18"/>
              </w:rPr>
              <w:t xml:space="preserve">Audience: IT Administration Team</w:t>
            </w:r>
          </w:p>
          <w:p>
            <w:pPr>
              <w:spacing w:before="40"/>
            </w:pPr>
            <w:r>
              <w:rPr>
                <w:rFonts w:ascii="Arial" w:cs="Arial" w:eastAsia="Arial" w:hAnsi="Arial"/>
                <w:color w:val="8BAFC8"/>
                <w:sz w:val="18"/>
                <w:szCs w:val="18"/>
              </w:rPr>
              <w:t xml:space="preserve">Classification: Confidential</w:t>
            </w:r>
          </w:p>
          <w:p>
            <w:pPr>
              <w:spacing w:before="40"/>
            </w:pPr>
            <w:r>
              <w:rPr>
                <w:rFonts w:ascii="Arial" w:cs="Arial" w:eastAsia="Arial" w:hAnsi="Arial"/>
                <w:color w:val="8BAFC8"/>
                <w:sz w:val="18"/>
                <w:szCs w:val="18"/>
              </w:rPr>
              <w:t xml:space="preserve">Version 1.0</w:t>
            </w:r>
          </w:p>
        </w:tc>
      </w:tr>
    </w:tbl>
    <w:p>
      <w:r>
        <w:br w:type="page"/>
      </w:r>
    </w:p>
    <w:p>
      <w:pPr>
        <w:pBdr>
          <w:bottom w:val="single" w:color="5BBF46" w:sz="8" w:space="4"/>
        </w:pBdr>
        <w:spacing w:before="320" w:after="80"/>
      </w:pPr>
      <w:r>
        <w:rPr>
          <w:rFonts w:ascii="Arial" w:cs="Arial" w:eastAsia="Arial" w:hAnsi="Arial"/>
          <w:b/>
          <w:bCs/>
          <w:color w:val="0A2543"/>
          <w:sz w:val="38"/>
          <w:szCs w:val="38"/>
        </w:rPr>
        <w:t xml:space="preserve">Section 1: Project Overview</w:t>
      </w:r>
    </w:p>
    <w:p>
      <w:pPr>
        <w:spacing w:before="40" w:after="0"/>
      </w:pPr>
      <w:r>
        <w:t xml:space="preserve"/>
      </w:r>
    </w:p>
    <w:p>
      <w:pPr>
        <w:spacing w:before="60" w:after="60"/>
        <w:jc w:val="left"/>
      </w:pPr>
      <w:r>
        <w:rPr>
          <w:rFonts w:ascii="Arial" w:cs="Arial" w:eastAsia="Arial" w:hAnsi="Arial"/>
          <w:color w:val="0A2543"/>
          <w:sz w:val="20"/>
          <w:szCs w:val="20"/>
        </w:rPr>
        <w:t xml:space="preserve">This document provides the full implementation plan for deploying a Zero Trust security model across Microsoft 365. It is organized into four sequential phases spanning 16 weeks, with task-level detail, ownership assignments, licensing requirements, and success criteria for each phase.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c>
          <w:tcPr>
            <w:tcW w:type="dxa" w:w="12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Name</w:t>
            </w:r>
          </w:p>
        </w:tc>
        <w:tc>
          <w:tcPr>
            <w:tcW w:type="dxa" w:w="39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Key Activities</w:t>
            </w:r>
          </w:p>
        </w:tc>
        <w:tc>
          <w:tcPr>
            <w:tcW w:type="dxa" w:w="18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Duration</w:t>
            </w:r>
          </w:p>
        </w:tc>
      </w:tr>
      <w:tr>
        <w:tc>
          <w:tcPr>
            <w:tcW w:type="dxa" w:w="1200"/>
            <w:tcBorders>
              <w:top w:val="single" w:color="B8D4E8" w:sz="1"/>
              <w:left w:val="single" w:color="B8D4E8" w:sz="1"/>
              <w:bottom w:val="single" w:color="B8D4E8" w:sz="1"/>
              <w:right w:val="single" w:color="B8D4E8" w:sz="1"/>
            </w:tcBorders>
            <w:shd w:fill="5BBF46" w:val="clear"/>
            <w:tcMar>
              <w:top w:type="dxa" w:w="100"/>
              <w:left w:type="dxa" w:w="140"/>
              <w:bottom w:type="dxa" w:w="100"/>
              <w:right w:type="dxa" w:w="120"/>
            </w:tcMar>
          </w:tcPr>
          <w:p>
            <w:pPr>
              <w:jc w:val="left"/>
            </w:pPr>
            <w:r>
              <w:rPr>
                <w:rFonts w:ascii="Arial" w:cs="Arial" w:eastAsia="Arial" w:hAnsi="Arial"/>
                <w:b/>
                <w:bCs/>
                <w:color w:val="FFFFFF"/>
                <w:sz w:val="19"/>
                <w:szCs w:val="19"/>
              </w:rPr>
              <w:t xml:space="preserve">1</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Identity Hardening</w:t>
            </w:r>
          </w:p>
        </w:tc>
        <w:tc>
          <w:tcPr>
            <w:tcW w:type="dxa" w:w="3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MFA enforcement, legacy auth block, PIM, Conditional Access baseline, Entra ID Protection</w:t>
            </w:r>
          </w:p>
        </w:tc>
        <w:tc>
          <w:tcPr>
            <w:tcW w:type="dxa" w:w="1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Weeks 1–4</w:t>
            </w:r>
          </w:p>
        </w:tc>
      </w:tr>
      <w:tr>
        <w:tc>
          <w:tcPr>
            <w:tcW w:type="dxa" w:w="1200"/>
            <w:tcBorders>
              <w:top w:val="single" w:color="B8D4E8" w:sz="1"/>
              <w:left w:val="single" w:color="B8D4E8" w:sz="1"/>
              <w:bottom w:val="single" w:color="B8D4E8" w:sz="1"/>
              <w:right w:val="single" w:color="B8D4E8" w:sz="1"/>
            </w:tcBorders>
            <w:shd w:fill="5BBF46" w:val="clear"/>
            <w:tcMar>
              <w:top w:type="dxa" w:w="100"/>
              <w:left w:type="dxa" w:w="140"/>
              <w:bottom w:type="dxa" w:w="100"/>
              <w:right w:type="dxa" w:w="120"/>
            </w:tcMar>
          </w:tcPr>
          <w:p>
            <w:pPr>
              <w:jc w:val="left"/>
            </w:pPr>
            <w:r>
              <w:rPr>
                <w:rFonts w:ascii="Arial" w:cs="Arial" w:eastAsia="Arial" w:hAnsi="Arial"/>
                <w:b/>
                <w:bCs/>
                <w:color w:val="FFFFFF"/>
                <w:sz w:val="19"/>
                <w:szCs w:val="19"/>
              </w:rPr>
              <w:t xml:space="preserve">2</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Device Compliance</w:t>
            </w:r>
          </w:p>
        </w:tc>
        <w:tc>
          <w:tcPr>
            <w:tcW w:type="dxa" w:w="3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compliance policies, WHfB, ASR rules, Defender for Endpoint, Autopilot</w:t>
            </w:r>
          </w:p>
        </w:tc>
        <w:tc>
          <w:tcPr>
            <w:tcW w:type="dxa" w:w="1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Weeks 5–8</w:t>
            </w:r>
          </w:p>
        </w:tc>
      </w:tr>
      <w:tr>
        <w:tc>
          <w:tcPr>
            <w:tcW w:type="dxa" w:w="1200"/>
            <w:tcBorders>
              <w:top w:val="single" w:color="B8D4E8" w:sz="1"/>
              <w:left w:val="single" w:color="B8D4E8" w:sz="1"/>
              <w:bottom w:val="single" w:color="B8D4E8" w:sz="1"/>
              <w:right w:val="single" w:color="B8D4E8" w:sz="1"/>
            </w:tcBorders>
            <w:shd w:fill="5BBF46" w:val="clear"/>
            <w:tcMar>
              <w:top w:type="dxa" w:w="100"/>
              <w:left w:type="dxa" w:w="140"/>
              <w:bottom w:type="dxa" w:w="100"/>
              <w:right w:type="dxa" w:w="120"/>
            </w:tcMar>
          </w:tcPr>
          <w:p>
            <w:pPr>
              <w:jc w:val="left"/>
            </w:pPr>
            <w:r>
              <w:rPr>
                <w:rFonts w:ascii="Arial" w:cs="Arial" w:eastAsia="Arial" w:hAnsi="Arial"/>
                <w:b/>
                <w:bCs/>
                <w:color w:val="FFFFFF"/>
                <w:sz w:val="19"/>
                <w:szCs w:val="19"/>
              </w:rPr>
              <w:t xml:space="preserve">3</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Data Protection &amp; App Sec</w:t>
            </w:r>
          </w:p>
        </w:tc>
        <w:tc>
          <w:tcPr>
            <w:tcW w:type="dxa" w:w="3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Sensitivity labels, DLP, Defender for Cloud Apps (MCAS), MAM policies</w:t>
            </w:r>
          </w:p>
        </w:tc>
        <w:tc>
          <w:tcPr>
            <w:tcW w:type="dxa" w:w="1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Weeks 9–12</w:t>
            </w:r>
          </w:p>
        </w:tc>
      </w:tr>
      <w:tr>
        <w:tc>
          <w:tcPr>
            <w:tcW w:type="dxa" w:w="1200"/>
            <w:tcBorders>
              <w:top w:val="single" w:color="B8D4E8" w:sz="1"/>
              <w:left w:val="single" w:color="B8D4E8" w:sz="1"/>
              <w:bottom w:val="single" w:color="B8D4E8" w:sz="1"/>
              <w:right w:val="single" w:color="B8D4E8" w:sz="1"/>
            </w:tcBorders>
            <w:shd w:fill="5BBF46" w:val="clear"/>
            <w:tcMar>
              <w:top w:type="dxa" w:w="100"/>
              <w:left w:type="dxa" w:w="140"/>
              <w:bottom w:type="dxa" w:w="100"/>
              <w:right w:type="dxa" w:w="120"/>
            </w:tcMar>
          </w:tcPr>
          <w:p>
            <w:pPr>
              <w:jc w:val="left"/>
            </w:pPr>
            <w:r>
              <w:rPr>
                <w:rFonts w:ascii="Arial" w:cs="Arial" w:eastAsia="Arial" w:hAnsi="Arial"/>
                <w:b/>
                <w:bCs/>
                <w:color w:val="FFFFFF"/>
                <w:sz w:val="19"/>
                <w:szCs w:val="19"/>
              </w:rPr>
              <w:t xml:space="preserve">4</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Monitoring &amp; Response</w:t>
            </w:r>
          </w:p>
        </w:tc>
        <w:tc>
          <w:tcPr>
            <w:tcW w:type="dxa" w:w="3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Sentinel SIEM, UEBA, analytics rules, IR runbooks, access reviews, tabletop exercise</w:t>
            </w:r>
          </w:p>
        </w:tc>
        <w:tc>
          <w:tcPr>
            <w:tcW w:type="dxa" w:w="1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Weeks 13–16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left"/>
            </w:pPr>
            <w:r>
              <w:rPr>
                <w:rFonts w:ascii="Arial" w:cs="Arial" w:eastAsia="Arial" w:hAnsi="Arial"/>
                <w:color w:val="6B4200"/>
                <w:sz w:val="19"/>
                <w:szCs w:val="19"/>
              </w:rPr>
              <w:t xml:space="preserve">Before beginning any phase, create two break-glass emergency access accounts and confirm they are excluded from all Conditional Access policies. Test authentication for both accounts. Store credentials in a physically secured location offline. Failure to do this before Phase 1 can result in a complete tenant lockout.</w:t>
            </w:r>
          </w:p>
        </w:tc>
      </w:tr>
    </w:tbl>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1</w:t>
            </w:r>
          </w:p>
        </w:tc>
        <w:tc>
          <w:tcPr>
            <w:tcW w:type="dxa" w:w="872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6"/>
                <w:szCs w:val="26"/>
              </w:rPr>
              <w:t xml:space="preserve">Foundation &amp; Identity Hardening</w:t>
            </w:r>
          </w:p>
          <w:p>
            <w:pPr>
              <w:spacing w:before="30"/>
            </w:pPr>
            <w:r>
              <w:rPr>
                <w:rFonts w:ascii="Arial" w:cs="Arial" w:eastAsia="Arial" w:hAnsi="Arial"/>
                <w:color w:val="8BAFC8"/>
                <w:sz w:val="18"/>
                <w:szCs w:val="18"/>
              </w:rPr>
              <w:t xml:space="preserve">Weeks 1–4</w:t>
            </w:r>
          </w:p>
        </w:tc>
      </w:tr>
    </w:tbl>
    <w:p>
      <w:pPr>
        <w:spacing w:before="40" w:after="0"/>
      </w:pPr>
      <w:r>
        <w:t xml:space="preserve"/>
      </w:r>
    </w:p>
    <w:p>
      <w:pPr>
        <w:spacing w:before="60" w:after="60"/>
        <w:jc w:val="left"/>
      </w:pPr>
      <w:r>
        <w:rPr>
          <w:rFonts w:ascii="Arial" w:cs="Arial" w:eastAsia="Arial" w:hAnsi="Arial"/>
          <w:color w:val="0A2543"/>
          <w:sz w:val="20"/>
          <w:szCs w:val="20"/>
        </w:rPr>
        <w:t xml:space="preserve">Phase 1 establishes the security foundation. Identity is the primary control plane in a cloud-first environment. This phase ensures every account is verified before any access is permitted and eliminates the attack vectors most commonly exploited in M365 breaches.</w:t>
      </w:r>
    </w:p>
    <w:p>
      <w:pPr>
        <w:spacing w:before="60" w:after="0"/>
      </w:pPr>
      <w:r>
        <w:t xml:space="preserve"/>
      </w:r>
    </w:p>
    <w:p>
      <w:pPr>
        <w:spacing w:before="180" w:after="40"/>
      </w:pPr>
      <w:r>
        <w:rPr>
          <w:rFonts w:ascii="Arial" w:cs="Arial" w:eastAsia="Arial" w:hAnsi="Arial"/>
          <w:b/>
          <w:bCs/>
          <w:color w:val="0A2543"/>
          <w:sz w:val="22"/>
          <w:szCs w:val="22"/>
        </w:rPr>
        <w:t xml:space="preserve">Objectives</w:t>
      </w:r>
    </w:p>
    <w:p>
      <w:pPr>
        <w:pStyle w:val="ListParagraph"/>
        <w:numPr>
          <w:ilvl w:val="0"/>
          <w:numId w:val="2"/>
        </w:numPr>
        <w:spacing w:before="40" w:after="40"/>
      </w:pPr>
      <w:r>
        <w:rPr>
          <w:rFonts w:ascii="Arial" w:cs="Arial" w:eastAsia="Arial" w:hAnsi="Arial"/>
          <w:color w:val="0A2543"/>
          <w:sz w:val="20"/>
          <w:szCs w:val="20"/>
        </w:rPr>
        <w:t xml:space="preserve">Enforce MFA for all users via Conditional Access — not legacy per-user MFA</w:t>
      </w:r>
    </w:p>
    <w:p>
      <w:pPr>
        <w:pStyle w:val="ListParagraph"/>
        <w:numPr>
          <w:ilvl w:val="0"/>
          <w:numId w:val="2"/>
        </w:numPr>
        <w:spacing w:before="40" w:after="40"/>
      </w:pPr>
      <w:r>
        <w:rPr>
          <w:rFonts w:ascii="Arial" w:cs="Arial" w:eastAsia="Arial" w:hAnsi="Arial"/>
          <w:color w:val="0A2543"/>
          <w:sz w:val="20"/>
          <w:szCs w:val="20"/>
        </w:rPr>
        <w:t xml:space="preserve">Block all legacy authentication protocols that bypass MFA enforcement</w:t>
      </w:r>
    </w:p>
    <w:p>
      <w:pPr>
        <w:pStyle w:val="ListParagraph"/>
        <w:numPr>
          <w:ilvl w:val="0"/>
          <w:numId w:val="2"/>
        </w:numPr>
        <w:spacing w:before="40" w:after="40"/>
      </w:pPr>
      <w:r>
        <w:rPr>
          <w:rFonts w:ascii="Arial" w:cs="Arial" w:eastAsia="Arial" w:hAnsi="Arial"/>
          <w:color w:val="0A2543"/>
          <w:sz w:val="20"/>
          <w:szCs w:val="20"/>
        </w:rPr>
        <w:t xml:space="preserve">Deploy Privileged Identity Management (PIM) to eliminate standing admin access</w:t>
      </w:r>
    </w:p>
    <w:p>
      <w:pPr>
        <w:pStyle w:val="ListParagraph"/>
        <w:numPr>
          <w:ilvl w:val="0"/>
          <w:numId w:val="2"/>
        </w:numPr>
        <w:spacing w:before="40" w:after="40"/>
      </w:pPr>
      <w:r>
        <w:rPr>
          <w:rFonts w:ascii="Arial" w:cs="Arial" w:eastAsia="Arial" w:hAnsi="Arial"/>
          <w:color w:val="0A2543"/>
          <w:sz w:val="20"/>
          <w:szCs w:val="20"/>
        </w:rPr>
        <w:t xml:space="preserve">Establish the full Conditional Access baseline policy stack</w:t>
      </w:r>
    </w:p>
    <w:p>
      <w:pPr>
        <w:pStyle w:val="ListParagraph"/>
        <w:numPr>
          <w:ilvl w:val="0"/>
          <w:numId w:val="2"/>
        </w:numPr>
        <w:spacing w:before="40" w:after="40"/>
      </w:pPr>
      <w:r>
        <w:rPr>
          <w:rFonts w:ascii="Arial" w:cs="Arial" w:eastAsia="Arial" w:hAnsi="Arial"/>
          <w:color w:val="0A2543"/>
          <w:sz w:val="20"/>
          <w:szCs w:val="20"/>
        </w:rPr>
        <w:t xml:space="preserve">Enforce phishing-resistant MFA (FIDO2 / Windows Hello) for all admin accounts</w:t>
      </w:r>
    </w:p>
    <w:p>
      <w:pPr>
        <w:pStyle w:val="ListParagraph"/>
        <w:numPr>
          <w:ilvl w:val="0"/>
          <w:numId w:val="2"/>
        </w:numPr>
        <w:spacing w:before="40" w:after="40"/>
      </w:pPr>
      <w:r>
        <w:rPr>
          <w:rFonts w:ascii="Arial" w:cs="Arial" w:eastAsia="Arial" w:hAnsi="Arial"/>
          <w:color w:val="0A2543"/>
          <w:sz w:val="20"/>
          <w:szCs w:val="20"/>
        </w:rPr>
        <w:t xml:space="preserve">Activate Entra ID Protection sign-in and user risk policies</w:t>
      </w:r>
    </w:p>
    <w:p>
      <w:pPr>
        <w:spacing w:before="60" w:after="0"/>
      </w:pPr>
      <w:r>
        <w:t xml:space="preserve"/>
      </w:r>
    </w:p>
    <w:p>
      <w:pPr>
        <w:spacing w:before="180" w:after="40"/>
      </w:pPr>
      <w:r>
        <w:rPr>
          <w:rFonts w:ascii="Arial" w:cs="Arial" w:eastAsia="Arial" w:hAnsi="Arial"/>
          <w:b/>
          <w:bCs/>
          <w:color w:val="0A2543"/>
          <w:sz w:val="22"/>
          <w:szCs w:val="22"/>
        </w:rPr>
        <w:t xml:space="preserve">Task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Task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Owner</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Week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License</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Audit all admin accounts — remove any standing Global Administrator assignments</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Create two break-glass accounts and exclude from all CA policies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PIM for all privileged Entra ID roles (GA, PA, SA, CA, etc.)</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P2</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SSPR and Combined Registration for all users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Define Named Locations (trusted office IPs, VPN egress)</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CA001 – Require MFA for all users (Report-only)</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CA002 – Block legacy authentication (Report-only)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CA003 – Phishing-resistant MFA for admins (Report-only)</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CA008 – MFA from untrusted locations (Report-only)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CA009 – MFA for Azure management (Report-only)</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Audit legacy auth sign-in logs — identify SMTP/IMAP/POP usage</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2–3</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Migrate or document all legacy auth exceptions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3</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CA002 (legacy auth block) after audit is clear</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3</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CA004 – Block high-risk sign-ins (Report-only)</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3</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P2</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CA005 – Require password change for high-risk users (Report-only)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3</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P2</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CA001, CA003, CA008, CA009 after 14-day report-only review</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4</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CA004 and CA005 after reviewing false positive rate</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4</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P2</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Review sign-in logs, validate policy impact, document exceptions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4</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bl>
    <w:p>
      <w:pPr>
        <w:spacing w:before="60" w:after="0"/>
      </w:pPr>
      <w:r>
        <w:t xml:space="preserve"/>
      </w:r>
    </w:p>
    <w:p>
      <w:pPr>
        <w:spacing w:before="180" w:after="40"/>
      </w:pPr>
      <w:r>
        <w:rPr>
          <w:rFonts w:ascii="Arial" w:cs="Arial" w:eastAsia="Arial" w:hAnsi="Arial"/>
          <w:b/>
          <w:bCs/>
          <w:color w:val="0A2543"/>
          <w:sz w:val="22"/>
          <w:szCs w:val="22"/>
        </w:rPr>
        <w:t xml:space="preserve">Success Criteria</w:t>
      </w:r>
    </w:p>
    <w:p>
      <w:pPr>
        <w:pStyle w:val="ListParagraph"/>
        <w:numPr>
          <w:ilvl w:val="0"/>
          <w:numId w:val="2"/>
        </w:numPr>
        <w:spacing w:before="40" w:after="40"/>
      </w:pPr>
      <w:r>
        <w:rPr>
          <w:rFonts w:ascii="Arial" w:cs="Arial" w:eastAsia="Arial" w:hAnsi="Arial"/>
          <w:color w:val="0A2543"/>
          <w:sz w:val="20"/>
          <w:szCs w:val="20"/>
        </w:rPr>
        <w:t xml:space="preserve">Zero standing Global Administrator accounts — all privileged access via PIM</w:t>
      </w:r>
    </w:p>
    <w:p>
      <w:pPr>
        <w:pStyle w:val="ListParagraph"/>
        <w:numPr>
          <w:ilvl w:val="0"/>
          <w:numId w:val="2"/>
        </w:numPr>
        <w:spacing w:before="40" w:after="40"/>
      </w:pPr>
      <w:r>
        <w:rPr>
          <w:rFonts w:ascii="Arial" w:cs="Arial" w:eastAsia="Arial" w:hAnsi="Arial"/>
          <w:color w:val="0A2543"/>
          <w:sz w:val="20"/>
          <w:szCs w:val="20"/>
        </w:rPr>
        <w:t xml:space="preserve">100% of users covered by MFA Conditional Access policy (CA001 enabled)</w:t>
      </w:r>
    </w:p>
    <w:p>
      <w:pPr>
        <w:pStyle w:val="ListParagraph"/>
        <w:numPr>
          <w:ilvl w:val="0"/>
          <w:numId w:val="2"/>
        </w:numPr>
        <w:spacing w:before="40" w:after="40"/>
      </w:pPr>
      <w:r>
        <w:rPr>
          <w:rFonts w:ascii="Arial" w:cs="Arial" w:eastAsia="Arial" w:hAnsi="Arial"/>
          <w:color w:val="0A2543"/>
          <w:sz w:val="20"/>
          <w:szCs w:val="20"/>
        </w:rPr>
        <w:t xml:space="preserve">Legacy authentication blocked — Sign-in logs show zero successful legacy auth</w:t>
      </w:r>
    </w:p>
    <w:p>
      <w:pPr>
        <w:pStyle w:val="ListParagraph"/>
        <w:numPr>
          <w:ilvl w:val="0"/>
          <w:numId w:val="2"/>
        </w:numPr>
        <w:spacing w:before="40" w:after="40"/>
      </w:pPr>
      <w:r>
        <w:rPr>
          <w:rFonts w:ascii="Arial" w:cs="Arial" w:eastAsia="Arial" w:hAnsi="Arial"/>
          <w:color w:val="0A2543"/>
          <w:sz w:val="20"/>
          <w:szCs w:val="20"/>
        </w:rPr>
        <w:t xml:space="preserve">Entra ID Protection risk policies (CA004/CA005) active and generating alerts</w:t>
      </w:r>
    </w:p>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2</w:t>
            </w:r>
          </w:p>
        </w:tc>
        <w:tc>
          <w:tcPr>
            <w:tcW w:type="dxa" w:w="872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6"/>
                <w:szCs w:val="26"/>
              </w:rPr>
              <w:t xml:space="preserve">Device Compliance &amp; Endpoint Security</w:t>
            </w:r>
          </w:p>
          <w:p>
            <w:pPr>
              <w:spacing w:before="30"/>
            </w:pPr>
            <w:r>
              <w:rPr>
                <w:rFonts w:ascii="Arial" w:cs="Arial" w:eastAsia="Arial" w:hAnsi="Arial"/>
                <w:color w:val="8BAFC8"/>
                <w:sz w:val="18"/>
                <w:szCs w:val="18"/>
              </w:rPr>
              <w:t xml:space="preserve">Weeks 5–8</w:t>
            </w:r>
          </w:p>
        </w:tc>
      </w:tr>
    </w:tbl>
    <w:p>
      <w:pPr>
        <w:spacing w:before="40" w:after="0"/>
      </w:pPr>
      <w:r>
        <w:t xml:space="preserve"/>
      </w:r>
    </w:p>
    <w:p>
      <w:pPr>
        <w:spacing w:before="60" w:after="60"/>
        <w:jc w:val="left"/>
      </w:pPr>
      <w:r>
        <w:rPr>
          <w:rFonts w:ascii="Arial" w:cs="Arial" w:eastAsia="Arial" w:hAnsi="Arial"/>
          <w:color w:val="0A2543"/>
          <w:sz w:val="20"/>
          <w:szCs w:val="20"/>
        </w:rPr>
        <w:t xml:space="preserve">Phase 2 extends Zero Trust to the device layer. A verified identity on a compromised or unmanaged device still represents significant risk. Intune compliance policies, tied to Conditional Access, ensure only healthy, managed devices can access corporate data.</w:t>
      </w:r>
    </w:p>
    <w:p>
      <w:pPr>
        <w:spacing w:before="60" w:after="0"/>
      </w:pPr>
      <w:r>
        <w:t xml:space="preserve"/>
      </w:r>
    </w:p>
    <w:p>
      <w:pPr>
        <w:spacing w:before="180" w:after="40"/>
      </w:pPr>
      <w:r>
        <w:rPr>
          <w:rFonts w:ascii="Arial" w:cs="Arial" w:eastAsia="Arial" w:hAnsi="Arial"/>
          <w:b/>
          <w:bCs/>
          <w:color w:val="0A2543"/>
          <w:sz w:val="22"/>
          <w:szCs w:val="22"/>
        </w:rPr>
        <w:t xml:space="preserve">Objectives</w:t>
      </w:r>
    </w:p>
    <w:p>
      <w:pPr>
        <w:pStyle w:val="ListParagraph"/>
        <w:numPr>
          <w:ilvl w:val="0"/>
          <w:numId w:val="2"/>
        </w:numPr>
        <w:spacing w:before="40" w:after="40"/>
      </w:pPr>
      <w:r>
        <w:rPr>
          <w:rFonts w:ascii="Arial" w:cs="Arial" w:eastAsia="Arial" w:hAnsi="Arial"/>
          <w:color w:val="0A2543"/>
          <w:sz w:val="20"/>
          <w:szCs w:val="20"/>
        </w:rPr>
        <w:t xml:space="preserve">Define and deploy Intune device compliance policies for Windows and mobile platforms</w:t>
      </w:r>
    </w:p>
    <w:p>
      <w:pPr>
        <w:pStyle w:val="ListParagraph"/>
        <w:numPr>
          <w:ilvl w:val="0"/>
          <w:numId w:val="2"/>
        </w:numPr>
        <w:spacing w:before="40" w:after="40"/>
      </w:pPr>
      <w:r>
        <w:rPr>
          <w:rFonts w:ascii="Arial" w:cs="Arial" w:eastAsia="Arial" w:hAnsi="Arial"/>
          <w:color w:val="0A2543"/>
          <w:sz w:val="20"/>
          <w:szCs w:val="20"/>
        </w:rPr>
        <w:t xml:space="preserve">Enforce device compliance as a Conditional Access grant control for all cloud apps</w:t>
      </w:r>
    </w:p>
    <w:p>
      <w:pPr>
        <w:pStyle w:val="ListParagraph"/>
        <w:numPr>
          <w:ilvl w:val="0"/>
          <w:numId w:val="2"/>
        </w:numPr>
        <w:spacing w:before="40" w:after="40"/>
      </w:pPr>
      <w:r>
        <w:rPr>
          <w:rFonts w:ascii="Arial" w:cs="Arial" w:eastAsia="Arial" w:hAnsi="Arial"/>
          <w:color w:val="0A2543"/>
          <w:sz w:val="20"/>
          <w:szCs w:val="20"/>
        </w:rPr>
        <w:t xml:space="preserve">Deploy Windows Hello for Business as the primary passwordless authentication method</w:t>
      </w:r>
    </w:p>
    <w:p>
      <w:pPr>
        <w:pStyle w:val="ListParagraph"/>
        <w:numPr>
          <w:ilvl w:val="0"/>
          <w:numId w:val="2"/>
        </w:numPr>
        <w:spacing w:before="40" w:after="40"/>
      </w:pPr>
      <w:r>
        <w:rPr>
          <w:rFonts w:ascii="Arial" w:cs="Arial" w:eastAsia="Arial" w:hAnsi="Arial"/>
          <w:color w:val="0A2543"/>
          <w:sz w:val="20"/>
          <w:szCs w:val="20"/>
        </w:rPr>
        <w:t xml:space="preserve">Configure Attack Surface Reduction rules via Intune security baselines</w:t>
      </w:r>
    </w:p>
    <w:p>
      <w:pPr>
        <w:pStyle w:val="ListParagraph"/>
        <w:numPr>
          <w:ilvl w:val="0"/>
          <w:numId w:val="2"/>
        </w:numPr>
        <w:spacing w:before="40" w:after="40"/>
      </w:pPr>
      <w:r>
        <w:rPr>
          <w:rFonts w:ascii="Arial" w:cs="Arial" w:eastAsia="Arial" w:hAnsi="Arial"/>
          <w:color w:val="0A2543"/>
          <w:sz w:val="20"/>
          <w:szCs w:val="20"/>
        </w:rPr>
        <w:t xml:space="preserve">Deploy Microsoft Defender for Endpoint with Intune integration</w:t>
      </w:r>
    </w:p>
    <w:p>
      <w:pPr>
        <w:pStyle w:val="ListParagraph"/>
        <w:numPr>
          <w:ilvl w:val="0"/>
          <w:numId w:val="2"/>
        </w:numPr>
        <w:spacing w:before="40" w:after="40"/>
      </w:pPr>
      <w:r>
        <w:rPr>
          <w:rFonts w:ascii="Arial" w:cs="Arial" w:eastAsia="Arial" w:hAnsi="Arial"/>
          <w:color w:val="0A2543"/>
          <w:sz w:val="20"/>
          <w:szCs w:val="20"/>
        </w:rPr>
        <w:t xml:space="preserve">Implement Autopilot enrollment for new device provisioning</w:t>
      </w:r>
    </w:p>
    <w:p>
      <w:pPr>
        <w:spacing w:before="60" w:after="0"/>
      </w:pPr>
      <w:r>
        <w:t xml:space="preserve"/>
      </w:r>
    </w:p>
    <w:p>
      <w:pPr>
        <w:spacing w:before="180" w:after="40"/>
      </w:pPr>
      <w:r>
        <w:rPr>
          <w:rFonts w:ascii="Arial" w:cs="Arial" w:eastAsia="Arial" w:hAnsi="Arial"/>
          <w:b/>
          <w:bCs/>
          <w:color w:val="0A2543"/>
          <w:sz w:val="22"/>
          <w:szCs w:val="22"/>
        </w:rPr>
        <w:t xml:space="preserve">Task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Task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Owner</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Week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License</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Define Windows compliance policy: BitLocker, Secure Boot, OS version, Defender AV</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5</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Define iOS/Android compliance policy: OS version, PIN, encryption, jailbreak detection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5</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Enroll existing Windows devices into Intune (GPO MDM enrollment or co-management)</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5–6</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Configure Autopilot profile and deployment profile for net-new device provisioning</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6</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Windows Hello for Business policy via Intune</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6</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Microsoft Defender for Endpoint + Intune integration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7</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MDE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ASR rules via Intune — Audit mode first, then Enforce after 1-week review</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7</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MDE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CA006 – Require compliant device for cloud apps (Report-only)</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7</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CA007 – App protection policy for mobile (Report-only)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7</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APP</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Remediate all non-compliant devices — document any approved exceptions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8</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CA006 and CA007 after confirming all devices enrolled and compliant</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8</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w:t>
            </w:r>
          </w:p>
        </w:tc>
      </w:tr>
    </w:tbl>
    <w:p>
      <w:pPr>
        <w:spacing w:before="60" w:after="0"/>
      </w:pPr>
      <w:r>
        <w:t xml:space="preserve"/>
      </w:r>
    </w:p>
    <w:p>
      <w:pPr>
        <w:spacing w:before="180" w:after="40"/>
      </w:pPr>
      <w:r>
        <w:rPr>
          <w:rFonts w:ascii="Arial" w:cs="Arial" w:eastAsia="Arial" w:hAnsi="Arial"/>
          <w:b/>
          <w:bCs/>
          <w:color w:val="0A2543"/>
          <w:sz w:val="22"/>
          <w:szCs w:val="22"/>
        </w:rPr>
        <w:t xml:space="preserve">Success Criteria</w:t>
      </w:r>
    </w:p>
    <w:p>
      <w:pPr>
        <w:pStyle w:val="ListParagraph"/>
        <w:numPr>
          <w:ilvl w:val="0"/>
          <w:numId w:val="2"/>
        </w:numPr>
        <w:spacing w:before="40" w:after="40"/>
      </w:pPr>
      <w:r>
        <w:rPr>
          <w:rFonts w:ascii="Arial" w:cs="Arial" w:eastAsia="Arial" w:hAnsi="Arial"/>
          <w:color w:val="0A2543"/>
          <w:sz w:val="20"/>
          <w:szCs w:val="20"/>
        </w:rPr>
        <w:t xml:space="preserve">All corporate Windows devices enrolled in Intune and reporting Compliant status</w:t>
      </w:r>
    </w:p>
    <w:p>
      <w:pPr>
        <w:pStyle w:val="ListParagraph"/>
        <w:numPr>
          <w:ilvl w:val="0"/>
          <w:numId w:val="2"/>
        </w:numPr>
        <w:spacing w:before="40" w:after="40"/>
      </w:pPr>
      <w:r>
        <w:rPr>
          <w:rFonts w:ascii="Arial" w:cs="Arial" w:eastAsia="Arial" w:hAnsi="Arial"/>
          <w:color w:val="0A2543"/>
          <w:sz w:val="20"/>
          <w:szCs w:val="20"/>
        </w:rPr>
        <w:t xml:space="preserve">CA006 enabled — unmanaged device access blocked to all M365 cloud apps</w:t>
      </w:r>
    </w:p>
    <w:p>
      <w:pPr>
        <w:pStyle w:val="ListParagraph"/>
        <w:numPr>
          <w:ilvl w:val="0"/>
          <w:numId w:val="2"/>
        </w:numPr>
        <w:spacing w:before="40" w:after="40"/>
      </w:pPr>
      <w:r>
        <w:rPr>
          <w:rFonts w:ascii="Arial" w:cs="Arial" w:eastAsia="Arial" w:hAnsi="Arial"/>
          <w:color w:val="0A2543"/>
          <w:sz w:val="20"/>
          <w:szCs w:val="20"/>
        </w:rPr>
        <w:t xml:space="preserve">Windows Hello for Business deployed and active on enrolled Windows endpoints</w:t>
      </w:r>
    </w:p>
    <w:p>
      <w:pPr>
        <w:pStyle w:val="ListParagraph"/>
        <w:numPr>
          <w:ilvl w:val="0"/>
          <w:numId w:val="2"/>
        </w:numPr>
        <w:spacing w:before="40" w:after="40"/>
      </w:pPr>
      <w:r>
        <w:rPr>
          <w:rFonts w:ascii="Arial" w:cs="Arial" w:eastAsia="Arial" w:hAnsi="Arial"/>
          <w:color w:val="0A2543"/>
          <w:sz w:val="20"/>
          <w:szCs w:val="20"/>
        </w:rPr>
        <w:t xml:space="preserve">ASR rules in Enforce mode with Defender for Endpoint alert baseline established</w:t>
      </w:r>
    </w:p>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3</w:t>
            </w:r>
          </w:p>
        </w:tc>
        <w:tc>
          <w:tcPr>
            <w:tcW w:type="dxa" w:w="872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6"/>
                <w:szCs w:val="26"/>
              </w:rPr>
              <w:t xml:space="preserve">Data Protection &amp; Application Security</w:t>
            </w:r>
          </w:p>
          <w:p>
            <w:pPr>
              <w:spacing w:before="30"/>
            </w:pPr>
            <w:r>
              <w:rPr>
                <w:rFonts w:ascii="Arial" w:cs="Arial" w:eastAsia="Arial" w:hAnsi="Arial"/>
                <w:color w:val="8BAFC8"/>
                <w:sz w:val="18"/>
                <w:szCs w:val="18"/>
              </w:rPr>
              <w:t xml:space="preserve">Weeks 9–12</w:t>
            </w:r>
          </w:p>
        </w:tc>
      </w:tr>
    </w:tbl>
    <w:p>
      <w:pPr>
        <w:spacing w:before="40" w:after="0"/>
      </w:pPr>
      <w:r>
        <w:t xml:space="preserve"/>
      </w:r>
    </w:p>
    <w:p>
      <w:pPr>
        <w:spacing w:before="60" w:after="60"/>
        <w:jc w:val="left"/>
      </w:pPr>
      <w:r>
        <w:rPr>
          <w:rFonts w:ascii="Arial" w:cs="Arial" w:eastAsia="Arial" w:hAnsi="Arial"/>
          <w:color w:val="0A2543"/>
          <w:sz w:val="20"/>
          <w:szCs w:val="20"/>
        </w:rPr>
        <w:t xml:space="preserve">Phase 3 protects the data itself. Even with strong identity and device controls, data must be protected at the layer where it lives — in SharePoint, Teams, OneDrive, email, and connected SaaS applications.</w:t>
      </w:r>
    </w:p>
    <w:p>
      <w:pPr>
        <w:spacing w:before="60" w:after="0"/>
      </w:pPr>
      <w:r>
        <w:t xml:space="preserve"/>
      </w:r>
    </w:p>
    <w:p>
      <w:pPr>
        <w:spacing w:before="180" w:after="40"/>
      </w:pPr>
      <w:r>
        <w:rPr>
          <w:rFonts w:ascii="Arial" w:cs="Arial" w:eastAsia="Arial" w:hAnsi="Arial"/>
          <w:b/>
          <w:bCs/>
          <w:color w:val="0A2543"/>
          <w:sz w:val="22"/>
          <w:szCs w:val="22"/>
        </w:rPr>
        <w:t xml:space="preserve">Objectives</w:t>
      </w:r>
    </w:p>
    <w:p>
      <w:pPr>
        <w:pStyle w:val="ListParagraph"/>
        <w:numPr>
          <w:ilvl w:val="0"/>
          <w:numId w:val="2"/>
        </w:numPr>
        <w:spacing w:before="40" w:after="40"/>
      </w:pPr>
      <w:r>
        <w:rPr>
          <w:rFonts w:ascii="Arial" w:cs="Arial" w:eastAsia="Arial" w:hAnsi="Arial"/>
          <w:color w:val="0A2543"/>
          <w:sz w:val="20"/>
          <w:szCs w:val="20"/>
        </w:rPr>
        <w:t xml:space="preserve">Deploy Microsoft Purview sensitivity labels across all M365 workloads</w:t>
      </w:r>
    </w:p>
    <w:p>
      <w:pPr>
        <w:pStyle w:val="ListParagraph"/>
        <w:numPr>
          <w:ilvl w:val="0"/>
          <w:numId w:val="2"/>
        </w:numPr>
        <w:spacing w:before="40" w:after="40"/>
      </w:pPr>
      <w:r>
        <w:rPr>
          <w:rFonts w:ascii="Arial" w:cs="Arial" w:eastAsia="Arial" w:hAnsi="Arial"/>
          <w:color w:val="0A2543"/>
          <w:sz w:val="20"/>
          <w:szCs w:val="20"/>
        </w:rPr>
        <w:t xml:space="preserve">Configure Data Loss Prevention policies covering PII, PHI, and financial data</w:t>
      </w:r>
    </w:p>
    <w:p>
      <w:pPr>
        <w:pStyle w:val="ListParagraph"/>
        <w:numPr>
          <w:ilvl w:val="0"/>
          <w:numId w:val="2"/>
        </w:numPr>
        <w:spacing w:before="40" w:after="40"/>
      </w:pPr>
      <w:r>
        <w:rPr>
          <w:rFonts w:ascii="Arial" w:cs="Arial" w:eastAsia="Arial" w:hAnsi="Arial"/>
          <w:color w:val="0A2543"/>
          <w:sz w:val="20"/>
          <w:szCs w:val="20"/>
        </w:rPr>
        <w:t xml:space="preserve">Deploy Defender for Cloud Apps for shadow IT discovery and session controls</w:t>
      </w:r>
    </w:p>
    <w:p>
      <w:pPr>
        <w:pStyle w:val="ListParagraph"/>
        <w:numPr>
          <w:ilvl w:val="0"/>
          <w:numId w:val="2"/>
        </w:numPr>
        <w:spacing w:before="40" w:after="40"/>
      </w:pPr>
      <w:r>
        <w:rPr>
          <w:rFonts w:ascii="Arial" w:cs="Arial" w:eastAsia="Arial" w:hAnsi="Arial"/>
          <w:color w:val="0A2543"/>
          <w:sz w:val="20"/>
          <w:szCs w:val="20"/>
        </w:rPr>
        <w:t xml:space="preserve">Configure App Protection Policies for BYOD mobile devices (MAM-WE)</w:t>
      </w:r>
    </w:p>
    <w:p>
      <w:pPr>
        <w:pStyle w:val="ListParagraph"/>
        <w:numPr>
          <w:ilvl w:val="0"/>
          <w:numId w:val="2"/>
        </w:numPr>
        <w:spacing w:before="40" w:after="40"/>
      </w:pPr>
      <w:r>
        <w:rPr>
          <w:rFonts w:ascii="Arial" w:cs="Arial" w:eastAsia="Arial" w:hAnsi="Arial"/>
          <w:color w:val="0A2543"/>
          <w:sz w:val="20"/>
          <w:szCs w:val="20"/>
        </w:rPr>
        <w:t xml:space="preserve">Audit external sharing settings across SharePoint and Teams</w:t>
      </w:r>
    </w:p>
    <w:p>
      <w:pPr>
        <w:spacing w:before="60" w:after="0"/>
      </w:pPr>
      <w:r>
        <w:t xml:space="preserve"/>
      </w:r>
    </w:p>
    <w:p>
      <w:pPr>
        <w:spacing w:before="180" w:after="40"/>
      </w:pPr>
      <w:r>
        <w:rPr>
          <w:rFonts w:ascii="Arial" w:cs="Arial" w:eastAsia="Arial" w:hAnsi="Arial"/>
          <w:b/>
          <w:bCs/>
          <w:color w:val="0A2543"/>
          <w:sz w:val="22"/>
          <w:szCs w:val="22"/>
        </w:rPr>
        <w:t xml:space="preserve">Task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Task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Owner</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Week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License</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Design sensitivity label taxonomy: Public, Internal, Confidential, Highly Confidential</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9</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Purview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sensitivity labels to M365 Apps, SharePoint, Teams, Exchange Online</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9–10</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Purview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Configure auto-labeling policies for known sensitive data types (SSN, MRN, CC)</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10</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Purview P2</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Build DLP policy: block PII/PHI sharing externally via email and SharePoint</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10</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Purview P1</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Build DLP policy: alert on bulk SharePoint/OneDrive download activity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10</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Purview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Defender for Cloud Apps connector for M365</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11</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MDCA</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Configure MCAS session policy: block download on unmanaged devices</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11</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MDCA</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Configure MCAS shadow IT discovery and app governance dashboard</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11</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MDCA</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Intune App Protection Policies for iOS/Android (Outlook, Teams, OneDrive)</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12</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 P1</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Audit SharePoint Admin Center external sharing settings — tighten to org-only where possible</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12</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CA010 – Session controls for unmanaged devices (Report-only)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12</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MDCA</w:t>
            </w:r>
          </w:p>
        </w:tc>
      </w:tr>
    </w:tbl>
    <w:p>
      <w:pPr>
        <w:spacing w:before="60" w:after="0"/>
      </w:pPr>
      <w:r>
        <w:t xml:space="preserve"/>
      </w:r>
    </w:p>
    <w:p>
      <w:pPr>
        <w:spacing w:before="180" w:after="40"/>
      </w:pPr>
      <w:r>
        <w:rPr>
          <w:rFonts w:ascii="Arial" w:cs="Arial" w:eastAsia="Arial" w:hAnsi="Arial"/>
          <w:b/>
          <w:bCs/>
          <w:color w:val="0A2543"/>
          <w:sz w:val="22"/>
          <w:szCs w:val="22"/>
        </w:rPr>
        <w:t xml:space="preserve">Success Criteria</w:t>
      </w:r>
    </w:p>
    <w:p>
      <w:pPr>
        <w:pStyle w:val="ListParagraph"/>
        <w:numPr>
          <w:ilvl w:val="0"/>
          <w:numId w:val="2"/>
        </w:numPr>
        <w:spacing w:before="40" w:after="40"/>
      </w:pPr>
      <w:r>
        <w:rPr>
          <w:rFonts w:ascii="Arial" w:cs="Arial" w:eastAsia="Arial" w:hAnsi="Arial"/>
          <w:color w:val="0A2543"/>
          <w:sz w:val="20"/>
          <w:szCs w:val="20"/>
        </w:rPr>
        <w:t xml:space="preserve">All M365 workloads covered by sensitivity labels with default labeling policy active</w:t>
      </w:r>
    </w:p>
    <w:p>
      <w:pPr>
        <w:pStyle w:val="ListParagraph"/>
        <w:numPr>
          <w:ilvl w:val="0"/>
          <w:numId w:val="2"/>
        </w:numPr>
        <w:spacing w:before="40" w:after="40"/>
      </w:pPr>
      <w:r>
        <w:rPr>
          <w:rFonts w:ascii="Arial" w:cs="Arial" w:eastAsia="Arial" w:hAnsi="Arial"/>
          <w:color w:val="0A2543"/>
          <w:sz w:val="20"/>
          <w:szCs w:val="20"/>
        </w:rPr>
        <w:t xml:space="preserve">DLP policies active and generating actionable alerts (not audit-only mode)</w:t>
      </w:r>
    </w:p>
    <w:p>
      <w:pPr>
        <w:pStyle w:val="ListParagraph"/>
        <w:numPr>
          <w:ilvl w:val="0"/>
          <w:numId w:val="2"/>
        </w:numPr>
        <w:spacing w:before="40" w:after="40"/>
      </w:pPr>
      <w:r>
        <w:rPr>
          <w:rFonts w:ascii="Arial" w:cs="Arial" w:eastAsia="Arial" w:hAnsi="Arial"/>
          <w:color w:val="0A2543"/>
          <w:sz w:val="20"/>
          <w:szCs w:val="20"/>
        </w:rPr>
        <w:t xml:space="preserve">MCAS blocking file downloads to unmanaged devices in browser sessions</w:t>
      </w:r>
    </w:p>
    <w:p>
      <w:pPr>
        <w:pStyle w:val="ListParagraph"/>
        <w:numPr>
          <w:ilvl w:val="0"/>
          <w:numId w:val="2"/>
        </w:numPr>
        <w:spacing w:before="40" w:after="40"/>
      </w:pPr>
      <w:r>
        <w:rPr>
          <w:rFonts w:ascii="Arial" w:cs="Arial" w:eastAsia="Arial" w:hAnsi="Arial"/>
          <w:color w:val="0A2543"/>
          <w:sz w:val="20"/>
          <w:szCs w:val="20"/>
        </w:rPr>
        <w:t xml:space="preserve">BYOD mobile devices managed via MAM with PIN enforcement and selective wipe capability</w:t>
      </w:r>
    </w:p>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4</w:t>
            </w:r>
          </w:p>
        </w:tc>
        <w:tc>
          <w:tcPr>
            <w:tcW w:type="dxa" w:w="872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6"/>
                <w:szCs w:val="26"/>
              </w:rPr>
              <w:t xml:space="preserve">Monitoring, Alerting &amp; Continuous Improvement</w:t>
            </w:r>
          </w:p>
          <w:p>
            <w:pPr>
              <w:spacing w:before="30"/>
            </w:pPr>
            <w:r>
              <w:rPr>
                <w:rFonts w:ascii="Arial" w:cs="Arial" w:eastAsia="Arial" w:hAnsi="Arial"/>
                <w:color w:val="8BAFC8"/>
                <w:sz w:val="18"/>
                <w:szCs w:val="18"/>
              </w:rPr>
              <w:t xml:space="preserve">Weeks 13–16</w:t>
            </w:r>
          </w:p>
        </w:tc>
      </w:tr>
    </w:tbl>
    <w:p>
      <w:pPr>
        <w:spacing w:before="40" w:after="0"/>
      </w:pPr>
      <w:r>
        <w:t xml:space="preserve"/>
      </w:r>
    </w:p>
    <w:p>
      <w:pPr>
        <w:spacing w:before="60" w:after="60"/>
        <w:jc w:val="left"/>
      </w:pPr>
      <w:r>
        <w:rPr>
          <w:rFonts w:ascii="Arial" w:cs="Arial" w:eastAsia="Arial" w:hAnsi="Arial"/>
          <w:color w:val="0A2543"/>
          <w:sz w:val="20"/>
          <w:szCs w:val="20"/>
        </w:rPr>
        <w:t xml:space="preserve">Phase 4 operationalizes the security posture. Technology controls alone are insufficient — the organization needs visibility, alerting, and documented response processes to sustain Zero Trust over time.</w:t>
      </w:r>
    </w:p>
    <w:p>
      <w:pPr>
        <w:spacing w:before="60" w:after="0"/>
      </w:pPr>
      <w:r>
        <w:t xml:space="preserve"/>
      </w:r>
    </w:p>
    <w:p>
      <w:pPr>
        <w:spacing w:before="180" w:after="40"/>
      </w:pPr>
      <w:r>
        <w:rPr>
          <w:rFonts w:ascii="Arial" w:cs="Arial" w:eastAsia="Arial" w:hAnsi="Arial"/>
          <w:b/>
          <w:bCs/>
          <w:color w:val="0A2543"/>
          <w:sz w:val="22"/>
          <w:szCs w:val="22"/>
        </w:rPr>
        <w:t xml:space="preserve">Objectives</w:t>
      </w:r>
    </w:p>
    <w:p>
      <w:pPr>
        <w:pStyle w:val="ListParagraph"/>
        <w:numPr>
          <w:ilvl w:val="0"/>
          <w:numId w:val="2"/>
        </w:numPr>
        <w:spacing w:before="40" w:after="40"/>
      </w:pPr>
      <w:r>
        <w:rPr>
          <w:rFonts w:ascii="Arial" w:cs="Arial" w:eastAsia="Arial" w:hAnsi="Arial"/>
          <w:color w:val="0A2543"/>
          <w:sz w:val="20"/>
          <w:szCs w:val="20"/>
        </w:rPr>
        <w:t xml:space="preserve">Deploy and configure Microsoft Sentinel as the primary SIEM</w:t>
      </w:r>
    </w:p>
    <w:p>
      <w:pPr>
        <w:pStyle w:val="ListParagraph"/>
        <w:numPr>
          <w:ilvl w:val="0"/>
          <w:numId w:val="2"/>
        </w:numPr>
        <w:spacing w:before="40" w:after="40"/>
      </w:pPr>
      <w:r>
        <w:rPr>
          <w:rFonts w:ascii="Arial" w:cs="Arial" w:eastAsia="Arial" w:hAnsi="Arial"/>
          <w:color w:val="0A2543"/>
          <w:sz w:val="20"/>
          <w:szCs w:val="20"/>
        </w:rPr>
        <w:t xml:space="preserve">Connect all M365 and Entra ID data connectors to Sentinel</w:t>
      </w:r>
    </w:p>
    <w:p>
      <w:pPr>
        <w:pStyle w:val="ListParagraph"/>
        <w:numPr>
          <w:ilvl w:val="0"/>
          <w:numId w:val="2"/>
        </w:numPr>
        <w:spacing w:before="40" w:after="40"/>
      </w:pPr>
      <w:r>
        <w:rPr>
          <w:rFonts w:ascii="Arial" w:cs="Arial" w:eastAsia="Arial" w:hAnsi="Arial"/>
          <w:color w:val="0A2543"/>
          <w:sz w:val="20"/>
          <w:szCs w:val="20"/>
        </w:rPr>
        <w:t xml:space="preserve">Define and activate analytics rules for key threat scenarios</w:t>
      </w:r>
    </w:p>
    <w:p>
      <w:pPr>
        <w:pStyle w:val="ListParagraph"/>
        <w:numPr>
          <w:ilvl w:val="0"/>
          <w:numId w:val="2"/>
        </w:numPr>
        <w:spacing w:before="40" w:after="40"/>
      </w:pPr>
      <w:r>
        <w:rPr>
          <w:rFonts w:ascii="Arial" w:cs="Arial" w:eastAsia="Arial" w:hAnsi="Arial"/>
          <w:color w:val="0A2543"/>
          <w:sz w:val="20"/>
          <w:szCs w:val="20"/>
        </w:rPr>
        <w:t xml:space="preserve">Establish a Secure Score review cadence and remediation ownership process</w:t>
      </w:r>
    </w:p>
    <w:p>
      <w:pPr>
        <w:pStyle w:val="ListParagraph"/>
        <w:numPr>
          <w:ilvl w:val="0"/>
          <w:numId w:val="2"/>
        </w:numPr>
        <w:spacing w:before="40" w:after="40"/>
      </w:pPr>
      <w:r>
        <w:rPr>
          <w:rFonts w:ascii="Arial" w:cs="Arial" w:eastAsia="Arial" w:hAnsi="Arial"/>
          <w:color w:val="0A2543"/>
          <w:sz w:val="20"/>
          <w:szCs w:val="20"/>
        </w:rPr>
        <w:t xml:space="preserve">Document Incident Response runbooks for identity and data breach scenarios</w:t>
      </w:r>
    </w:p>
    <w:p>
      <w:pPr>
        <w:pStyle w:val="ListParagraph"/>
        <w:numPr>
          <w:ilvl w:val="0"/>
          <w:numId w:val="2"/>
        </w:numPr>
        <w:spacing w:before="40" w:after="40"/>
      </w:pPr>
      <w:r>
        <w:rPr>
          <w:rFonts w:ascii="Arial" w:cs="Arial" w:eastAsia="Arial" w:hAnsi="Arial"/>
          <w:color w:val="0A2543"/>
          <w:sz w:val="20"/>
          <w:szCs w:val="20"/>
        </w:rPr>
        <w:t xml:space="preserve">Conduct tabletop exercise and complete first privileged access review</w:t>
      </w:r>
    </w:p>
    <w:p>
      <w:pPr>
        <w:spacing w:before="60" w:after="0"/>
      </w:pPr>
      <w:r>
        <w:t xml:space="preserve"/>
      </w:r>
    </w:p>
    <w:p>
      <w:pPr>
        <w:spacing w:before="180" w:after="40"/>
      </w:pPr>
      <w:r>
        <w:rPr>
          <w:rFonts w:ascii="Arial" w:cs="Arial" w:eastAsia="Arial" w:hAnsi="Arial"/>
          <w:b/>
          <w:bCs/>
          <w:color w:val="0A2543"/>
          <w:sz w:val="22"/>
          <w:szCs w:val="22"/>
        </w:rPr>
        <w:t xml:space="preserve">Task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Task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Owner</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Week</w:t>
            </w:r>
          </w:p>
        </w:tc>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License</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Microsoft Sentinel workspace — configure Log Analytics retention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13</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Sentinel</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Connect M365 Defender, Entra ID, Intune, Azure Activity data connectors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13</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Sentinel</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Entra ID Protection analytics rules in Sentinel</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14</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P2</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UEBA (User Entity Behavior Analytics) in Sentinel</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14</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Sentinel</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Deploy analytics rules: impossible travel, MFA fatigue, bulk download, new admin role</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14</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Sentinel</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Configure automation playbooks (Logic Apps): auto-disable risky user on High risk</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15</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Sentinel</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Enable CA010 (MCAS session controls) after MCAS session policy confirmed</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15</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MDCA</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Establish monthly Secure Score review cadence with assigned remediation owners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15</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Document IR runbooks: compromised account, data exfiltration, ransomware</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15</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Conduct Entra ID Access Review for all privileged roles</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16</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AAD P2</w:t>
            </w:r>
          </w:p>
        </w:tc>
      </w:tr>
      <w:tr>
        <w:tc>
          <w:tcPr>
            <w:tcW w:type="dxa" w:w="46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Tabletop exercise: simulate BEC scenario — detection, containment, recovery</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16</w:t>
            </w:r>
          </w:p>
        </w:tc>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r>
        <w:tc>
          <w:tcPr>
            <w:tcW w:type="dxa" w:w="46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16-week implementation review — measure against Secure Score baseline</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16</w:t>
            </w:r>
          </w:p>
        </w:tc>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r>
    </w:tbl>
    <w:p>
      <w:pPr>
        <w:spacing w:before="60" w:after="0"/>
      </w:pPr>
      <w:r>
        <w:t xml:space="preserve"/>
      </w:r>
    </w:p>
    <w:p>
      <w:pPr>
        <w:spacing w:before="180" w:after="40"/>
      </w:pPr>
      <w:r>
        <w:rPr>
          <w:rFonts w:ascii="Arial" w:cs="Arial" w:eastAsia="Arial" w:hAnsi="Arial"/>
          <w:b/>
          <w:bCs/>
          <w:color w:val="0A2543"/>
          <w:sz w:val="22"/>
          <w:szCs w:val="22"/>
        </w:rPr>
        <w:t xml:space="preserve">Success Criteria</w:t>
      </w:r>
    </w:p>
    <w:p>
      <w:pPr>
        <w:pStyle w:val="ListParagraph"/>
        <w:numPr>
          <w:ilvl w:val="0"/>
          <w:numId w:val="2"/>
        </w:numPr>
        <w:spacing w:before="40" w:after="40"/>
      </w:pPr>
      <w:r>
        <w:rPr>
          <w:rFonts w:ascii="Arial" w:cs="Arial" w:eastAsia="Arial" w:hAnsi="Arial"/>
          <w:color w:val="0A2543"/>
          <w:sz w:val="20"/>
          <w:szCs w:val="20"/>
        </w:rPr>
        <w:t xml:space="preserve">Sentinel receiving logs from all M365, Entra ID, Intune, and Defender data sources</w:t>
      </w:r>
    </w:p>
    <w:p>
      <w:pPr>
        <w:pStyle w:val="ListParagraph"/>
        <w:numPr>
          <w:ilvl w:val="0"/>
          <w:numId w:val="2"/>
        </w:numPr>
        <w:spacing w:before="40" w:after="40"/>
      </w:pPr>
      <w:r>
        <w:rPr>
          <w:rFonts w:ascii="Arial" w:cs="Arial" w:eastAsia="Arial" w:hAnsi="Arial"/>
          <w:color w:val="0A2543"/>
          <w:sz w:val="20"/>
          <w:szCs w:val="20"/>
        </w:rPr>
        <w:t xml:space="preserve">Minimum 5 analytics rules active with confirmed alert generation in test scenarios</w:t>
      </w:r>
    </w:p>
    <w:p>
      <w:pPr>
        <w:pStyle w:val="ListParagraph"/>
        <w:numPr>
          <w:ilvl w:val="0"/>
          <w:numId w:val="2"/>
        </w:numPr>
        <w:spacing w:before="40" w:after="40"/>
      </w:pPr>
      <w:r>
        <w:rPr>
          <w:rFonts w:ascii="Arial" w:cs="Arial" w:eastAsia="Arial" w:hAnsi="Arial"/>
          <w:color w:val="0A2543"/>
          <w:sz w:val="20"/>
          <w:szCs w:val="20"/>
        </w:rPr>
        <w:t xml:space="preserve">Incident Response runbooks documented and reviewed by relevant stakeholders</w:t>
      </w:r>
    </w:p>
    <w:p>
      <w:pPr>
        <w:pStyle w:val="ListParagraph"/>
        <w:numPr>
          <w:ilvl w:val="0"/>
          <w:numId w:val="2"/>
        </w:numPr>
        <w:spacing w:before="40" w:after="40"/>
      </w:pPr>
      <w:r>
        <w:rPr>
          <w:rFonts w:ascii="Arial" w:cs="Arial" w:eastAsia="Arial" w:hAnsi="Arial"/>
          <w:color w:val="0A2543"/>
          <w:sz w:val="20"/>
          <w:szCs w:val="20"/>
        </w:rPr>
        <w:t xml:space="preserve">Microsoft Secure Score above 70% in Defender portal</w:t>
      </w:r>
    </w:p>
    <w:p>
      <w:pPr>
        <w:pStyle w:val="ListParagraph"/>
        <w:numPr>
          <w:ilvl w:val="0"/>
          <w:numId w:val="2"/>
        </w:numPr>
        <w:spacing w:before="40" w:after="40"/>
      </w:pPr>
      <w:r>
        <w:rPr>
          <w:rFonts w:ascii="Arial" w:cs="Arial" w:eastAsia="Arial" w:hAnsi="Arial"/>
          <w:color w:val="0A2543"/>
          <w:sz w:val="20"/>
          <w:szCs w:val="20"/>
        </w:rPr>
        <w:t xml:space="preserve">First privileged role access review completed and certified</w:t>
      </w:r>
    </w:p>
    <w:p>
      <w:pPr>
        <w:spacing w:before="4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Section 2: Conditional Access Policy Stack</w:t>
      </w:r>
    </w:p>
    <w:p>
      <w:pPr>
        <w:spacing w:before="40" w:after="0"/>
      </w:pPr>
      <w:r>
        <w:t xml:space="preserve"/>
      </w:r>
    </w:p>
    <w:p>
      <w:pPr>
        <w:spacing w:before="60" w:after="60"/>
        <w:jc w:val="left"/>
      </w:pPr>
      <w:r>
        <w:rPr>
          <w:rFonts w:ascii="Arial" w:cs="Arial" w:eastAsia="Arial" w:hAnsi="Arial"/>
          <w:color w:val="0A2543"/>
          <w:sz w:val="20"/>
          <w:szCs w:val="20"/>
        </w:rPr>
        <w:t xml:space="preserve">The following Conditional Access policies form the enforcement engine of this Zero Trust implementation. All policies are deployed via the Microsoft Graph API using the accompanying PowerShell script. Every policy should be deployed in Report-only mode, reviewed for 7–14 days, then switched to Enabled in the recommended sequence.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left"/>
            </w:pPr>
            <w:r>
              <w:rPr>
                <w:rFonts w:ascii="Arial" w:cs="Arial" w:eastAsia="Arial" w:hAnsi="Arial"/>
                <w:color w:val="6B4200"/>
                <w:sz w:val="19"/>
                <w:szCs w:val="19"/>
              </w:rPr>
              <w:t xml:space="preserve">Always maintain break-glass accounts excluded from every policy. Deploy in Report-only first. Enable CA002 (legacy auth block) before enabling any other policy.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Policy</w:t>
            </w:r>
          </w:p>
        </w:tc>
        <w:tc>
          <w:tcPr>
            <w:tcW w:type="dxa" w:w="20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Applies To</w:t>
            </w:r>
          </w:p>
        </w:tc>
        <w:tc>
          <w:tcPr>
            <w:tcW w:type="dxa" w:w="2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Requirement</w:t>
            </w:r>
          </w:p>
        </w:tc>
        <w:tc>
          <w:tcPr>
            <w:tcW w:type="dxa" w:w="2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Rationale</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CA001 – MFA for all users</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MFA on every sign-in</w:t>
            </w:r>
          </w:p>
        </w:tc>
        <w:tc>
          <w:tcPr>
            <w:tcW w:type="dxa" w:w="2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Baseline MFA blocks &gt;99.9% of automated credential attacks.</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CA002 – Block legacy authentication</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Block legacy auth clients</w:t>
            </w:r>
          </w:p>
        </w:tc>
        <w:tc>
          <w:tcPr>
            <w:tcW w:type="dxa" w:w="2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IMAP/POP/SMTP AUTH cannot enforce MFA. Must be eliminated.</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CA003 – Phishing-resistant MFA for admins</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Privileged roles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FIDO2 or WHfB only</w:t>
            </w:r>
          </w:p>
        </w:tc>
        <w:tc>
          <w:tcPr>
            <w:tcW w:type="dxa" w:w="2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Standard MFA is phishable. Admins need hardware-bound auth.</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CA004 – Block high-risk sign-ins</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Block if sign-in risk = High</w:t>
            </w:r>
          </w:p>
        </w:tc>
        <w:tc>
          <w:tcPr>
            <w:tcW w:type="dxa" w:w="2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ML-detected threats blocked in real time. Requires P2.</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CA005 – Password change for high-risk users</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MFA + password change if user = High</w:t>
            </w:r>
          </w:p>
        </w:tc>
        <w:tc>
          <w:tcPr>
            <w:tcW w:type="dxa" w:w="2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Forces credential rotation when leaked creds are detected. P2.</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CA006 – Require compliant device</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 Windows/macOS</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Intune-compliant or Entra-joined</w:t>
            </w:r>
          </w:p>
        </w:tc>
        <w:tc>
          <w:tcPr>
            <w:tcW w:type="dxa" w:w="2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Unmanaged devices are uncontrolled risk.</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CA007 – App protection for mobile</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 iOS/Android</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Approved app + MAM policy</w:t>
            </w:r>
          </w:p>
        </w:tc>
        <w:tc>
          <w:tcPr>
            <w:tcW w:type="dxa" w:w="2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BYOD data protection without full device enrollment.</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CA008 – MFA from untrusted locations</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MFA outside Named Locations</w:t>
            </w:r>
          </w:p>
        </w:tc>
        <w:tc>
          <w:tcPr>
            <w:tcW w:type="dxa" w:w="2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Location-aware risk. Adds friction from unknown networks.</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CA009 – MFA for Azure management</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MFA for Azure portal/ARM/CLI</w:t>
            </w:r>
          </w:p>
        </w:tc>
        <w:tc>
          <w:tcPr>
            <w:tcW w:type="dxa" w:w="2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Azure management plane always protected independently.</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CA010 – Session controls (MCAS)</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 users, browser</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MCAS proxy — no download/print</w:t>
            </w:r>
          </w:p>
        </w:tc>
        <w:tc>
          <w:tcPr>
            <w:tcW w:type="dxa" w:w="2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Allows unmanaged device access but prevents data exfiltration.</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Section 3: Risk Register</w:t>
      </w:r>
    </w:p>
    <w:p>
      <w:pPr>
        <w:spacing w:before="40" w:after="0"/>
      </w:pPr>
      <w:r>
        <w:t xml:space="preserve"/>
      </w:r>
    </w:p>
    <w:p>
      <w:pPr>
        <w:spacing w:before="60" w:after="60"/>
        <w:jc w:val="left"/>
      </w:pPr>
      <w:r>
        <w:rPr>
          <w:rFonts w:ascii="Arial" w:cs="Arial" w:eastAsia="Arial" w:hAnsi="Arial"/>
          <w:color w:val="0A2543"/>
          <w:sz w:val="20"/>
          <w:szCs w:val="20"/>
        </w:rPr>
        <w:t xml:space="preserve">The following risks have been identified for this implementation. Each is assessed for likelihood and impact, with a defined mitigation strategy. This register should be reviewed at the start of each phase.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Risk</w:t>
            </w:r>
          </w:p>
        </w:tc>
        <w:tc>
          <w:tcPr>
            <w:tcW w:type="dxa" w:w="1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Likelihood</w:t>
            </w:r>
          </w:p>
        </w:tc>
        <w:tc>
          <w:tcPr>
            <w:tcW w:type="dxa" w:w="1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Impact</w:t>
            </w:r>
          </w:p>
        </w:tc>
        <w:tc>
          <w:tcPr>
            <w:tcW w:type="dxa" w:w="39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Mitigation</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MFA rollout causes user lockout</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High</w:t>
            </w:r>
          </w:p>
        </w:tc>
        <w:tc>
          <w:tcPr>
            <w:tcW w:type="dxa" w:w="3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Deploy Report-only first. Pre-communicate 2 weeks ahead. Maintain break-glass accounts.</w:t>
            </w:r>
          </w:p>
        </w:tc>
      </w:tr>
      <w:tr>
        <w:tc>
          <w:tcPr>
            <w:tcW w:type="dxa" w:w="2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Legacy apps break when legacy auth is blocked</w:t>
            </w:r>
          </w:p>
        </w:tc>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3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Audit legacy auth usage in Sign-in logs before blocking. Create time-limited exceptions.</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Non-compliant devices lose access pre-remediation</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High</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3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Run 7-day compliance grace period. Prioritize enrollment before enabling CA006.</w:t>
            </w:r>
          </w:p>
        </w:tc>
      </w:tr>
      <w:tr>
        <w:tc>
          <w:tcPr>
            <w:tcW w:type="dxa" w:w="2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Break-glass accounts not maintained or tested</w:t>
            </w:r>
          </w:p>
        </w:tc>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Low</w:t>
            </w:r>
          </w:p>
        </w:tc>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Critical</w:t>
            </w:r>
          </w:p>
        </w:tc>
        <w:tc>
          <w:tcPr>
            <w:tcW w:type="dxa" w:w="3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Test break-glass access quarterly. Alert on any sign-in. Store offline.</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PIM activation delays for urgent admin tasks</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Low</w:t>
            </w:r>
          </w:p>
        </w:tc>
        <w:tc>
          <w:tcPr>
            <w:tcW w:type="dxa" w:w="3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Set activation window to 4–8 hours. Allow self-approval for lower-sensitivity roles.</w:t>
            </w:r>
          </w:p>
        </w:tc>
      </w:tr>
      <w:tr>
        <w:tc>
          <w:tcPr>
            <w:tcW w:type="dxa" w:w="2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Sentinel ingestion cost overrun</w:t>
            </w:r>
          </w:p>
        </w:tc>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Medium</w:t>
            </w:r>
          </w:p>
        </w:tc>
        <w:tc>
          <w:tcPr>
            <w:tcW w:type="dxa" w:w="3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Set data cap. Scope to security tables only (SigninLogs, AuditLogs, AlertInfo).</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CA policy misconfiguration blocks all users</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Low</w:t>
            </w:r>
          </w:p>
        </w:tc>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Critical</w:t>
            </w:r>
          </w:p>
        </w:tc>
        <w:tc>
          <w:tcPr>
            <w:tcW w:type="dxa" w:w="3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Always test in Report-only mode. Never enable a block-all policy without break-glass exclusion.</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Section 4: Governance &amp; Ongoing Management</w:t>
      </w:r>
    </w:p>
    <w:p>
      <w:pPr>
        <w:spacing w:before="40" w:after="0"/>
      </w:pPr>
      <w:r>
        <w:t xml:space="preserve"/>
      </w:r>
    </w:p>
    <w:p>
      <w:pPr>
        <w:spacing w:before="240" w:after="60"/>
      </w:pPr>
      <w:r>
        <w:rPr>
          <w:rFonts w:ascii="Arial" w:cs="Arial" w:eastAsia="Arial" w:hAnsi="Arial"/>
          <w:b/>
          <w:bCs/>
          <w:color w:val="0D3060"/>
          <w:sz w:val="27"/>
          <w:szCs w:val="27"/>
        </w:rPr>
        <w:t xml:space="preserve">Operational Cadence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Frequency</w:t>
            </w:r>
          </w:p>
        </w:tc>
        <w:tc>
          <w:tcPr>
            <w:tcW w:type="dxa" w:w="43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Activity</w:t>
            </w:r>
          </w:p>
        </w:tc>
        <w:tc>
          <w:tcPr>
            <w:tcW w:type="dxa" w:w="32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Owner</w:t>
            </w:r>
          </w:p>
        </w:tc>
      </w:tr>
      <w:tr>
        <w:tc>
          <w:tcPr>
            <w:tcW w:type="dxa" w:w="1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Weekly</w:t>
            </w:r>
          </w:p>
        </w:tc>
        <w:tc>
          <w:tcPr>
            <w:tcW w:type="dxa" w:w="43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Review Entra ID Protection risky users and sign-in risk alerts</w:t>
            </w:r>
          </w:p>
        </w:tc>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r>
      <w:tr>
        <w:tc>
          <w:tcPr>
            <w:tcW w:type="dxa" w:w="1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Weekly</w:t>
            </w:r>
          </w:p>
        </w:tc>
        <w:tc>
          <w:tcPr>
            <w:tcW w:type="dxa" w:w="43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Review Secure Score delta and action new recommendations</w:t>
            </w:r>
          </w:p>
        </w:tc>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r>
      <w:tr>
        <w:tc>
          <w:tcPr>
            <w:tcW w:type="dxa" w:w="1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Monthly</w:t>
            </w:r>
          </w:p>
        </w:tc>
        <w:tc>
          <w:tcPr>
            <w:tcW w:type="dxa" w:w="43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Privileged role access review (Entra Access Reviews)</w:t>
            </w:r>
          </w:p>
        </w:tc>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 / Management</w:t>
            </w:r>
          </w:p>
        </w:tc>
      </w:tr>
      <w:tr>
        <w:tc>
          <w:tcPr>
            <w:tcW w:type="dxa" w:w="1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Monthly</w:t>
            </w:r>
          </w:p>
        </w:tc>
        <w:tc>
          <w:tcPr>
            <w:tcW w:type="dxa" w:w="43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Review CA policy change log — validate no unauthorized modifications</w:t>
            </w:r>
          </w:p>
        </w:tc>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r>
      <w:tr>
        <w:tc>
          <w:tcPr>
            <w:tcW w:type="dxa" w:w="1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Quarterly</w:t>
            </w:r>
          </w:p>
        </w:tc>
        <w:tc>
          <w:tcPr>
            <w:tcW w:type="dxa" w:w="43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Full Conditional Access policy audit and re-validation</w:t>
            </w:r>
          </w:p>
        </w:tc>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r>
      <w:tr>
        <w:tc>
          <w:tcPr>
            <w:tcW w:type="dxa" w:w="1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Quarterly</w:t>
            </w:r>
          </w:p>
        </w:tc>
        <w:tc>
          <w:tcPr>
            <w:tcW w:type="dxa" w:w="43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DLP policy review — tune for false positives and new data types</w:t>
            </w:r>
          </w:p>
        </w:tc>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r>
      <w:tr>
        <w:tc>
          <w:tcPr>
            <w:tcW w:type="dxa" w:w="1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Quarterly</w:t>
            </w:r>
          </w:p>
        </w:tc>
        <w:tc>
          <w:tcPr>
            <w:tcW w:type="dxa" w:w="43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Penetration test or adversarial tabletop exercise</w:t>
            </w:r>
          </w:p>
        </w:tc>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External / Internal</w:t>
            </w:r>
          </w:p>
        </w:tc>
      </w:tr>
      <w:tr>
        <w:tc>
          <w:tcPr>
            <w:tcW w:type="dxa" w:w="1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Annually</w:t>
            </w:r>
          </w:p>
        </w:tc>
        <w:tc>
          <w:tcPr>
            <w:tcW w:type="dxa" w:w="43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Zero Trust maturity assessment against Microsoft ZT framework</w:t>
            </w:r>
          </w:p>
        </w:tc>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IT Admin</w:t>
            </w:r>
          </w:p>
        </w:tc>
      </w:tr>
    </w:tbl>
    <w:p>
      <w:pPr>
        <w:spacing w:before="80" w:after="0"/>
      </w:pPr>
      <w:r>
        <w:t xml:space="preserve"/>
      </w:r>
    </w:p>
    <w:p>
      <w:pPr>
        <w:spacing w:before="240" w:after="60"/>
      </w:pPr>
      <w:r>
        <w:rPr>
          <w:rFonts w:ascii="Arial" w:cs="Arial" w:eastAsia="Arial" w:hAnsi="Arial"/>
          <w:b/>
          <w:bCs/>
          <w:color w:val="0D3060"/>
          <w:sz w:val="27"/>
          <w:szCs w:val="27"/>
        </w:rPr>
        <w:t xml:space="preserve">Break-Glass Account Requirements</w:t>
      </w:r>
    </w:p>
    <w:p>
      <w:pPr>
        <w:spacing w:before="60" w:after="60"/>
        <w:jc w:val="left"/>
      </w:pPr>
      <w:r>
        <w:rPr>
          <w:rFonts w:ascii="Arial" w:cs="Arial" w:eastAsia="Arial" w:hAnsi="Arial"/>
          <w:color w:val="0A2543"/>
          <w:sz w:val="20"/>
          <w:szCs w:val="20"/>
        </w:rPr>
        <w:t xml:space="preserve">Two emergency access accounts must be maintained for the lifetime of this implementation. These are the only accounts excluded from all Conditional Access policies.</w:t>
      </w:r>
    </w:p>
    <w:p>
      <w:pPr>
        <w:spacing w:before="40" w:after="0"/>
      </w:pPr>
      <w:r>
        <w:t xml:space="preserve"/>
      </w:r>
    </w:p>
    <w:p>
      <w:pPr>
        <w:pStyle w:val="ListParagraph"/>
        <w:numPr>
          <w:ilvl w:val="0"/>
          <w:numId w:val="2"/>
        </w:numPr>
        <w:spacing w:before="40" w:after="40"/>
      </w:pPr>
      <w:r>
        <w:rPr>
          <w:rFonts w:ascii="Arial" w:cs="Arial" w:eastAsia="Arial" w:hAnsi="Arial"/>
          <w:color w:val="0A2543"/>
          <w:sz w:val="20"/>
          <w:szCs w:val="20"/>
        </w:rPr>
        <w:t xml:space="preserve">Use a naming convention that clearly identifies them as emergency accounts</w:t>
      </w:r>
    </w:p>
    <w:p>
      <w:pPr>
        <w:pStyle w:val="ListParagraph"/>
        <w:numPr>
          <w:ilvl w:val="0"/>
          <w:numId w:val="2"/>
        </w:numPr>
        <w:spacing w:before="40" w:after="40"/>
      </w:pPr>
      <w:r>
        <w:rPr>
          <w:rFonts w:ascii="Arial" w:cs="Arial" w:eastAsia="Arial" w:hAnsi="Arial"/>
          <w:color w:val="0A2543"/>
          <w:sz w:val="20"/>
          <w:szCs w:val="20"/>
        </w:rPr>
        <w:t xml:space="preserve">Store credentials in a physically secured, offline location — not a password manager</w:t>
      </w:r>
    </w:p>
    <w:p>
      <w:pPr>
        <w:pStyle w:val="ListParagraph"/>
        <w:numPr>
          <w:ilvl w:val="0"/>
          <w:numId w:val="2"/>
        </w:numPr>
        <w:spacing w:before="40" w:after="40"/>
      </w:pPr>
      <w:r>
        <w:rPr>
          <w:rFonts w:ascii="Arial" w:cs="Arial" w:eastAsia="Arial" w:hAnsi="Arial"/>
          <w:color w:val="0A2543"/>
          <w:sz w:val="20"/>
          <w:szCs w:val="20"/>
        </w:rPr>
        <w:t xml:space="preserve">Exclude from all CA policies, PIM assignments, and MFA requirements</w:t>
      </w:r>
    </w:p>
    <w:p>
      <w:pPr>
        <w:pStyle w:val="ListParagraph"/>
        <w:numPr>
          <w:ilvl w:val="0"/>
          <w:numId w:val="2"/>
        </w:numPr>
        <w:spacing w:before="40" w:after="40"/>
      </w:pPr>
      <w:r>
        <w:rPr>
          <w:rFonts w:ascii="Arial" w:cs="Arial" w:eastAsia="Arial" w:hAnsi="Arial"/>
          <w:color w:val="0A2543"/>
          <w:sz w:val="20"/>
          <w:szCs w:val="20"/>
        </w:rPr>
        <w:t xml:space="preserve">Configure a Sentinel alert to immediately notify on any sign-in by these accounts</w:t>
      </w:r>
    </w:p>
    <w:p>
      <w:pPr>
        <w:pStyle w:val="ListParagraph"/>
        <w:numPr>
          <w:ilvl w:val="0"/>
          <w:numId w:val="2"/>
        </w:numPr>
        <w:spacing w:before="40" w:after="40"/>
      </w:pPr>
      <w:r>
        <w:rPr>
          <w:rFonts w:ascii="Arial" w:cs="Arial" w:eastAsia="Arial" w:hAnsi="Arial"/>
          <w:color w:val="0A2543"/>
          <w:sz w:val="20"/>
          <w:szCs w:val="20"/>
        </w:rPr>
        <w:t xml:space="preserve">Test quarterly — confirm they can authenticate to portal.azure.com</w:t>
      </w:r>
    </w:p>
    <w:p>
      <w:pPr>
        <w:pStyle w:val="ListParagraph"/>
        <w:numPr>
          <w:ilvl w:val="0"/>
          <w:numId w:val="2"/>
        </w:numPr>
        <w:spacing w:before="40" w:after="40"/>
      </w:pPr>
      <w:r>
        <w:rPr>
          <w:rFonts w:ascii="Arial" w:cs="Arial" w:eastAsia="Arial" w:hAnsi="Arial"/>
          <w:color w:val="0A2543"/>
          <w:sz w:val="20"/>
          <w:szCs w:val="20"/>
        </w:rPr>
        <w:t xml:space="preserve">Never use for day-to-day administration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DECEA" w:val="clear"/>
            <w:tcMar>
              <w:top w:type="dxa" w:w="140"/>
              <w:left w:type="dxa" w:w="240"/>
              <w:bottom w:type="dxa" w:w="140"/>
              <w:right w:type="dxa" w:w="200"/>
            </w:tcMar>
          </w:tcPr>
          <w:p>
            <w:pPr>
              <w:jc w:val="left"/>
            </w:pPr>
            <w:r>
              <w:rPr>
                <w:rFonts w:ascii="Arial" w:cs="Arial" w:eastAsia="Arial" w:hAnsi="Arial"/>
                <w:color w:val="7B1A1A"/>
                <w:sz w:val="19"/>
                <w:szCs w:val="19"/>
              </w:rPr>
              <w:t xml:space="preserve">Microsoft explicitly requires break-glass accounts before enabling any Conditional Access policy. A tenant lockout with no break-glass accounts has no self-service recovery path — only a Microsoft Support escalation, which can take 24–72 hours.</w:t>
            </w:r>
          </w:p>
        </w:tc>
      </w:tr>
    </w:tbl>
    <w:sectPr>
      <w:headerReference w:type="default" r:id="rId6"/>
      <w:footerReference w:type="default" r:id="rId7"/>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BBF46" w:sz="4" w:space="2"/>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888888"/>
              <w:sz w:val="16"/>
              <w:szCs w:val="16"/>
            </w:rPr>
            <w:t xml:space="preserve">Versetal | Confidential</w:t>
          </w:r>
        </w:p>
      </w:tc>
      <w:tc>
        <w:tcPr>
          <w:tcW w:type="dxa" w:w="3120"/>
          <w:tcBorders>
            <w:top w:val="single" w:color="5BBF46" w:sz="4" w:space="2"/>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2543" w:val="clear"/>
          <w:tcMar>
            <w:top w:type="dxa" w:w="80"/>
            <w:left w:type="dxa" w:w="160"/>
            <w:bottom w:type="dxa" w:w="80"/>
            <w:right w:type="dxa" w:w="80"/>
          </w:tcMar>
        </w:tcPr>
        <w:p>
          <w:r>
            <w:rPr>
              <w:rFonts w:ascii="Arial" w:cs="Arial" w:eastAsia="Arial" w:hAnsi="Arial"/>
              <w:b/>
              <w:bCs/>
              <w:color w:val="5BBF46"/>
              <w:sz w:val="18"/>
              <w:szCs w:val="18"/>
            </w:rPr>
            <w:t xml:space="preserve">VERSETAL</w:t>
          </w:r>
        </w:p>
      </w:tc>
      <w:tc>
        <w:tcPr>
          <w:tcW w:type="dxa" w:w="4680"/>
          <w:tcBorders>
            <w:top w:val="none" w:color="FFFFFF" w:sz="0"/>
            <w:left w:val="none" w:color="FFFFFF" w:sz="0"/>
            <w:bottom w:val="none" w:color="FFFFFF" w:sz="0"/>
            <w:right w:val="none" w:color="FFFFFF" w:sz="0"/>
          </w:tcBorders>
          <w:shd w:fill="0A2543" w:val="clear"/>
          <w:tcMar>
            <w:top w:type="dxa" w:w="80"/>
            <w:left w:type="dxa" w:w="80"/>
            <w:bottom w:type="dxa" w:w="80"/>
            <w:right w:type="dxa" w:w="160"/>
          </w:tcMar>
        </w:tcPr>
        <w:p>
          <w:pPr>
            <w:jc w:val="right"/>
          </w:pPr>
          <w:r>
            <w:rPr>
              <w:rFonts w:ascii="Arial" w:cs="Arial" w:eastAsia="Arial" w:hAnsi="Arial"/>
              <w:color w:val="8BAFC8"/>
              <w:sz w:val="16"/>
              <w:szCs w:val="16"/>
            </w:rPr>
            <w:t xml:space="preserve">M365 Zero Trust  |  Implementation Project Plan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2026-03-25T20:07:25.213Z</dcterms:created>
  <dcterms:modified xsi:type="dcterms:W3CDTF">2026-03-25T20:07:25.214Z</dcterms:modified>
</cp:coreProperties>
</file>

<file path=docProps/custom.xml><?xml version="1.0" encoding="utf-8"?>
<Properties xmlns="http://schemas.openxmlformats.org/officeDocument/2006/custom-properties" xmlns:vt="http://schemas.openxmlformats.org/officeDocument/2006/docPropsVTypes"/>
</file>