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F8ED6"/>
          <w:sz w:val="26"/>
        </w:rPr>
        <w:t>NYC EMPLOYEE PAYROLL</w:t>
      </w:r>
    </w:p>
    <w:p>
      <w:pPr>
        <w:spacing w:after="160"/>
      </w:pPr>
      <w:r>
        <w:rPr>
          <w:rFonts w:ascii="Aptos Display" w:hAnsi="Aptos Display"/>
          <w:b/>
          <w:color w:val="0B1F33"/>
          <w:sz w:val="60"/>
        </w:rPr>
        <w:t>Databricks Data Engineering</w:t>
        <w:br/>
        <w:t>Team Reference</w:t>
      </w:r>
    </w:p>
    <w:p>
      <w:r>
        <w:rPr>
          <w:rFonts w:ascii="Aptos" w:hAnsi="Aptos"/>
          <w:color w:val="5E7184"/>
          <w:sz w:val="26"/>
        </w:rPr>
        <w:t>End-to-end batch pipeline • SCD Type 2 • Data Quality • Audit • Alerts • Archive • BI</w:t>
      </w:r>
    </w:p>
    <w:tbl>
      <w:tblPr>
        <w:tblW w:type="auto" w:w="0"/>
        <w:tblLook w:firstColumn="1" w:firstRow="1" w:lastColumn="0" w:lastRow="0" w:noHBand="0" w:noVBand="1" w:val="04A0"/>
      </w:tblPr>
      <w:tblGrid>
        <w:gridCol w:w="2556"/>
        <w:gridCol w:w="2556"/>
        <w:gridCol w:w="2556"/>
        <w:gridCol w:w="2556"/>
      </w:tblGrid>
      <w:tr>
        <w:tc>
          <w:tcPr>
            <w:tcW w:type="dxa" w:w="2556"/>
            <w:shd w:fill="1F8ED6"/>
            <w:vAlign w:val="center"/>
          </w:tcPr>
          <w:p>
            <w:pPr>
              <w:spacing w:after="0"/>
            </w:pPr>
            <w:r/>
            <w:r>
              <w:rPr>
                <w:rFonts w:ascii="Aptos" w:hAnsi="Aptos"/>
                <w:b/>
                <w:color w:val="FFFFFF"/>
                <w:sz w:val="20"/>
              </w:rPr>
              <w:t>INGEST</w:t>
            </w:r>
          </w:p>
        </w:tc>
        <w:tc>
          <w:tcPr>
            <w:tcW w:type="dxa" w:w="2556"/>
            <w:shd w:fill="14B89D"/>
            <w:vAlign w:val="center"/>
          </w:tcPr>
          <w:p>
            <w:pPr>
              <w:spacing w:after="0"/>
            </w:pPr>
            <w:r/>
            <w:r>
              <w:rPr>
                <w:rFonts w:ascii="Aptos" w:hAnsi="Aptos"/>
                <w:b/>
                <w:color w:val="FFFFFF"/>
                <w:sz w:val="20"/>
              </w:rPr>
              <w:t>VALIDATE</w:t>
            </w:r>
          </w:p>
        </w:tc>
        <w:tc>
          <w:tcPr>
            <w:tcW w:type="dxa" w:w="2556"/>
            <w:shd w:fill="14B89D"/>
            <w:vAlign w:val="center"/>
          </w:tcPr>
          <w:p>
            <w:pPr>
              <w:spacing w:after="0"/>
            </w:pPr>
            <w:r/>
            <w:r>
              <w:rPr>
                <w:rFonts w:ascii="Aptos" w:hAnsi="Aptos"/>
                <w:b/>
                <w:color w:val="FFFFFF"/>
                <w:sz w:val="20"/>
              </w:rPr>
              <w:t>CURATE</w:t>
            </w:r>
          </w:p>
        </w:tc>
        <w:tc>
          <w:tcPr>
            <w:tcW w:type="dxa" w:w="2556"/>
            <w:shd w:fill="F08A24"/>
            <w:vAlign w:val="center"/>
          </w:tcPr>
          <w:p>
            <w:pPr>
              <w:spacing w:after="0"/>
            </w:pPr>
            <w:r/>
            <w:r>
              <w:rPr>
                <w:rFonts w:ascii="Aptos" w:hAnsi="Aptos"/>
                <w:b/>
                <w:color w:val="FFFFFF"/>
                <w:sz w:val="20"/>
              </w:rPr>
              <w:t>SERVE</w:t>
            </w:r>
          </w:p>
        </w:tc>
      </w:tr>
    </w:tbl>
    <w:p/>
    <w:tbl>
      <w:tblPr>
        <w:tblStyle w:val="TableGrid"/>
        <w:tblW w:type="auto" w:w="0"/>
        <w:jc w:val="center"/>
        <w:tblLook w:firstColumn="1" w:firstRow="1" w:lastColumn="0" w:lastRow="0" w:noHBand="0" w:noVBand="1" w:val="04A0"/>
      </w:tblPr>
      <w:tblGrid>
        <w:gridCol w:w="5112"/>
        <w:gridCol w:w="5112"/>
      </w:tblGrid>
      <w:tr>
        <w:tc>
          <w:tcPr>
            <w:tcW w:type="dxa" w:w="3024"/>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Project</w:t>
            </w:r>
          </w:p>
        </w:tc>
        <w:tc>
          <w:tcPr>
            <w:tcW w:type="dxa" w:w="1324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Value</w:t>
            </w:r>
          </w:p>
        </w:tc>
      </w:tr>
      <w:tr>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Databricks Job</w:t>
            </w:r>
          </w:p>
        </w:tc>
        <w:tc>
          <w:tcPr>
            <w:tcW w:type="dxa" w:w="132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payroll_employees_nyc_prod</w:t>
            </w:r>
          </w:p>
        </w:tc>
      </w:tr>
      <w:tr>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Job ID</w:t>
            </w:r>
          </w:p>
        </w:tc>
        <w:tc>
          <w:tcPr>
            <w:tcW w:type="dxa" w:w="132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37858787129397</w:t>
            </w:r>
          </w:p>
        </w:tc>
      </w:tr>
      <w:tr>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Repository</w:t>
            </w:r>
          </w:p>
        </w:tc>
        <w:tc>
          <w:tcPr>
            <w:tcW w:type="dxa" w:w="132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github.com/Sh4444/databricks-data-engineering-projects</w:t>
            </w:r>
          </w:p>
        </w:tc>
      </w:tr>
      <w:tr>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Branch</w:t>
            </w:r>
          </w:p>
        </w:tc>
        <w:tc>
          <w:tcPr>
            <w:tcW w:type="dxa" w:w="132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main</w:t>
            </w:r>
          </w:p>
        </w:tc>
      </w:tr>
      <w:tr>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Source</w:t>
            </w:r>
          </w:p>
        </w:tc>
        <w:tc>
          <w:tcPr>
            <w:tcW w:type="dxa" w:w="132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NYC Employee Payroll CSV</w:t>
            </w:r>
          </w:p>
        </w:tc>
      </w:tr>
      <w:tr>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Typical batch size</w:t>
            </w:r>
          </w:p>
        </w:tc>
        <w:tc>
          <w:tcPr>
            <w:tcW w:type="dxa" w:w="132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~509K+ records</w:t>
            </w:r>
          </w:p>
        </w:tc>
      </w:tr>
      <w:tr>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Document purpose</w:t>
            </w:r>
          </w:p>
        </w:tc>
        <w:tc>
          <w:tcPr>
            <w:tcW w:type="dxa" w:w="132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Team onboarding, support, design reference</w:t>
            </w:r>
          </w:p>
        </w:tc>
      </w:tr>
      <w:tr>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Last design update</w:t>
            </w:r>
          </w:p>
        </w:tc>
        <w:tc>
          <w:tcPr>
            <w:tcW w:type="dxa" w:w="132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September 2026</w:t>
            </w:r>
          </w:p>
        </w:tc>
      </w:tr>
    </w:tbl>
    <w:p>
      <w:pPr>
        <w:spacing w:after="40"/>
      </w:pPr>
    </w:p>
    <w:tbl>
      <w:tblPr>
        <w:tblW w:type="auto" w:w="0"/>
        <w:jc w:val="center"/>
        <w:tblLook w:firstColumn="1" w:firstRow="1" w:lastColumn="0" w:lastRow="0" w:noHBand="0" w:noVBand="1" w:val="04A0"/>
      </w:tblPr>
      <w:tblGrid>
        <w:gridCol w:w="10224"/>
      </w:tblGrid>
      <w:tr>
        <w:tc>
          <w:tcPr>
            <w:tcW w:type="dxa" w:w="10224"/>
            <w:shd w:fill="E9F8F5"/>
            <w:tcBorders>
              <w:top w:val="single" w:sz="8" w:color="14B89D"/>
              <w:left w:val="single" w:sz="8" w:color="14B89D"/>
              <w:bottom w:val="single" w:sz="8" w:color="14B89D"/>
              <w:right w:val="single" w:sz="8" w:color="14B89D"/>
              <w:insideH w:val="single" w:sz="8" w:color="14B89D"/>
              <w:insideV w:val="single" w:sz="8" w:color="14B89D"/>
            </w:tcBorders>
          </w:tcPr>
          <w:p>
            <w:pPr>
              <w:spacing w:after="60"/>
            </w:pPr>
            <w:r>
              <w:rPr>
                <w:rFonts w:ascii="Aptos" w:hAnsi="Aptos"/>
                <w:b/>
                <w:color w:val="14B89D"/>
                <w:sz w:val="22"/>
              </w:rPr>
              <w:t>Current architecture decision</w:t>
            </w:r>
          </w:p>
          <w:p>
            <w:pPr>
              <w:spacing w:after="40"/>
            </w:pPr>
            <w:r>
              <w:rPr>
                <w:rFonts w:ascii="Aptos" w:hAnsi="Aptos"/>
                <w:color w:val="172B3A"/>
                <w:sz w:val="19"/>
              </w:rPr>
              <w:t>Cron triggers FW. FW → PVT. PVT fans out to SCD and REJ_ALERTS. SCD fans out to ARCHIVE and View Refresh. Email notification is sent after ARCHIVE. No SQL Warehouse is part of the current architecture.</w:t>
            </w:r>
          </w:p>
        </w:tc>
      </w:tr>
    </w:tbl>
    <w:p>
      <w:pPr>
        <w:spacing w:after="20"/>
      </w:pPr>
    </w:p>
    <w:p>
      <w:r>
        <w:br w:type="page"/>
      </w:r>
    </w:p>
    <w:p>
      <w:pPr>
        <w:pStyle w:val="Heading1"/>
      </w:pPr>
      <w:r>
        <w:rPr>
          <w:rFonts w:ascii="Aptos Display" w:hAnsi="Aptos Display"/>
          <w:b/>
          <w:color w:val="0B1F33"/>
        </w:rPr>
        <w:t>1. Quick navigation</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Section</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What it covers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2. Business context</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Why the pipeline exists and who consumes it</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3. Architecture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Current task dependency and data flow</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4. Task reference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Each task, dependency and responsibility</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5. Data source &amp; schema</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Source path, 16 columns and transformations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6. Data quality</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Validation, quarantine and rejection alerts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7. SCD Type 2</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Historical tracking and merge behavior</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8. Audit &amp; observability</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Run-level and step-level logging</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9. Storage &amp; tables</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Unity Catalog objects and volumes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10. GitHub structure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Where notebooks, SQL and utilities live</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11. Operations</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Failure handling, reruns and support checklist</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12. Future roadmap</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Potential improvements and discussion points</w:t>
            </w:r>
          </w:p>
        </w:tc>
      </w:tr>
    </w:tbl>
    <w:p>
      <w:pPr>
        <w:spacing w:after="40"/>
      </w:pPr>
    </w:p>
    <w:p>
      <w:pPr>
        <w:pStyle w:val="Heading1"/>
      </w:pPr>
      <w:r>
        <w:rPr>
          <w:rFonts w:ascii="Aptos Display" w:hAnsi="Aptos Display"/>
          <w:b/>
          <w:color w:val="0B1F33"/>
        </w:rPr>
        <w:t>2. Business context &amp; objectives</w:t>
      </w:r>
    </w:p>
    <w:p>
      <w:pPr>
        <w:spacing w:after="100" w:line="259" w:lineRule="auto"/>
      </w:pPr>
      <w:r>
        <w:rPr>
          <w:rFonts w:ascii="Aptos" w:hAnsi="Aptos"/>
          <w:color w:val="172B3A"/>
          <w:sz w:val="21"/>
        </w:rPr>
        <w:t>New York City publishes municipal employee payroll data covering fiscal years, agencies, titles, salaries, overtime and leave status. The pipeline converts the raw CSV into curated, historically tracked data suitable for analytics and reporting.</w:t>
      </w:r>
    </w:p>
    <w:p>
      <w:pPr>
        <w:pStyle w:val="Heading2"/>
      </w:pPr>
      <w:r>
        <w:rPr>
          <w:rFonts w:ascii="Aptos Display" w:hAnsi="Aptos Display"/>
          <w:b/>
          <w:color w:val="0B1F33"/>
        </w:rPr>
        <w:t>Primary objectives</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Objective</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Implementation</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Ingest</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Read the raw payroll CSV from a Unity Catalog Volume into Databricks.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Validate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Apply schema enforcement, null checks and business rules.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Route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Separate clean records from rejected/quarantined records.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Track history</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Maintain SCD Type 2 change history in the curated target.</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Alert</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Trigger rejection alerts when configured thresholds are breached.</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Move processed source files to a timestamped archive.</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Serve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Refresh downstream SQL views for BI consumption.</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Audit</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Log every run and processing step with metrics and error traces.</w:t>
            </w:r>
          </w:p>
        </w:tc>
      </w:tr>
    </w:tbl>
    <w:p>
      <w:pPr>
        <w:spacing w:after="40"/>
      </w:pPr>
    </w:p>
    <w:p>
      <w:pPr>
        <w:pStyle w:val="Heading2"/>
      </w:pPr>
      <w:r>
        <w:rPr>
          <w:rFonts w:ascii="Aptos Display" w:hAnsi="Aptos Display"/>
          <w:b/>
          <w:color w:val="0B1F33"/>
        </w:rPr>
        <w:t>Stakeholders</w:t>
      </w:r>
    </w:p>
    <w:p>
      <w:pPr>
        <w:pStyle w:val="ListBullet"/>
        <w:spacing w:after="40"/>
      </w:pPr>
      <w:r>
        <w:rPr>
          <w:rFonts w:ascii="Aptos" w:hAnsi="Aptos"/>
          <w:color w:val="172B3A"/>
          <w:sz w:val="20"/>
        </w:rPr>
        <w:t>Data Engineering — pipeline development, monitoring and maintenance.</w:t>
      </w:r>
    </w:p>
    <w:p>
      <w:pPr>
        <w:pStyle w:val="ListBullet"/>
        <w:spacing w:after="40"/>
      </w:pPr>
      <w:r>
        <w:rPr>
          <w:rFonts w:ascii="Aptos" w:hAnsi="Aptos"/>
          <w:color w:val="172B3A"/>
          <w:sz w:val="20"/>
        </w:rPr>
        <w:t>Analytics / BI — consumers of refreshed SQL views and dashboards.</w:t>
      </w:r>
    </w:p>
    <w:p>
      <w:pPr>
        <w:pStyle w:val="ListBullet"/>
        <w:spacing w:after="40"/>
      </w:pPr>
      <w:r>
        <w:rPr>
          <w:rFonts w:ascii="Aptos" w:hAnsi="Aptos"/>
          <w:color w:val="172B3A"/>
          <w:sz w:val="20"/>
        </w:rPr>
        <w:t>Compliance / Governance — audit trail, lineage and data-quality verification.</w:t>
      </w:r>
    </w:p>
    <w:p>
      <w:pPr>
        <w:pStyle w:val="Heading1"/>
      </w:pPr>
      <w:r>
        <w:rPr>
          <w:rFonts w:ascii="Aptos Display" w:hAnsi="Aptos Display"/>
          <w:b/>
          <w:color w:val="0B1F33"/>
        </w:rPr>
        <w:t>3. Current architecture</w:t>
      </w:r>
    </w:p>
    <w:tbl>
      <w:tblPr>
        <w:tblW w:type="auto" w:w="0"/>
        <w:jc w:val="center"/>
        <w:tblLook w:firstColumn="1" w:firstRow="1" w:lastColumn="0" w:lastRow="0" w:noHBand="0" w:noVBand="1" w:val="04A0"/>
      </w:tblPr>
      <w:tblGrid>
        <w:gridCol w:w="10224"/>
      </w:tblGrid>
      <w:tr>
        <w:tc>
          <w:tcPr>
            <w:tcW w:type="dxa" w:w="10224"/>
            <w:shd w:fill="EAF5FC"/>
            <w:tcBorders>
              <w:top w:val="single" w:sz="8" w:color="1F8ED6"/>
              <w:left w:val="single" w:sz="8" w:color="1F8ED6"/>
              <w:bottom w:val="single" w:sz="8" w:color="1F8ED6"/>
              <w:right w:val="single" w:sz="8" w:color="1F8ED6"/>
              <w:insideH w:val="single" w:sz="8" w:color="1F8ED6"/>
              <w:insideV w:val="single" w:sz="8" w:color="1F8ED6"/>
            </w:tcBorders>
          </w:tcPr>
          <w:p>
            <w:pPr>
              <w:spacing w:after="60"/>
            </w:pPr>
            <w:r>
              <w:rPr>
                <w:rFonts w:ascii="Aptos" w:hAnsi="Aptos"/>
                <w:b/>
                <w:color w:val="1F8ED6"/>
                <w:sz w:val="22"/>
              </w:rPr>
              <w:t>One-line flow</w:t>
            </w:r>
          </w:p>
          <w:p>
            <w:pPr>
              <w:spacing w:after="40"/>
            </w:pPr>
            <w:r>
              <w:rPr>
                <w:rFonts w:ascii="Aptos" w:hAnsi="Aptos"/>
                <w:color w:val="172B3A"/>
                <w:sz w:val="19"/>
              </w:rPr>
              <w:t>Cron Trigger → FW → PVT → SCD → ARCHIVE → Email Notification</w:t>
            </w:r>
          </w:p>
        </w:tc>
      </w:tr>
    </w:tbl>
    <w:p>
      <w:pPr>
        <w:spacing w:after="20"/>
      </w:pPr>
    </w:p>
    <w:p>
      <w:pPr>
        <w:spacing w:after="100" w:line="259" w:lineRule="auto"/>
      </w:pPr>
      <w:r>
        <w:rPr>
          <w:rFonts w:ascii="Aptos" w:hAnsi="Aptos"/>
          <w:color w:val="172B3A"/>
          <w:sz w:val="21"/>
        </w:rPr>
        <w:t>PVT is the main quality gate. It produces clean staging data, quarantine output and audit information. REJ_ALERTS runs from the PVT path. SCD is the curated historical layer and drives two downstream paths: Archive and View Refresh.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33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Task</w:t>
            </w:r>
          </w:p>
        </w:tc>
        <w:tc>
          <w:tcPr>
            <w:tcW w:type="dxa" w:w="3024"/>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Depends on</w:t>
            </w:r>
          </w:p>
        </w:tc>
        <w:tc>
          <w:tcPr>
            <w:tcW w:type="dxa" w:w="2304"/>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Run condition</w:t>
            </w:r>
          </w:p>
        </w:tc>
        <w:tc>
          <w:tcPr>
            <w:tcW w:type="dxa" w:w="763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Responsibility</w:t>
            </w:r>
          </w:p>
        </w:tc>
      </w:tr>
      <w:tr>
        <w:tc>
          <w:tcPr>
            <w:tcW w:type="dxa" w:w="33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FW — Framework</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Cron Trigger</w:t>
            </w:r>
          </w:p>
        </w:tc>
        <w:tc>
          <w:tcPr>
            <w:tcW w:type="dxa" w:w="230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Scheduled</w:t>
            </w:r>
          </w:p>
        </w:tc>
        <w:tc>
          <w:tcPr>
            <w:tcW w:type="dxa" w:w="763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Creates run context / controls execution.</w:t>
            </w:r>
          </w:p>
        </w:tc>
      </w:tr>
      <w:tr>
        <w:tc>
          <w:tcPr>
            <w:tcW w:type="dxa" w:w="33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 — Pivot / Transform</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FW</w:t>
            </w:r>
          </w:p>
        </w:tc>
        <w:tc>
          <w:tcPr>
            <w:tcW w:type="dxa" w:w="230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ALL_SUCCESS</w:t>
            </w:r>
          </w:p>
        </w:tc>
        <w:tc>
          <w:tcPr>
            <w:tcW w:type="dxa" w:w="763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Ingests, validates and routes records.</w:t>
            </w:r>
          </w:p>
        </w:tc>
      </w:tr>
      <w:tr>
        <w:tc>
          <w:tcPr>
            <w:tcW w:type="dxa" w:w="33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REJ_ALERTS</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w:t>
            </w:r>
          </w:p>
        </w:tc>
        <w:tc>
          <w:tcPr>
            <w:tcW w:type="dxa" w:w="230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ALL_SUCCESS</w:t>
            </w:r>
          </w:p>
        </w:tc>
        <w:tc>
          <w:tcPr>
            <w:tcW w:type="dxa" w:w="763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Checks rejection condition and alerts.</w:t>
            </w:r>
          </w:p>
        </w:tc>
      </w:tr>
      <w:tr>
        <w:tc>
          <w:tcPr>
            <w:tcW w:type="dxa" w:w="33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 — Slowly Changing Dim</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w:t>
            </w:r>
          </w:p>
        </w:tc>
        <w:tc>
          <w:tcPr>
            <w:tcW w:type="dxa" w:w="230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ALL_SUCCESS</w:t>
            </w:r>
          </w:p>
        </w:tc>
        <w:tc>
          <w:tcPr>
            <w:tcW w:type="dxa" w:w="763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Performs SCD Type 2 MERGE.</w:t>
            </w:r>
          </w:p>
        </w:tc>
      </w:tr>
      <w:tr>
        <w:tc>
          <w:tcPr>
            <w:tcW w:type="dxa" w:w="33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w:t>
            </w:r>
          </w:p>
        </w:tc>
        <w:tc>
          <w:tcPr>
            <w:tcW w:type="dxa" w:w="230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ALL_SUCCESS</w:t>
            </w:r>
          </w:p>
        </w:tc>
        <w:tc>
          <w:tcPr>
            <w:tcW w:type="dxa" w:w="763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Moves processed CSV to archive.</w:t>
            </w:r>
          </w:p>
        </w:tc>
      </w:tr>
      <w:tr>
        <w:tc>
          <w:tcPr>
            <w:tcW w:type="dxa" w:w="33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View_Refresh</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w:t>
            </w:r>
          </w:p>
        </w:tc>
        <w:tc>
          <w:tcPr>
            <w:tcW w:type="dxa" w:w="230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ALL_SUCCESS</w:t>
            </w:r>
          </w:p>
        </w:tc>
        <w:tc>
          <w:tcPr>
            <w:tcW w:type="dxa" w:w="763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Refreshes SQL views for BI.</w:t>
            </w:r>
          </w:p>
        </w:tc>
      </w:tr>
      <w:tr>
        <w:tc>
          <w:tcPr>
            <w:tcW w:type="dxa" w:w="33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Email Notification</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w:t>
            </w:r>
          </w:p>
        </w:tc>
        <w:tc>
          <w:tcPr>
            <w:tcW w:type="dxa" w:w="230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After archive completion</w:t>
            </w:r>
          </w:p>
        </w:tc>
        <w:tc>
          <w:tcPr>
            <w:tcW w:type="dxa" w:w="763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Sends success/failure notification.</w:t>
            </w:r>
          </w:p>
        </w:tc>
      </w:tr>
    </w:tbl>
    <w:p>
      <w:pPr>
        <w:spacing w:after="40"/>
      </w:pPr>
    </w:p>
    <w:p>
      <w:pPr>
        <w:pStyle w:val="Heading2"/>
      </w:pPr>
      <w:r>
        <w:rPr>
          <w:rFonts w:ascii="Aptos Display" w:hAnsi="Aptos Display"/>
          <w:b/>
          <w:color w:val="0B1F33"/>
        </w:rPr>
        <w:t>Architecture principles</w:t>
      </w:r>
    </w:p>
    <w:p>
      <w:pPr>
        <w:pStyle w:val="ListBullet"/>
        <w:spacing w:after="40"/>
      </w:pPr>
      <w:r>
        <w:rPr>
          <w:rFonts w:ascii="Aptos" w:hAnsi="Aptos"/>
          <w:color w:val="172B3A"/>
          <w:sz w:val="20"/>
        </w:rPr>
        <w:t>Medallion-lite: Raw → Staging → Curated/SCD2.</w:t>
      </w:r>
    </w:p>
    <w:p>
      <w:pPr>
        <w:pStyle w:val="ListBullet"/>
        <w:spacing w:after="40"/>
      </w:pPr>
      <w:r>
        <w:rPr>
          <w:rFonts w:ascii="Aptos" w:hAnsi="Aptos"/>
          <w:color w:val="172B3A"/>
          <w:sz w:val="20"/>
        </w:rPr>
        <w:t>Idempotent batch: one source CSV is processed end-to-end per run.</w:t>
      </w:r>
    </w:p>
    <w:p>
      <w:pPr>
        <w:pStyle w:val="ListBullet"/>
        <w:spacing w:after="40"/>
      </w:pPr>
      <w:r>
        <w:rPr>
          <w:rFonts w:ascii="Aptos" w:hAnsi="Aptos"/>
          <w:color w:val="172B3A"/>
          <w:sz w:val="20"/>
        </w:rPr>
        <w:t>Fail-fast with audit: errors are logged before exceptions are raised.</w:t>
      </w:r>
    </w:p>
    <w:p>
      <w:pPr>
        <w:pStyle w:val="ListBullet"/>
        <w:spacing w:after="40"/>
      </w:pPr>
      <w:r>
        <w:rPr>
          <w:rFonts w:ascii="Aptos" w:hAnsi="Aptos"/>
          <w:color w:val="172B3A"/>
          <w:sz w:val="20"/>
        </w:rPr>
        <w:t>Git-backed: notebook and SQL source is maintained in GitHub.</w:t>
      </w:r>
    </w:p>
    <w:p>
      <w:pPr>
        <w:pStyle w:val="ListBullet"/>
        <w:spacing w:after="40"/>
      </w:pPr>
      <w:r>
        <w:rPr>
          <w:rFonts w:ascii="Aptos" w:hAnsi="Aptos"/>
          <w:color w:val="172B3A"/>
          <w:sz w:val="20"/>
        </w:rPr>
        <w:t>Governed storage: Unity Catalog tables and volumes provide controlled locations.</w:t>
      </w:r>
    </w:p>
    <w:p>
      <w:pPr>
        <w:pStyle w:val="Heading1"/>
      </w:pPr>
      <w:r>
        <w:rPr>
          <w:rFonts w:ascii="Aptos Display" w:hAnsi="Aptos Display"/>
          <w:b/>
          <w:color w:val="0B1F33"/>
        </w:rPr>
        <w:t>4. Data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Layer / object</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Purpose</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Output</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UC Volume / data</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Active source file location</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Raw CSV</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FW</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Run control and orchestration context</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Run ID / execution context</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Read, standardize, validate and route</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Staging + quarantine + audit</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stg_payroll_employee_nyc</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Current validated batch</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Clean staging records</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payroll_quarantine</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Rejected records + reasons</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Data-quality exceptions</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Compare and merge changes</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SCD2 curated table</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payroll_employee_nyc</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Current + historical employee records</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Gold/curated data</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Preserve processed source</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Timestamped source archive</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View_Refresh</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Refresh consumer-facing SQL views</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BI-ready views</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Email</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Operational communication</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Success/failure notification</w:t>
            </w:r>
          </w:p>
        </w:tc>
      </w:tr>
    </w:tbl>
    <w:p>
      <w:pPr>
        <w:spacing w:after="40"/>
      </w:pPr>
    </w:p>
    <w:p>
      <w:pPr>
        <w:pStyle w:val="Heading1"/>
      </w:pPr>
      <w:r>
        <w:rPr>
          <w:rFonts w:ascii="Aptos Display" w:hAnsi="Aptos Display"/>
          <w:b/>
          <w:color w:val="0B1F33"/>
        </w:rPr>
        <w:t>5. Data source &amp; schema</w:t>
      </w:r>
    </w:p>
    <w:p>
      <w:pPr>
        <w:spacing w:after="100" w:line="259" w:lineRule="auto"/>
      </w:pPr>
      <w:r>
        <w:rPr>
          <w:rFonts w:ascii="Aptos" w:hAnsi="Aptos"/>
          <w:color w:val="172B3A"/>
          <w:sz w:val="21"/>
        </w:rPr>
        <w:t>Source format is CSV with a header. The documented source uses inferSchema=false so the pipeline controls data types explicitly during transformation. Typical batches contain roughly 509K records.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64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w:t>
            </w:r>
          </w:p>
        </w:tc>
        <w:tc>
          <w:tcPr>
            <w:tcW w:type="dxa" w:w="4320"/>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Source column</w:t>
            </w:r>
          </w:p>
        </w:tc>
        <w:tc>
          <w:tcPr>
            <w:tcW w:type="dxa" w:w="532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Transformed column</w:t>
            </w:r>
          </w:p>
        </w:tc>
        <w:tc>
          <w:tcPr>
            <w:tcW w:type="dxa" w:w="3024"/>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Type</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Fiscal Year</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fiscal_year</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INT</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2</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Agency Name</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agency_name</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3</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Last Name</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last_name</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4</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First Name</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first_name</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5</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Mid Init</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mid_name</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6</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Agency Start Date</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agency_start_date</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DATE</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7</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Work Location Borough</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work_location_borough</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8</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Title Description</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title_description</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9</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Leave Status as of June 30</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leave_status_as_of_june_30</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10</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Base Salary</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base_salary</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DECIMAL(12,2)</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11</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Pay Basis</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pay_basis</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STRING</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12</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Regular Hours</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regular_hours</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DECIMAL(10,2)</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13</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Regular Gross Paid</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regular_gross_paid</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DECIMAL(12,2)</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14</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OT Hours</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ot_hours</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DECIMAL(10,2)</w:t>
            </w:r>
          </w:p>
        </w:tc>
      </w:tr>
      <w:tr>
        <w:tc>
          <w:tcPr>
            <w:tcW w:type="dxa" w:w="64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15</w:t>
            </w:r>
          </w:p>
        </w:tc>
        <w:tc>
          <w:tcPr>
            <w:tcW w:type="dxa" w:w="4320"/>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Total OT Paid</w:t>
            </w:r>
          </w:p>
        </w:tc>
        <w:tc>
          <w:tcPr>
            <w:tcW w:type="dxa" w:w="532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total_ot_paid</w:t>
            </w:r>
          </w:p>
        </w:tc>
        <w:tc>
          <w:tcPr>
            <w:tcW w:type="dxa" w:w="3024"/>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DECIMAL(12,2)</w:t>
            </w:r>
          </w:p>
        </w:tc>
      </w:tr>
      <w:tr>
        <w:tc>
          <w:tcPr>
            <w:tcW w:type="dxa" w:w="64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16</w:t>
            </w:r>
          </w:p>
        </w:tc>
        <w:tc>
          <w:tcPr>
            <w:tcW w:type="dxa" w:w="4320"/>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Total Other Pay</w:t>
            </w:r>
          </w:p>
        </w:tc>
        <w:tc>
          <w:tcPr>
            <w:tcW w:type="dxa" w:w="532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total_other_pay</w:t>
            </w:r>
          </w:p>
        </w:tc>
        <w:tc>
          <w:tcPr>
            <w:tcW w:type="dxa" w:w="3024"/>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DECIMAL(12,2)</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5FC"/>
            <w:tcBorders>
              <w:top w:val="single" w:sz="8" w:color="1F8ED6"/>
              <w:left w:val="single" w:sz="8" w:color="1F8ED6"/>
              <w:bottom w:val="single" w:sz="8" w:color="1F8ED6"/>
              <w:right w:val="single" w:sz="8" w:color="1F8ED6"/>
              <w:insideH w:val="single" w:sz="8" w:color="1F8ED6"/>
              <w:insideV w:val="single" w:sz="8" w:color="1F8ED6"/>
            </w:tcBorders>
          </w:tcPr>
          <w:p>
            <w:pPr>
              <w:spacing w:after="60"/>
            </w:pPr>
            <w:r>
              <w:rPr>
                <w:rFonts w:ascii="Aptos" w:hAnsi="Aptos"/>
                <w:b/>
                <w:color w:val="1F8ED6"/>
                <w:sz w:val="22"/>
              </w:rPr>
              <w:t>Standardization</w:t>
            </w:r>
          </w:p>
          <w:p>
            <w:pPr>
              <w:spacing w:after="40"/>
            </w:pPr>
            <w:r>
              <w:rPr>
                <w:rFonts w:ascii="Aptos" w:hAnsi="Aptos"/>
                <w:color w:val="172B3A"/>
                <w:sz w:val="19"/>
              </w:rPr>
              <w:t>String fields are normalized with UPPER/TRIM. Monetary and numeric strings have formatting characters stripped before casting. Agency Start Date is parsed from MM/dd/yyyy.</w:t>
            </w:r>
          </w:p>
        </w:tc>
      </w:tr>
    </w:tbl>
    <w:p>
      <w:pPr>
        <w:spacing w:after="20"/>
      </w:pPr>
    </w:p>
    <w:p>
      <w:pPr>
        <w:pStyle w:val="Heading1"/>
      </w:pPr>
      <w:r>
        <w:rPr>
          <w:rFonts w:ascii="Aptos Display" w:hAnsi="Aptos Display"/>
          <w:b/>
          <w:color w:val="0B1F33"/>
        </w:rPr>
        <w:t>6. Data quality &amp; rejection handling</w:t>
      </w:r>
    </w:p>
    <w:p>
      <w:pPr>
        <w:spacing w:after="100" w:line="259" w:lineRule="auto"/>
      </w:pPr>
      <w:r>
        <w:rPr>
          <w:rFonts w:ascii="Aptos" w:hAnsi="Aptos"/>
          <w:color w:val="172B3A"/>
          <w:sz w:val="21"/>
        </w:rPr>
        <w:t>PVT acts as the primary data-quality gate. The goal is to prevent malformed records from entering the curated SCD2 target while keeping rejected data available for diagnosis.</w:t>
      </w:r>
    </w:p>
    <w:p>
      <w:pPr>
        <w:pStyle w:val="Heading2"/>
      </w:pPr>
      <w:r>
        <w:rPr>
          <w:rFonts w:ascii="Aptos Display" w:hAnsi="Aptos Display"/>
          <w:b/>
          <w:color w:val="0B1F33"/>
        </w:rPr>
        <w:t>Validation categories</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Check</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Expected behavior</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Schema</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Confirm required columns and compatible data types.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Null / required fields</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Reject records missing mandatory business fields.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Numeric parsing</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Validate salary, hours and pay fields before casting.</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Date parsing</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Validate Agency Start Date format.</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Business rules</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Apply project-specific payroll validity rules.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Duplicate / consistency checks</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Identify records that should not be loaded as unique changes.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Quarantine reason</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Store rejected records with a reason/category for remediation.</w:t>
            </w:r>
          </w:p>
        </w:tc>
      </w:tr>
    </w:tbl>
    <w:p>
      <w:pPr>
        <w:spacing w:after="40"/>
      </w:pPr>
    </w:p>
    <w:p>
      <w:pPr>
        <w:pStyle w:val="Heading2"/>
      </w:pPr>
      <w:r>
        <w:rPr>
          <w:rFonts w:ascii="Aptos Display" w:hAnsi="Aptos Display"/>
          <w:b/>
          <w:color w:val="0B1F33"/>
        </w:rPr>
        <w:t>REJ_ALERTS</w:t>
      </w:r>
    </w:p>
    <w:p>
      <w:pPr>
        <w:spacing w:after="100" w:line="259" w:lineRule="auto"/>
      </w:pPr>
      <w:r>
        <w:rPr>
          <w:rFonts w:ascii="Aptos" w:hAnsi="Aptos"/>
          <w:color w:val="172B3A"/>
          <w:sz w:val="21"/>
        </w:rPr>
        <w:t>REJ_ALERTS is a SQL Alert task driven from the PVT output. It provides an operational signal when the configured rejection condition is met. The alert path is independent of the SCD path after PVT.</w:t>
      </w:r>
    </w:p>
    <w:tbl>
      <w:tblPr>
        <w:tblW w:type="auto" w:w="0"/>
        <w:jc w:val="center"/>
        <w:tblLook w:firstColumn="1" w:firstRow="1" w:lastColumn="0" w:lastRow="0" w:noHBand="0" w:noVBand="1" w:val="04A0"/>
      </w:tblPr>
      <w:tblGrid>
        <w:gridCol w:w="10224"/>
      </w:tblGrid>
      <w:tr>
        <w:tc>
          <w:tcPr>
            <w:tcW w:type="dxa" w:w="10224"/>
            <w:shd w:fill="FFF3E5"/>
            <w:tcBorders>
              <w:top w:val="single" w:sz="8" w:color="F08A24"/>
              <w:left w:val="single" w:sz="8" w:color="F08A24"/>
              <w:bottom w:val="single" w:sz="8" w:color="F08A24"/>
              <w:right w:val="single" w:sz="8" w:color="F08A24"/>
              <w:insideH w:val="single" w:sz="8" w:color="F08A24"/>
              <w:insideV w:val="single" w:sz="8" w:color="F08A24"/>
            </w:tcBorders>
          </w:tcPr>
          <w:p>
            <w:pPr>
              <w:spacing w:after="60"/>
            </w:pPr>
            <w:r>
              <w:rPr>
                <w:rFonts w:ascii="Aptos" w:hAnsi="Aptos"/>
                <w:b/>
                <w:color w:val="F08A24"/>
                <w:sz w:val="22"/>
              </w:rPr>
              <w:t>Operating rule</w:t>
            </w:r>
          </w:p>
          <w:p>
            <w:pPr>
              <w:spacing w:after="40"/>
            </w:pPr>
            <w:r>
              <w:rPr>
                <w:rFonts w:ascii="Aptos" w:hAnsi="Aptos"/>
                <w:color w:val="172B3A"/>
                <w:sz w:val="19"/>
              </w:rPr>
              <w:t>Never silently drop a bad record. The pipeline should either load it successfully or place it in quarantine with enough context to explain why it was rejected.</w:t>
            </w:r>
          </w:p>
        </w:tc>
      </w:tr>
    </w:tbl>
    <w:p>
      <w:pPr>
        <w:spacing w:after="20"/>
      </w:pPr>
    </w:p>
    <w:p>
      <w:pPr>
        <w:pStyle w:val="Heading1"/>
      </w:pPr>
      <w:r>
        <w:rPr>
          <w:rFonts w:ascii="Aptos Display" w:hAnsi="Aptos Display"/>
          <w:b/>
          <w:color w:val="0B1F33"/>
        </w:rPr>
        <w:t>7. SCD Type 2 implementation</w:t>
      </w:r>
    </w:p>
    <w:p>
      <w:pPr>
        <w:spacing w:after="100" w:line="259" w:lineRule="auto"/>
      </w:pPr>
      <w:r>
        <w:rPr>
          <w:rFonts w:ascii="Aptos" w:hAnsi="Aptos"/>
          <w:color w:val="172B3A"/>
          <w:sz w:val="21"/>
        </w:rPr>
        <w:t>The curated payroll table preserves historical versions of employee records. When tracked attributes change, the previous version is end-dated and a new version becomes active.</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Field / concept</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Purpose</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pid</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Surrogate/business tracking key used to identify the employee record version.</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strt_dt</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Effective start date of the version.</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end_dt</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Effective end date. The active version uses the open-ended convention 9999-12-31.</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Active version</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The current record for an employee.</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Historical version</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 prior state retained for point-in-time analysis.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MERGE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Compares incoming data to the target and applies SCD2 changes.</w:t>
            </w:r>
          </w:p>
        </w:tc>
      </w:tr>
    </w:tbl>
    <w:p>
      <w:pPr>
        <w:spacing w:after="40"/>
      </w:pPr>
    </w:p>
    <w:p>
      <w:pPr>
        <w:pStyle w:val="Heading2"/>
      </w:pPr>
      <w:r>
        <w:rPr>
          <w:rFonts w:ascii="Aptos Display" w:hAnsi="Aptos Display"/>
          <w:b/>
          <w:color w:val="0B1F33"/>
        </w:rPr>
        <w:t>Historical flow</w:t>
      </w:r>
    </w:p>
    <w:tbl>
      <w:tblPr>
        <w:tblW w:type="auto" w:w="0"/>
        <w:jc w:val="center"/>
        <w:tblLook w:firstColumn="1" w:firstRow="1" w:lastColumn="0" w:lastRow="0" w:noHBand="0" w:noVBand="1" w:val="04A0"/>
      </w:tblPr>
      <w:tblGrid>
        <w:gridCol w:w="10224"/>
      </w:tblGrid>
      <w:tr>
        <w:tc>
          <w:tcPr>
            <w:tcW w:type="dxa" w:w="10224"/>
            <w:shd w:fill="E9F8F5"/>
            <w:tcBorders>
              <w:top w:val="single" w:sz="8" w:color="14B89D"/>
              <w:left w:val="single" w:sz="8" w:color="14B89D"/>
              <w:bottom w:val="single" w:sz="8" w:color="14B89D"/>
              <w:right w:val="single" w:sz="8" w:color="14B89D"/>
              <w:insideH w:val="single" w:sz="8" w:color="14B89D"/>
              <w:insideV w:val="single" w:sz="8" w:color="14B89D"/>
            </w:tcBorders>
          </w:tcPr>
          <w:p>
            <w:pPr>
              <w:spacing w:after="60"/>
            </w:pPr>
            <w:r>
              <w:rPr>
                <w:rFonts w:ascii="Aptos" w:hAnsi="Aptos"/>
                <w:b/>
                <w:color w:val="14B89D"/>
                <w:sz w:val="22"/>
              </w:rPr>
              <w:t>Example</w:t>
            </w:r>
          </w:p>
          <w:p>
            <w:pPr>
              <w:spacing w:after="40"/>
            </w:pPr>
            <w:r>
              <w:rPr>
                <w:rFonts w:ascii="Aptos" w:hAnsi="Aptos"/>
                <w:color w:val="172B3A"/>
                <w:sz w:val="19"/>
              </w:rPr>
              <w:t>Version 1: 2020-07-01 → 2021-06-30  |  Version 2: 2021-07-01 → 2022-06-30  |  Version 3: 2022-07-01 → 9999-12-31</w:t>
            </w:r>
          </w:p>
        </w:tc>
      </w:tr>
    </w:tbl>
    <w:p>
      <w:pPr>
        <w:spacing w:after="20"/>
      </w:pPr>
    </w:p>
    <w:p>
      <w:pPr>
        <w:pStyle w:val="Heading1"/>
      </w:pPr>
      <w:r>
        <w:rPr>
          <w:rFonts w:ascii="Aptos Display" w:hAnsi="Aptos Display"/>
          <w:b/>
          <w:color w:val="0B1F33"/>
        </w:rPr>
        <w:t>8. Audit &amp; observability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Object</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Level</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Purpose</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audit_runlog</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Run</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Overall execution status, run ID and high-level metrics.</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audit_execution_logs</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Step</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Step status, row counts, errors and execution details.</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PipelineLogger</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Utility</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Shared logging utility used by pipeline notebooks.</w:t>
            </w:r>
          </w:p>
        </w:tc>
      </w:tr>
    </w:tbl>
    <w:p>
      <w:pPr>
        <w:spacing w:after="40"/>
      </w:pPr>
    </w:p>
    <w:p>
      <w:pPr>
        <w:pStyle w:val="Heading2"/>
      </w:pPr>
      <w:r>
        <w:rPr>
          <w:rFonts w:ascii="Aptos Display" w:hAnsi="Aptos Display"/>
          <w:b/>
          <w:color w:val="0B1F33"/>
        </w:rPr>
        <w:t>Recommended operational metrics</w:t>
      </w:r>
    </w:p>
    <w:p>
      <w:pPr>
        <w:pStyle w:val="ListBullet"/>
        <w:spacing w:after="40"/>
      </w:pPr>
      <w:r>
        <w:rPr>
          <w:rFonts w:ascii="Aptos" w:hAnsi="Aptos"/>
          <w:color w:val="172B3A"/>
          <w:sz w:val="20"/>
        </w:rPr>
        <w:t>Source rows read</w:t>
      </w:r>
    </w:p>
    <w:p>
      <w:pPr>
        <w:pStyle w:val="ListBullet"/>
        <w:spacing w:after="40"/>
      </w:pPr>
      <w:r>
        <w:rPr>
          <w:rFonts w:ascii="Aptos" w:hAnsi="Aptos"/>
          <w:color w:val="172B3A"/>
          <w:sz w:val="20"/>
        </w:rPr>
        <w:t>Valid rows written to staging</w:t>
      </w:r>
    </w:p>
    <w:p>
      <w:pPr>
        <w:pStyle w:val="ListBullet"/>
        <w:spacing w:after="40"/>
      </w:pPr>
      <w:r>
        <w:rPr>
          <w:rFonts w:ascii="Aptos" w:hAnsi="Aptos"/>
          <w:color w:val="172B3A"/>
          <w:sz w:val="20"/>
        </w:rPr>
        <w:t>Rejected rows and rejection rate</w:t>
      </w:r>
    </w:p>
    <w:p>
      <w:pPr>
        <w:pStyle w:val="ListBullet"/>
        <w:spacing w:after="40"/>
      </w:pPr>
      <w:r>
        <w:rPr>
          <w:rFonts w:ascii="Aptos" w:hAnsi="Aptos"/>
          <w:color w:val="172B3A"/>
          <w:sz w:val="20"/>
        </w:rPr>
        <w:t>Rows inserted / updated / end-dated by SCD</w:t>
      </w:r>
    </w:p>
    <w:p>
      <w:pPr>
        <w:pStyle w:val="ListBullet"/>
        <w:spacing w:after="40"/>
      </w:pPr>
      <w:r>
        <w:rPr>
          <w:rFonts w:ascii="Aptos" w:hAnsi="Aptos"/>
          <w:color w:val="172B3A"/>
          <w:sz w:val="20"/>
        </w:rPr>
        <w:t>Archive success</w:t>
      </w:r>
    </w:p>
    <w:p>
      <w:pPr>
        <w:pStyle w:val="ListBullet"/>
        <w:spacing w:after="40"/>
      </w:pPr>
      <w:r>
        <w:rPr>
          <w:rFonts w:ascii="Aptos" w:hAnsi="Aptos"/>
          <w:color w:val="172B3A"/>
          <w:sz w:val="20"/>
        </w:rPr>
        <w:t>View refresh success</w:t>
      </w:r>
    </w:p>
    <w:p>
      <w:pPr>
        <w:pStyle w:val="ListBullet"/>
        <w:spacing w:after="40"/>
      </w:pPr>
      <w:r>
        <w:rPr>
          <w:rFonts w:ascii="Aptos" w:hAnsi="Aptos"/>
          <w:color w:val="172B3A"/>
          <w:sz w:val="20"/>
        </w:rPr>
        <w:t>Total runtime and task-level runtime</w:t>
      </w:r>
    </w:p>
    <w:p>
      <w:pPr>
        <w:pStyle w:val="ListBullet"/>
        <w:spacing w:after="40"/>
      </w:pPr>
      <w:r>
        <w:rPr>
          <w:rFonts w:ascii="Aptos" w:hAnsi="Aptos"/>
          <w:color w:val="172B3A"/>
          <w:sz w:val="20"/>
        </w:rPr>
        <w:t>Error message / stack trace for failed steps</w:t>
      </w:r>
    </w:p>
    <w:p>
      <w:pPr>
        <w:pStyle w:val="Heading1"/>
      </w:pPr>
      <w:r>
        <w:rPr>
          <w:rFonts w:ascii="Aptos Display" w:hAnsi="Aptos Display"/>
          <w:b/>
          <w:color w:val="0B1F33"/>
        </w:rPr>
        <w:t>9. Unity Catalog tables &amp; volumes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Object</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Layer / type</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Purpose</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shprod.stg_payroll_employee_nyc</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Silver</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Current validated batch.</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shprod.payroll_employee_nyc</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Gold</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Curated SCD Type 2 target with current + historical records.</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shprod.hist_payroll_employee_nyc</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Backup</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Point-in-time backup / recovery support.</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shprod.payroll_quarantine</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Quarantine</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Rejected or invalid records with reasons.</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shprod.audit_runlog</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Audit</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Run-level execution audit.</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shprod.audit_execution_logs</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Audit</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Step-level execution metrics and errors.</w:t>
            </w:r>
          </w:p>
        </w:tc>
      </w:tr>
    </w:tbl>
    <w:p>
      <w:pPr>
        <w:spacing w:after="40"/>
      </w:pP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Volume path</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Purpose</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/Volumes/workspace/shprod/payrolldata/data/</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Active source file location</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/Volumes/workspace/shprod/payrolldata/archive/nycpayrolldata/</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Processed source archive</w:t>
            </w:r>
          </w:p>
        </w:tc>
      </w:tr>
    </w:tbl>
    <w:p>
      <w:pPr>
        <w:spacing w:after="40"/>
      </w:pPr>
    </w:p>
    <w:p>
      <w:pPr>
        <w:pStyle w:val="Heading1"/>
      </w:pPr>
      <w:r>
        <w:rPr>
          <w:rFonts w:ascii="Aptos Display" w:hAnsi="Aptos Display"/>
          <w:b/>
          <w:color w:val="0B1F33"/>
        </w:rPr>
        <w:t>10. GitHub repository structure</w:t>
      </w:r>
    </w:p>
    <w:p>
      <w:pPr>
        <w:spacing w:after="100" w:line="259" w:lineRule="auto"/>
      </w:pPr>
      <w:r>
        <w:rPr>
          <w:rFonts w:ascii="Aptos" w:hAnsi="Aptos"/>
          <w:color w:val="172B3A"/>
          <w:sz w:val="21"/>
        </w:rPr>
        <w:t>The repository is the source of truth for notebook and SQL implementation. Keep the code layout aligned with the Databricks task names so a new team member can map orchestration to source quickly.</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Repository path</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Purpose</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notebooks/fwnb</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Framework / orchestration entry point</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notebooks/01_pvtnb</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 ingestion, validation and routing</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notebooks/02_scdnb</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 Type 2 transformation / MERGE</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notebooks/03_archivenb</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Source-file archive process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notebooks/00_audit_utilsnb</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Shared PipelineLogger utility</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views/views.sql</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SQL view refresh definitions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docs/</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Architecture diagrams, team reference and supporting documentation</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README.md</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Project overview and quick start</w:t>
            </w:r>
          </w:p>
        </w:tc>
      </w:tr>
    </w:tbl>
    <w:p>
      <w:pPr>
        <w:spacing w:after="40"/>
      </w:pPr>
    </w:p>
    <w:tbl>
      <w:tblPr>
        <w:tblW w:type="auto" w:w="0"/>
        <w:jc w:val="center"/>
        <w:tblLook w:firstColumn="1" w:firstRow="1" w:lastColumn="0" w:lastRow="0" w:noHBand="0" w:noVBand="1" w:val="04A0"/>
      </w:tblPr>
      <w:tblGrid>
        <w:gridCol w:w="10224"/>
      </w:tblGrid>
      <w:tr>
        <w:tc>
          <w:tcPr>
            <w:tcW w:type="dxa" w:w="10224"/>
            <w:shd w:fill="EAF5FC"/>
            <w:tcBorders>
              <w:top w:val="single" w:sz="8" w:color="1F8ED6"/>
              <w:left w:val="single" w:sz="8" w:color="1F8ED6"/>
              <w:bottom w:val="single" w:sz="8" w:color="1F8ED6"/>
              <w:right w:val="single" w:sz="8" w:color="1F8ED6"/>
              <w:insideH w:val="single" w:sz="8" w:color="1F8ED6"/>
              <w:insideV w:val="single" w:sz="8" w:color="1F8ED6"/>
            </w:tcBorders>
          </w:tcPr>
          <w:p>
            <w:pPr>
              <w:spacing w:after="60"/>
            </w:pPr>
            <w:r>
              <w:rPr>
                <w:rFonts w:ascii="Aptos" w:hAnsi="Aptos"/>
                <w:b/>
                <w:color w:val="1F8ED6"/>
                <w:sz w:val="22"/>
              </w:rPr>
              <w:t>Suggested repository documentation</w:t>
            </w:r>
          </w:p>
          <w:p>
            <w:pPr>
              <w:spacing w:after="40"/>
            </w:pPr>
            <w:r>
              <w:rPr>
                <w:rFonts w:ascii="Aptos" w:hAnsi="Aptos"/>
                <w:color w:val="172B3A"/>
                <w:sz w:val="19"/>
              </w:rPr>
              <w:t>Keep this Word document as a team-reference artifact, while README.md should remain the short landing page. Put architecture diagrams under docs/ and link to this reference from the README.</w:t>
            </w:r>
          </w:p>
        </w:tc>
      </w:tr>
    </w:tbl>
    <w:p>
      <w:pPr>
        <w:spacing w:after="20"/>
      </w:pPr>
    </w:p>
    <w:p>
      <w:pPr>
        <w:pStyle w:val="Heading1"/>
      </w:pPr>
      <w:r>
        <w:rPr>
          <w:rFonts w:ascii="Aptos Display" w:hAnsi="Aptos Display"/>
          <w:b/>
          <w:color w:val="0B1F33"/>
        </w:rPr>
        <w:t>11. Operations &amp; support checklist</w:t>
      </w:r>
    </w:p>
    <w:p>
      <w:pPr>
        <w:pStyle w:val="Heading2"/>
      </w:pPr>
      <w:r>
        <w:rPr>
          <w:rFonts w:ascii="Aptos Display" w:hAnsi="Aptos Display"/>
          <w:b/>
          <w:color w:val="0B1F33"/>
        </w:rPr>
        <w:t>Normal run</w:t>
      </w:r>
    </w:p>
    <w:p>
      <w:pPr>
        <w:pStyle w:val="ListBullet"/>
        <w:spacing w:after="40"/>
      </w:pPr>
      <w:r>
        <w:rPr>
          <w:rFonts w:ascii="Aptos" w:hAnsi="Aptos"/>
          <w:color w:val="172B3A"/>
          <w:sz w:val="20"/>
        </w:rPr>
        <w:t>Confirm source CSV is present in the active Volume.</w:t>
      </w:r>
    </w:p>
    <w:p>
      <w:pPr>
        <w:pStyle w:val="ListBullet"/>
        <w:spacing w:after="40"/>
      </w:pPr>
      <w:r>
        <w:rPr>
          <w:rFonts w:ascii="Aptos" w:hAnsi="Aptos"/>
          <w:color w:val="172B3A"/>
          <w:sz w:val="20"/>
        </w:rPr>
        <w:t>Confirm the scheduled job is enabled when production execution is intended.</w:t>
      </w:r>
    </w:p>
    <w:p>
      <w:pPr>
        <w:pStyle w:val="ListBullet"/>
        <w:spacing w:after="40"/>
      </w:pPr>
      <w:r>
        <w:rPr>
          <w:rFonts w:ascii="Aptos" w:hAnsi="Aptos"/>
          <w:color w:val="172B3A"/>
          <w:sz w:val="20"/>
        </w:rPr>
        <w:t>Check FW run context and PVT validation metrics.</w:t>
      </w:r>
    </w:p>
    <w:p>
      <w:pPr>
        <w:pStyle w:val="ListBullet"/>
        <w:spacing w:after="40"/>
      </w:pPr>
      <w:r>
        <w:rPr>
          <w:rFonts w:ascii="Aptos" w:hAnsi="Aptos"/>
          <w:color w:val="172B3A"/>
          <w:sz w:val="20"/>
        </w:rPr>
        <w:t>Review quarantine/rejection count and REJ_ALERTS status.</w:t>
      </w:r>
    </w:p>
    <w:p>
      <w:pPr>
        <w:pStyle w:val="ListBullet"/>
        <w:spacing w:after="40"/>
      </w:pPr>
      <w:r>
        <w:rPr>
          <w:rFonts w:ascii="Aptos" w:hAnsi="Aptos"/>
          <w:color w:val="172B3A"/>
          <w:sz w:val="20"/>
        </w:rPr>
        <w:t>Verify SCD2 MERGE completion.</w:t>
      </w:r>
    </w:p>
    <w:p>
      <w:pPr>
        <w:pStyle w:val="ListBullet"/>
        <w:spacing w:after="40"/>
      </w:pPr>
      <w:r>
        <w:rPr>
          <w:rFonts w:ascii="Aptos" w:hAnsi="Aptos"/>
          <w:color w:val="172B3A"/>
          <w:sz w:val="20"/>
        </w:rPr>
        <w:t>Verify Archive completed after SCD.</w:t>
      </w:r>
    </w:p>
    <w:p>
      <w:pPr>
        <w:pStyle w:val="ListBullet"/>
        <w:spacing w:after="40"/>
      </w:pPr>
      <w:r>
        <w:rPr>
          <w:rFonts w:ascii="Aptos" w:hAnsi="Aptos"/>
          <w:color w:val="172B3A"/>
          <w:sz w:val="20"/>
        </w:rPr>
        <w:t>Verify View Refresh completed after SCD.</w:t>
      </w:r>
    </w:p>
    <w:p>
      <w:pPr>
        <w:pStyle w:val="ListBullet"/>
        <w:spacing w:after="40"/>
      </w:pPr>
      <w:r>
        <w:rPr>
          <w:rFonts w:ascii="Aptos" w:hAnsi="Aptos"/>
          <w:color w:val="172B3A"/>
          <w:sz w:val="20"/>
        </w:rPr>
        <w:t>Confirm Email Notification was sent after Archive.</w:t>
      </w:r>
    </w:p>
    <w:p>
      <w:pPr>
        <w:pStyle w:val="Heading2"/>
      </w:pPr>
      <w:r>
        <w:rPr>
          <w:rFonts w:ascii="Aptos Display" w:hAnsi="Aptos Display"/>
          <w:b/>
          <w:color w:val="0B1F33"/>
        </w:rPr>
        <w:t>If a run fails</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Symptom</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First checks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FW failure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Source path, permissions, run initialization and audit log.</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 failure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CSV structure, schema, parsing rules and source quality.</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High rejection count</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Quarantine reasons, source changes and alert threshold.</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 failure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Key generation, target schema, duplicate keys and MERGE conditions.</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 failure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Source file existence, archive path and permissions.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View refresh failure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SQL definition, target/view dependencies and compute availability.</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Missing notification</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 completion status and notification configuration.</w:t>
            </w:r>
          </w:p>
        </w:tc>
      </w:tr>
    </w:tbl>
    <w:p>
      <w:pPr>
        <w:spacing w:after="40"/>
      </w:pPr>
    </w:p>
    <w:p>
      <w:pPr>
        <w:pStyle w:val="Heading1"/>
      </w:pPr>
      <w:r>
        <w:rPr>
          <w:rFonts w:ascii="Aptos Display" w:hAnsi="Aptos Display"/>
          <w:b/>
          <w:color w:val="0B1F33"/>
        </w:rPr>
        <w:t>12. Future roadmap / discussion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Area</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Potential enhancement</w:t>
            </w:r>
          </w:p>
        </w:tc>
        <w:tc>
          <w:tcPr>
            <w:tcW w:type="dxa" w:w="3408"/>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Benefit</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Ingestion</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Evaluate Auto Loader</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More scalable file ingestion and incremental processing</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Schema</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Introduce schema registry / contract</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Safer source evolution</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Data quality</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Expand validation and profiling</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Earlier detection of source issues</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Governance</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Add column-level comments and retention policies</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Better discoverability and compliance</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Optimization</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Evaluate Delta Liquid Clustering</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Adaptive query/storage optimization</w:t>
            </w:r>
          </w:p>
        </w:tc>
      </w:tr>
      <w:tr>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BI</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Expand dashboards / self-service analytics</w:t>
            </w:r>
          </w:p>
        </w:tc>
        <w:tc>
          <w:tcPr>
            <w:tcW w:type="dxa" w:w="3408"/>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Broader stakeholder access</w:t>
            </w:r>
          </w:p>
        </w:tc>
      </w:tr>
      <w:tr>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DR</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Evaluate Delta Sharing / replication</w:t>
            </w:r>
          </w:p>
        </w:tc>
        <w:tc>
          <w:tcPr>
            <w:tcW w:type="dxa" w:w="3408"/>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Business continuity</w:t>
            </w:r>
          </w:p>
        </w:tc>
      </w:tr>
    </w:tbl>
    <w:p>
      <w:pPr>
        <w:spacing w:after="40"/>
      </w:pPr>
    </w:p>
    <w:tbl>
      <w:tblPr>
        <w:tblW w:type="auto" w:w="0"/>
        <w:jc w:val="center"/>
        <w:tblLook w:firstColumn="1" w:firstRow="1" w:lastColumn="0" w:lastRow="0" w:noHBand="0" w:noVBand="1" w:val="04A0"/>
      </w:tblPr>
      <w:tblGrid>
        <w:gridCol w:w="10224"/>
      </w:tblGrid>
      <w:tr>
        <w:tc>
          <w:tcPr>
            <w:tcW w:type="dxa" w:w="10224"/>
            <w:shd w:fill="FFF3E5"/>
            <w:tcBorders>
              <w:top w:val="single" w:sz="8" w:color="F08A24"/>
              <w:left w:val="single" w:sz="8" w:color="F08A24"/>
              <w:bottom w:val="single" w:sz="8" w:color="F08A24"/>
              <w:right w:val="single" w:sz="8" w:color="F08A24"/>
              <w:insideH w:val="single" w:sz="8" w:color="F08A24"/>
              <w:insideV w:val="single" w:sz="8" w:color="F08A24"/>
            </w:tcBorders>
          </w:tcPr>
          <w:p>
            <w:pPr>
              <w:spacing w:after="60"/>
            </w:pPr>
            <w:r>
              <w:rPr>
                <w:rFonts w:ascii="Aptos" w:hAnsi="Aptos"/>
                <w:b/>
                <w:color w:val="F08A24"/>
                <w:sz w:val="22"/>
              </w:rPr>
              <w:t>Team discussion</w:t>
            </w:r>
          </w:p>
          <w:p>
            <w:pPr>
              <w:spacing w:after="40"/>
            </w:pPr>
            <w:r>
              <w:rPr>
                <w:rFonts w:ascii="Aptos" w:hAnsi="Aptos"/>
                <w:color w:val="172B3A"/>
                <w:sz w:val="19"/>
              </w:rPr>
              <w:t>Which additional validation rules should be added? How should schema evolution be handled? Which BI dashboards should consume the refreshed views? Who should receive operational alerts?</w:t>
            </w:r>
          </w:p>
        </w:tc>
      </w:tr>
    </w:tbl>
    <w:p>
      <w:pPr>
        <w:spacing w:after="20"/>
      </w:pPr>
    </w:p>
    <w:p>
      <w:pPr>
        <w:pStyle w:val="Heading1"/>
      </w:pPr>
      <w:r>
        <w:rPr>
          <w:rFonts w:ascii="Aptos Display" w:hAnsi="Aptos Display"/>
          <w:b/>
          <w:color w:val="0B1F33"/>
        </w:rPr>
        <w:t>Appendix A — key paths &amp; identifiers</w:t>
      </w:r>
    </w:p>
    <w:tbl>
      <w:tblPr>
        <w:tblStyle w:val="TableGrid"/>
        <w:tblW w:type="auto" w:w="0"/>
        <w:jc w:val="center"/>
        <w:tblLook w:firstColumn="1" w:firstRow="1" w:lastColumn="0" w:lastRow="0" w:noHBand="0" w:noVBand="1" w:val="04A0"/>
      </w:tblPr>
      <w:tblGrid>
        <w:gridCol w:w="5112"/>
        <w:gridCol w:w="5112"/>
      </w:tblGrid>
      <w:tr>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Item</w:t>
            </w:r>
          </w:p>
        </w:tc>
        <w:tc>
          <w:tcPr>
            <w:tcW w:type="dxa" w:w="5112"/>
            <w:shd w:fill="0B1F33"/>
            <w:vAlign w:val="center"/>
            <w:tcBorders>
              <w:top w:val="single" w:sz="4" w:color="0B1F33"/>
              <w:left w:val="single" w:sz="4" w:color="0B1F33"/>
              <w:bottom w:val="single" w:sz="4" w:color="0B1F33"/>
              <w:right w:val="single" w:sz="4" w:color="0B1F33"/>
              <w:insideH w:val="single" w:sz="4" w:color="0B1F33"/>
              <w:insideV w:val="single" w:sz="4" w:color="0B1F33"/>
            </w:tcBorders>
          </w:tcPr>
          <w:p>
            <w:pPr>
              <w:spacing w:after="0"/>
            </w:pPr>
            <w:r/>
            <w:r>
              <w:rPr>
                <w:rFonts w:ascii="Aptos" w:hAnsi="Aptos"/>
                <w:b/>
                <w:color w:val="FFFFFF"/>
                <w:sz w:val="18"/>
              </w:rPr>
              <w:t>Value</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Job</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payroll_employees_nyc_prod</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Job ID</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37858787129397</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Repository</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https://github.com/Sh4444/databricks-data-engineering-projects</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Active volume</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/Volumes/workspace/shprod/payrolldata/data/</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 volume</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/Volumes/workspace/shprod/payrolldata/archive/nycpayrolldata/</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Framework notebook</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notebooks/fwnb</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PVT notebook</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notebooks/01_pvtnb</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SCD notebook</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notebooks/02_scdnb</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Archive notebook</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notebooks/03_archivenb</w:t>
            </w:r>
          </w:p>
        </w:tc>
      </w:tr>
      <w:tr>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Audit utility</w:t>
            </w:r>
          </w:p>
        </w:tc>
        <w:tc>
          <w:tcPr>
            <w:tcW w:type="dxa" w:w="5112"/>
            <w:shd w:fill="F3F6F8"/>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notebooks/00_audit_utilsnb</w:t>
            </w:r>
          </w:p>
        </w:tc>
      </w:tr>
      <w:tr>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View SQL</w:t>
            </w:r>
          </w:p>
        </w:tc>
        <w:tc>
          <w:tcPr>
            <w:tcW w:type="dxa" w:w="5112"/>
            <w:shd w:fill="FFFFFF"/>
            <w:vAlign w:val="center"/>
            <w:tcBorders>
              <w:top w:val="single" w:sz="4" w:color="D9E2EA"/>
              <w:left w:val="single" w:sz="4" w:color="D9E2EA"/>
              <w:bottom w:val="single" w:sz="4" w:color="D9E2EA"/>
              <w:right w:val="single" w:sz="4" w:color="D9E2EA"/>
              <w:insideH w:val="single" w:sz="4" w:color="D9E2EA"/>
              <w:insideV w:val="single" w:sz="4" w:color="D9E2EA"/>
            </w:tcBorders>
          </w:tcPr>
          <w:p>
            <w:pPr>
              <w:spacing w:after="0"/>
            </w:pPr>
            <w:r/>
            <w:r>
              <w:rPr>
                <w:rFonts w:ascii="Aptos" w:hAnsi="Aptos"/>
                <w:b w:val="0"/>
                <w:color w:val="172B3A"/>
                <w:sz w:val="17"/>
              </w:rPr>
              <w:t>views/views.sql</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7184"/>
        <w:sz w:val="16"/>
      </w:rPr>
      <w:t>NYC Employee Payroll • Databricks Team Reference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8ED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B89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