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E40AF"/>
          <w:sz w:val="60"/>
        </w:rPr>
        <w:t>Sousa Creative AI</w:t>
      </w:r>
    </w:p>
    <w:p>
      <w:pPr>
        <w:jc w:val="center"/>
      </w:pPr>
      <w:r>
        <w:rPr>
          <w:rFonts w:ascii="Arial" w:hAnsi="Arial"/>
          <w:color w:val="475569"/>
          <w:sz w:val="30"/>
        </w:rPr>
        <w:t>Relatório de Auditoria Técnica &amp; Estratégia de Precificação</w:t>
      </w:r>
    </w:p>
    <w:p/>
    <w:p>
      <w:pPr>
        <w:jc w:val="center"/>
      </w:pPr>
      <w:r>
        <w:rPr>
          <w:rFonts w:ascii="Arial" w:hAnsi="Arial"/>
          <w:i/>
          <w:color w:val="94A3B8"/>
          <w:sz w:val="20"/>
        </w:rPr>
        <w:t>Emitido em 24/05/2026  •  Confidencial</w:t>
      </w:r>
    </w:p>
    <w:p>
      <w:r>
        <w:br w:type="page"/>
      </w:r>
    </w:p>
    <w:p>
      <w:pPr>
        <w:pStyle w:val="Heading1"/>
      </w:pPr>
      <w:r>
        <w:rPr>
          <w:rFonts w:ascii="Arial" w:hAnsi="Arial"/>
          <w:color w:val="1E40AF"/>
          <w:sz w:val="34"/>
        </w:rPr>
        <w:t>Sumário Executivo</w:t>
      </w:r>
    </w:p>
    <w:p>
      <w:r>
        <w:rPr>
          <w:rFonts w:ascii="Arial" w:hAnsi="Arial"/>
          <w:b w:val="0"/>
          <w:i w:val="0"/>
          <w:sz w:val="21"/>
        </w:rPr>
        <w:t>Este relatório cataloga 19 falhas identificadas no código e na arquitetura do Sousa Creative AI, classificadas em quatro níveis de criticidade (Crítico, Alto, Médio, Baixo), cada uma com causa raiz, impacto real e solução objetiva. A seção final analisa modelos de monetização compatíveis com os custos operacionais reais do produto.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E3A8A"/>
          </w:tcPr>
          <w:p>
            <w:r>
              <w:rPr>
                <w:rFonts w:ascii="Arial" w:hAnsi="Arial"/>
                <w:b/>
                <w:color w:val="FFFFFF"/>
                <w:sz w:val="20"/>
              </w:rPr>
              <w:t>Nível</w:t>
            </w:r>
          </w:p>
        </w:tc>
        <w:tc>
          <w:tcPr>
            <w:tcW w:type="dxa" w:w="3120"/>
            <w:shd w:val="clear" w:color="auto" w:fill="1E3A8A"/>
          </w:tcPr>
          <w:p>
            <w:r>
              <w:rPr>
                <w:rFonts w:ascii="Arial" w:hAnsi="Arial"/>
                <w:b/>
                <w:color w:val="FFFFFF"/>
                <w:sz w:val="20"/>
              </w:rPr>
              <w:t>Qtd</w:t>
            </w:r>
          </w:p>
        </w:tc>
        <w:tc>
          <w:tcPr>
            <w:tcW w:type="dxa" w:w="3120"/>
            <w:shd w:val="clear" w:color="auto" w:fill="1E3A8A"/>
          </w:tcPr>
          <w:p>
            <w:r>
              <w:rPr>
                <w:rFonts w:ascii="Arial" w:hAnsi="Arial"/>
                <w:b/>
                <w:color w:val="FFFFFF"/>
                <w:sz w:val="20"/>
              </w:rPr>
              <w:t>Risco Primário</w:t>
            </w:r>
          </w:p>
        </w:tc>
      </w:tr>
      <w:tr>
        <w:tc>
          <w:tcPr>
            <w:tcW w:type="dxa" w:w="2304"/>
            <w:shd w:val="clear" w:color="auto" w:fill="FEE2E2"/>
          </w:tcPr>
          <w:p>
            <w:r>
              <w:rPr>
                <w:rFonts w:ascii="Arial" w:hAnsi="Arial"/>
                <w:b/>
                <w:sz w:val="20"/>
              </w:rPr>
              <w:t>🔴 CRÍTICO</w:t>
            </w:r>
          </w:p>
        </w:tc>
        <w:tc>
          <w:tcPr>
            <w:tcW w:type="dxa" w:w="720"/>
            <w:shd w:val="clear" w:color="auto" w:fill="FEE2E2"/>
          </w:tcPr>
          <w:p>
            <w:r>
              <w:rPr>
                <w:rFonts w:ascii="Arial" w:hAnsi="Arial"/>
                <w:b/>
                <w:sz w:val="20"/>
              </w:rPr>
              <w:t>4</w:t>
            </w:r>
          </w:p>
        </w:tc>
        <w:tc>
          <w:tcPr>
            <w:tcW w:type="dxa" w:w="7776"/>
            <w:shd w:val="clear" w:color="auto" w:fill="FEE2E2"/>
          </w:tcPr>
          <w:p>
            <w:r>
              <w:rPr>
                <w:rFonts w:ascii="Arial" w:hAnsi="Arial"/>
                <w:sz w:val="20"/>
              </w:rPr>
              <w:t>Perda de dados, bypass de segurança, prejuízo financeiro direto</w:t>
            </w:r>
          </w:p>
        </w:tc>
      </w:tr>
      <w:tr>
        <w:tc>
          <w:tcPr>
            <w:tcW w:type="dxa" w:w="2304"/>
            <w:shd w:val="clear" w:color="auto" w:fill="FFEDD5"/>
          </w:tcPr>
          <w:p>
            <w:r>
              <w:rPr>
                <w:rFonts w:ascii="Arial" w:hAnsi="Arial"/>
                <w:b/>
                <w:sz w:val="20"/>
              </w:rPr>
              <w:t>🟠 ALTO</w:t>
            </w:r>
          </w:p>
        </w:tc>
        <w:tc>
          <w:tcPr>
            <w:tcW w:type="dxa" w:w="720"/>
            <w:shd w:val="clear" w:color="auto" w:fill="FFEDD5"/>
          </w:tcPr>
          <w:p>
            <w:r>
              <w:rPr>
                <w:rFonts w:ascii="Arial" w:hAnsi="Arial"/>
                <w:b/>
                <w:sz w:val="20"/>
              </w:rPr>
              <w:t>6</w:t>
            </w:r>
          </w:p>
        </w:tc>
        <w:tc>
          <w:tcPr>
            <w:tcW w:type="dxa" w:w="7776"/>
            <w:shd w:val="clear" w:color="auto" w:fill="FFEDD5"/>
          </w:tcPr>
          <w:p>
            <w:r>
              <w:rPr>
                <w:rFonts w:ascii="Arial" w:hAnsi="Arial"/>
                <w:sz w:val="20"/>
              </w:rPr>
              <w:t>Experiência quebrada, duplicata de dados, inconsistência</w:t>
            </w:r>
          </w:p>
        </w:tc>
      </w:tr>
      <w:tr>
        <w:tc>
          <w:tcPr>
            <w:tcW w:type="dxa" w:w="2304"/>
            <w:shd w:val="clear" w:color="auto" w:fill="FEF9C3"/>
          </w:tcPr>
          <w:p>
            <w:r>
              <w:rPr>
                <w:rFonts w:ascii="Arial" w:hAnsi="Arial"/>
                <w:b/>
                <w:sz w:val="20"/>
              </w:rPr>
              <w:t>🟡 MÉDIO</w:t>
            </w:r>
          </w:p>
        </w:tc>
        <w:tc>
          <w:tcPr>
            <w:tcW w:type="dxa" w:w="720"/>
            <w:shd w:val="clear" w:color="auto" w:fill="FEF9C3"/>
          </w:tcPr>
          <w:p>
            <w:r>
              <w:rPr>
                <w:rFonts w:ascii="Arial" w:hAnsi="Arial"/>
                <w:b/>
                <w:sz w:val="20"/>
              </w:rPr>
              <w:t>5</w:t>
            </w:r>
          </w:p>
        </w:tc>
        <w:tc>
          <w:tcPr>
            <w:tcW w:type="dxa" w:w="7776"/>
            <w:shd w:val="clear" w:color="auto" w:fill="FEF9C3"/>
          </w:tcPr>
          <w:p>
            <w:r>
              <w:rPr>
                <w:rFonts w:ascii="Arial" w:hAnsi="Arial"/>
                <w:sz w:val="20"/>
              </w:rPr>
              <w:t>Degradação silenciosa, comportamento inesperado</w:t>
            </w:r>
          </w:p>
        </w:tc>
      </w:tr>
      <w:tr>
        <w:tc>
          <w:tcPr>
            <w:tcW w:type="dxa" w:w="2304"/>
            <w:shd w:val="clear" w:color="auto" w:fill="DCFCE7"/>
          </w:tcPr>
          <w:p>
            <w:r>
              <w:rPr>
                <w:rFonts w:ascii="Arial" w:hAnsi="Arial"/>
                <w:b/>
                <w:sz w:val="20"/>
              </w:rPr>
              <w:t>🟢 BAIXO</w:t>
            </w:r>
          </w:p>
        </w:tc>
        <w:tc>
          <w:tcPr>
            <w:tcW w:type="dxa" w:w="720"/>
            <w:shd w:val="clear" w:color="auto" w:fill="DCFCE7"/>
          </w:tcPr>
          <w:p>
            <w:r>
              <w:rPr>
                <w:rFonts w:ascii="Arial" w:hAnsi="Arial"/>
                <w:b/>
                <w:sz w:val="20"/>
              </w:rPr>
              <w:t>4</w:t>
            </w:r>
          </w:p>
        </w:tc>
        <w:tc>
          <w:tcPr>
            <w:tcW w:type="dxa" w:w="7776"/>
            <w:shd w:val="clear" w:color="auto" w:fill="DCFCE7"/>
          </w:tcPr>
          <w:p>
            <w:r>
              <w:rPr>
                <w:rFonts w:ascii="Arial" w:hAnsi="Arial"/>
                <w:sz w:val="20"/>
              </w:rPr>
              <w:t>Débito técnico, manutenibilidade, cobertura de testes</w:t>
            </w:r>
          </w:p>
        </w:tc>
      </w:tr>
      <w:tr>
        <w:tc>
          <w:tcPr>
            <w:tcW w:type="dxa" w:w="3120"/>
          </w:tcPr>
          <w:p/>
        </w:tc>
        <w:tc>
          <w:tcPr>
            <w:tcW w:type="dxa" w:w="3120"/>
          </w:tcPr>
          <w:p/>
        </w:tc>
        <w:tc>
          <w:tcPr>
            <w:tcW w:type="dxa" w:w="3120"/>
          </w:tcPr>
          <w:p/>
        </w:tc>
      </w:tr>
    </w:tbl>
    <w:p>
      <w:r>
        <w:br w:type="page"/>
      </w:r>
    </w:p>
    <w:p>
      <w:pPr>
        <w:pStyle w:val="Heading1"/>
      </w:pPr>
      <w:r>
        <w:rPr>
          <w:rFonts w:ascii="Arial" w:hAnsi="Arial"/>
          <w:color w:val="B91C1C"/>
          <w:sz w:val="34"/>
        </w:rPr>
        <w:t>1. Falhas Críticas — Resolução Imediata</w:t>
      </w:r>
    </w:p>
    <w:p>
      <w:r>
        <w:rPr>
          <w:rFonts w:ascii="Arial" w:hAnsi="Arial"/>
          <w:b w:val="0"/>
          <w:i/>
          <w:sz w:val="21"/>
        </w:rPr>
        <w:t>Estas falhas causam perda de dados, bypass de segurança, duplicação de registros no banco ou prejuízo financeiro direto. Devem ser corrigidas antes de qualquer lançamento ou aumento de base de usuários.</w:t>
      </w:r>
    </w:p>
    <w:p/>
    <w:tbl>
      <w:tblPr>
        <w:tblW w:type="auto" w:w="0"/>
        <w:jc w:val="left"/>
        <w:tblLook w:firstColumn="1" w:firstRow="1" w:lastColumn="0" w:lastRow="0" w:noHBand="0" w:noVBand="1" w:val="04A0"/>
      </w:tblPr>
      <w:tblGrid>
        <w:gridCol w:w="9360"/>
      </w:tblGrid>
      <w:tr>
        <w:tc>
          <w:tcPr>
            <w:tcW w:type="dxa" w:w="10800"/>
            <w:shd w:val="clear" w:color="auto" w:fill="FEE2E2"/>
          </w:tcPr>
          <w:p>
            <w:r>
              <w:rPr>
                <w:rFonts w:ascii="Arial" w:hAnsi="Arial"/>
                <w:b/>
                <w:color w:val="B91C1C"/>
                <w:sz w:val="21"/>
              </w:rPr>
              <w:t>C1 — Dupla Inserção em 'generations': Risco de Duplicatas de Cobrança</w:t>
            </w:r>
          </w:p>
        </w:tc>
      </w:tr>
    </w:tbl>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FEE2E2"/>
          </w:tcPr>
          <w:p>
            <w:r>
              <w:rPr>
                <w:rFonts w:ascii="Arial" w:hAnsi="Arial"/>
                <w:b/>
                <w:sz w:val="20"/>
              </w:rPr>
              <w:t>Campo</w:t>
            </w:r>
          </w:p>
        </w:tc>
        <w:tc>
          <w:tcPr>
            <w:tcW w:type="dxa" w:w="8208"/>
            <w:shd w:val="clear" w:color="auto" w:fill="FEE2E2"/>
          </w:tcPr>
          <w:p>
            <w:r>
              <w:rPr>
                <w:rFonts w:ascii="Arial" w:hAnsi="Arial"/>
                <w:sz w:val="20"/>
              </w:rPr>
              <w:t>Detalhe</w:t>
            </w:r>
          </w:p>
        </w:tc>
      </w:tr>
      <w:tr>
        <w:tc>
          <w:tcPr>
            <w:tcW w:type="dxa" w:w="2592"/>
          </w:tcPr>
          <w:p>
            <w:r>
              <w:rPr>
                <w:rFonts w:ascii="Arial" w:hAnsi="Arial"/>
                <w:b/>
                <w:sz w:val="20"/>
              </w:rPr>
              <w:t>Arquivo</w:t>
            </w:r>
          </w:p>
        </w:tc>
        <w:tc>
          <w:tcPr>
            <w:tcW w:type="dxa" w:w="8208"/>
          </w:tcPr>
          <w:p>
            <w:r>
              <w:rPr>
                <w:rFonts w:ascii="Arial" w:hAnsi="Arial"/>
                <w:sz w:val="20"/>
              </w:rPr>
              <w:t>src/pages/NewGeneration.tsx linha 336 + supabase/functions/generate-image/index.ts linha 333</w:t>
            </w:r>
          </w:p>
        </w:tc>
      </w:tr>
      <w:tr>
        <w:tc>
          <w:tcPr>
            <w:tcW w:type="dxa" w:w="2592"/>
          </w:tcPr>
          <w:p>
            <w:r>
              <w:rPr>
                <w:rFonts w:ascii="Arial" w:hAnsi="Arial"/>
                <w:b/>
                <w:sz w:val="20"/>
              </w:rPr>
              <w:t>Causa Raiz</w:t>
            </w:r>
          </w:p>
        </w:tc>
        <w:tc>
          <w:tcPr>
            <w:tcW w:type="dxa" w:w="8208"/>
          </w:tcPr>
          <w:p>
            <w:r>
              <w:rPr>
                <w:rFonts w:ascii="Arial" w:hAnsi="Arial"/>
                <w:sz w:val="20"/>
              </w:rPr>
              <w:t>O edge function já insere o registro em generations e retorna o objeto. O cliente, em seguida, chama addToLibrary() incondicionalmente. Se a resposta contém data.generation, o addToLibrary() cria um segundo registro com imageUrl e prompt idênticos, mas sem storage_path.</w:t>
            </w:r>
          </w:p>
        </w:tc>
      </w:tr>
      <w:tr>
        <w:tc>
          <w:tcPr>
            <w:tcW w:type="dxa" w:w="2592"/>
          </w:tcPr>
          <w:p>
            <w:r>
              <w:rPr>
                <w:rFonts w:ascii="Arial" w:hAnsi="Arial"/>
                <w:b/>
                <w:sz w:val="20"/>
              </w:rPr>
              <w:t>Impacto</w:t>
            </w:r>
          </w:p>
        </w:tc>
        <w:tc>
          <w:tcPr>
            <w:tcW w:type="dxa" w:w="8208"/>
          </w:tcPr>
          <w:p>
            <w:r>
              <w:rPr>
                <w:rFonts w:ascii="Arial" w:hAnsi="Arial"/>
                <w:sz w:val="20"/>
              </w:rPr>
              <w:t>Cada geração produz 2 linhas na tabela generations. Quando a contagem de gerações for usada para billing (créditos ou planos por volume), o usuário paga double-count. A biblioteca exibe o mesmo item duas vezes. O campo storage_path fica vazio na segunda linha, impedindo cleanup.</w:t>
            </w:r>
          </w:p>
        </w:tc>
      </w:tr>
      <w:tr>
        <w:tc>
          <w:tcPr>
            <w:tcW w:type="dxa" w:w="2592"/>
          </w:tcPr>
          <w:p>
            <w:r>
              <w:rPr>
                <w:rFonts w:ascii="Arial" w:hAnsi="Arial"/>
                <w:b/>
                <w:sz w:val="20"/>
              </w:rPr>
              <w:t>Solução</w:t>
            </w:r>
          </w:p>
        </w:tc>
        <w:tc>
          <w:tcPr>
            <w:tcW w:type="dxa" w:w="8208"/>
          </w:tcPr>
          <w:p>
            <w:r>
              <w:rPr>
                <w:rFonts w:ascii="Arial" w:hAnsi="Arial"/>
                <w:sz w:val="20"/>
              </w:rPr>
              <w:t>NewGeneration.tsx: verificar se data.generation existe antes de chamar addToLibrary(). Se sim, apenas atualizar o estado local com o objeto retornado. Regra: quem é dono da persistência é o edge function — o cliente apenas lê.</w:t>
            </w:r>
          </w:p>
        </w:tc>
      </w:tr>
    </w:tbl>
    <w:p>
      <w:pPr>
        <w:ind w:left="432"/>
        <w:shd w:val="clear" w:color="auto" w:fill="F0F0F0"/>
      </w:pPr>
      <w:r>
        <w:rPr>
          <w:rFonts w:ascii="Courier New" w:hAnsi="Courier New"/>
          <w:sz w:val="18"/>
        </w:rPr>
        <w:t>// ANTES (errado):</w:t>
      </w:r>
    </w:p>
    <w:p>
      <w:pPr>
        <w:ind w:left="432"/>
        <w:shd w:val="clear" w:color="auto" w:fill="F0F0F0"/>
      </w:pPr>
      <w:r>
        <w:rPr>
          <w:rFonts w:ascii="Courier New" w:hAnsi="Courier New"/>
          <w:sz w:val="18"/>
        </w:rPr>
        <w:t>await addToLibrary({ imageUrl: data.imageUrl, ... })</w:t>
      </w:r>
    </w:p>
    <w:p>
      <w:pPr>
        <w:ind w:left="432"/>
        <w:shd w:val="clear" w:color="auto" w:fill="F0F0F0"/>
      </w:pPr>
      <w:r>
        <w:rPr>
          <w:rFonts w:ascii="Courier New" w:hAnsi="Courier New"/>
          <w:sz w:val="18"/>
        </w:rPr>
        <w:t>// DEPOIS (correto):</w:t>
      </w:r>
    </w:p>
    <w:p>
      <w:pPr>
        <w:ind w:left="432"/>
        <w:shd w:val="clear" w:color="auto" w:fill="F0F0F0"/>
      </w:pPr>
      <w:r>
        <w:rPr>
          <w:rFonts w:ascii="Courier New" w:hAnsi="Courier New"/>
          <w:sz w:val="18"/>
        </w:rPr>
        <w:t>const gen = data.generation ?? await addToLibrary({ imageUrl: data.imageUrl, ... })</w:t>
      </w:r>
    </w:p>
    <w:p/>
    <w:tbl>
      <w:tblPr>
        <w:tblW w:type="auto" w:w="0"/>
        <w:jc w:val="left"/>
        <w:tblLook w:firstColumn="1" w:firstRow="1" w:lastColumn="0" w:lastRow="0" w:noHBand="0" w:noVBand="1" w:val="04A0"/>
      </w:tblPr>
      <w:tblGrid>
        <w:gridCol w:w="9360"/>
      </w:tblGrid>
      <w:tr>
        <w:tc>
          <w:tcPr>
            <w:tcW w:type="dxa" w:w="10800"/>
            <w:shd w:val="clear" w:color="auto" w:fill="FEE2E2"/>
          </w:tcPr>
          <w:p>
            <w:r>
              <w:rPr>
                <w:rFonts w:ascii="Arial" w:hAnsi="Arial"/>
                <w:b/>
                <w:color w:val="B91C1C"/>
                <w:sz w:val="21"/>
              </w:rPr>
              <w:t>C2 — Logo Sempre Carregado do Default Público (sem autenticação)</w:t>
            </w:r>
          </w:p>
        </w:tc>
      </w:tr>
    </w:tbl>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FEE2E2"/>
          </w:tcPr>
          <w:p>
            <w:r>
              <w:rPr>
                <w:rFonts w:ascii="Arial" w:hAnsi="Arial"/>
                <w:b/>
                <w:sz w:val="20"/>
              </w:rPr>
              <w:t>Campo</w:t>
            </w:r>
          </w:p>
        </w:tc>
        <w:tc>
          <w:tcPr>
            <w:tcW w:type="dxa" w:w="8208"/>
            <w:shd w:val="clear" w:color="auto" w:fill="FEE2E2"/>
          </w:tcPr>
          <w:p>
            <w:r>
              <w:rPr>
                <w:rFonts w:ascii="Arial" w:hAnsi="Arial"/>
                <w:sz w:val="20"/>
              </w:rPr>
              <w:t>Detalhe</w:t>
            </w:r>
          </w:p>
        </w:tc>
      </w:tr>
      <w:tr>
        <w:tc>
          <w:tcPr>
            <w:tcW w:type="dxa" w:w="2592"/>
          </w:tcPr>
          <w:p>
            <w:r>
              <w:rPr>
                <w:rFonts w:ascii="Arial" w:hAnsi="Arial"/>
                <w:b/>
                <w:sz w:val="20"/>
              </w:rPr>
              <w:t>Arquivo</w:t>
            </w:r>
          </w:p>
        </w:tc>
        <w:tc>
          <w:tcPr>
            <w:tcW w:type="dxa" w:w="8208"/>
          </w:tcPr>
          <w:p>
            <w:r>
              <w:rPr>
                <w:rFonts w:ascii="Arial" w:hAnsi="Arial"/>
                <w:sz w:val="20"/>
              </w:rPr>
              <w:t>src/pages/NewGeneration.tsx linhas 313–320</w:t>
            </w:r>
          </w:p>
        </w:tc>
      </w:tr>
      <w:tr>
        <w:tc>
          <w:tcPr>
            <w:tcW w:type="dxa" w:w="2592"/>
          </w:tcPr>
          <w:p>
            <w:r>
              <w:rPr>
                <w:rFonts w:ascii="Arial" w:hAnsi="Arial"/>
                <w:b/>
                <w:sz w:val="20"/>
              </w:rPr>
              <w:t>Causa Raiz</w:t>
            </w:r>
          </w:p>
        </w:tc>
        <w:tc>
          <w:tcPr>
            <w:tcW w:type="dxa" w:w="8208"/>
          </w:tcPr>
          <w:p>
            <w:r>
              <w:rPr>
                <w:rFonts w:ascii="Arial" w:hAnsi="Arial"/>
                <w:sz w:val="20"/>
              </w:rPr>
              <w:t>O bloco de fetch do logo não tem guarda: `fetch(brandLogoUrl || "/logo-comercial-sousa.png")` é executado incondicionalmente. Quando o usuário não configurou logo personalizado, faz fetch do logo padrão público e envia para a IA — consumindo tokens e payload desnecessariamente. Pior: se brandLogoUrl aponta para um recurso externo autenticado (Supabase signed URL), esse fetch pode falhar silenciosamente e o logo padrão substituir o do cliente.</w:t>
            </w:r>
          </w:p>
        </w:tc>
      </w:tr>
      <w:tr>
        <w:tc>
          <w:tcPr>
            <w:tcW w:type="dxa" w:w="2592"/>
          </w:tcPr>
          <w:p>
            <w:r>
              <w:rPr>
                <w:rFonts w:ascii="Arial" w:hAnsi="Arial"/>
                <w:b/>
                <w:sz w:val="20"/>
              </w:rPr>
              <w:t>Impacto</w:t>
            </w:r>
          </w:p>
        </w:tc>
        <w:tc>
          <w:tcPr>
            <w:tcW w:type="dxa" w:w="8208"/>
          </w:tcPr>
          <w:p>
            <w:r>
              <w:rPr>
                <w:rFonts w:ascii="Arial" w:hAnsi="Arial"/>
                <w:sz w:val="20"/>
              </w:rPr>
              <w:t>Clientes com logo personalizado podem receber artes com o logo padrão 'Comercial Sousa' se a signed URL expirou. Payload 6MB pode ser atingido mais facilmente.</w:t>
            </w:r>
          </w:p>
        </w:tc>
      </w:tr>
      <w:tr>
        <w:tc>
          <w:tcPr>
            <w:tcW w:type="dxa" w:w="2592"/>
          </w:tcPr>
          <w:p>
            <w:r>
              <w:rPr>
                <w:rFonts w:ascii="Arial" w:hAnsi="Arial"/>
                <w:b/>
                <w:sz w:val="20"/>
              </w:rPr>
              <w:t>Solução</w:t>
            </w:r>
          </w:p>
        </w:tc>
        <w:tc>
          <w:tcPr>
            <w:tcW w:type="dxa" w:w="8208"/>
          </w:tcPr>
          <w:p>
            <w:r>
              <w:rPr>
                <w:rFonts w:ascii="Arial" w:hAnsi="Arial"/>
                <w:sz w:val="20"/>
              </w:rPr>
              <w:t>Guardar o fetch do logo: só enviar se brandLogoUrl existir E não for um path local. Para signed URLs expiradas, chamar refresh-url antes de tentar o fetch.</w:t>
            </w:r>
          </w:p>
        </w:tc>
      </w:tr>
    </w:tbl>
    <w:p>
      <w:pPr>
        <w:ind w:left="432"/>
        <w:shd w:val="clear" w:color="auto" w:fill="F0F0F0"/>
      </w:pPr>
      <w:r>
        <w:rPr>
          <w:rFonts w:ascii="Courier New" w:hAnsi="Courier New"/>
          <w:sz w:val="18"/>
        </w:rPr>
        <w:t>// Guardar corretamente:</w:t>
      </w:r>
    </w:p>
    <w:p>
      <w:pPr>
        <w:ind w:left="432"/>
        <w:shd w:val="clear" w:color="auto" w:fill="F0F0F0"/>
      </w:pPr>
      <w:r>
        <w:rPr>
          <w:rFonts w:ascii="Courier New" w:hAnsi="Courier New"/>
          <w:sz w:val="18"/>
        </w:rPr>
        <w:t>if (brandLogoUrl &amp;&amp; !brandLogoUrl.startsWith('/')) {</w:t>
      </w:r>
    </w:p>
    <w:p>
      <w:pPr>
        <w:ind w:left="432"/>
        <w:shd w:val="clear" w:color="auto" w:fill="F0F0F0"/>
      </w:pPr>
      <w:r>
        <w:rPr>
          <w:rFonts w:ascii="Courier New" w:hAnsi="Courier New"/>
          <w:sz w:val="18"/>
        </w:rPr>
        <w:t xml:space="preserve">  // tenta fetch; se falhar, não envia — edge fn faz deduplication pelo DB</w:t>
      </w:r>
    </w:p>
    <w:p>
      <w:pPr>
        <w:ind w:left="432"/>
        <w:shd w:val="clear" w:color="auto" w:fill="F0F0F0"/>
      </w:pPr>
      <w:r>
        <w:rPr>
          <w:rFonts w:ascii="Courier New" w:hAnsi="Courier New"/>
          <w:sz w:val="18"/>
        </w:rPr>
        <w:t>}</w:t>
      </w:r>
    </w:p>
    <w:p/>
    <w:tbl>
      <w:tblPr>
        <w:tblW w:type="auto" w:w="0"/>
        <w:jc w:val="left"/>
        <w:tblLook w:firstColumn="1" w:firstRow="1" w:lastColumn="0" w:lastRow="0" w:noHBand="0" w:noVBand="1" w:val="04A0"/>
      </w:tblPr>
      <w:tblGrid>
        <w:gridCol w:w="9360"/>
      </w:tblGrid>
      <w:tr>
        <w:tc>
          <w:tcPr>
            <w:tcW w:type="dxa" w:w="10800"/>
            <w:shd w:val="clear" w:color="auto" w:fill="FEE2E2"/>
          </w:tcPr>
          <w:p>
            <w:r>
              <w:rPr>
                <w:rFonts w:ascii="Arial" w:hAnsi="Arial"/>
                <w:b/>
                <w:color w:val="B91C1C"/>
                <w:sz w:val="21"/>
              </w:rPr>
              <w:t>C3 — Rate Limit Anônimo Falha-Aberto: Zero Proteção se Redis Indisponível</w:t>
            </w:r>
          </w:p>
        </w:tc>
      </w:tr>
    </w:tbl>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FEE2E2"/>
          </w:tcPr>
          <w:p>
            <w:r>
              <w:rPr>
                <w:rFonts w:ascii="Arial" w:hAnsi="Arial"/>
                <w:b/>
                <w:sz w:val="20"/>
              </w:rPr>
              <w:t>Campo</w:t>
            </w:r>
          </w:p>
        </w:tc>
        <w:tc>
          <w:tcPr>
            <w:tcW w:type="dxa" w:w="8208"/>
            <w:shd w:val="clear" w:color="auto" w:fill="FEE2E2"/>
          </w:tcPr>
          <w:p>
            <w:r>
              <w:rPr>
                <w:rFonts w:ascii="Arial" w:hAnsi="Arial"/>
                <w:sz w:val="20"/>
              </w:rPr>
              <w:t>Detalhe</w:t>
            </w:r>
          </w:p>
        </w:tc>
      </w:tr>
      <w:tr>
        <w:tc>
          <w:tcPr>
            <w:tcW w:type="dxa" w:w="2592"/>
          </w:tcPr>
          <w:p>
            <w:r>
              <w:rPr>
                <w:rFonts w:ascii="Arial" w:hAnsi="Arial"/>
                <w:b/>
                <w:sz w:val="20"/>
              </w:rPr>
              <w:t>Arquivo</w:t>
            </w:r>
          </w:p>
        </w:tc>
        <w:tc>
          <w:tcPr>
            <w:tcW w:type="dxa" w:w="8208"/>
          </w:tcPr>
          <w:p>
            <w:r>
              <w:rPr>
                <w:rFonts w:ascii="Arial" w:hAnsi="Arial"/>
                <w:sz w:val="20"/>
              </w:rPr>
              <w:t>supabase/functions/generate-image/index.ts linhas 141–167</w:t>
            </w:r>
          </w:p>
        </w:tc>
      </w:tr>
      <w:tr>
        <w:tc>
          <w:tcPr>
            <w:tcW w:type="dxa" w:w="2592"/>
          </w:tcPr>
          <w:p>
            <w:r>
              <w:rPr>
                <w:rFonts w:ascii="Arial" w:hAnsi="Arial"/>
                <w:b/>
                <w:sz w:val="20"/>
              </w:rPr>
              <w:t>Causa Raiz</w:t>
            </w:r>
          </w:p>
        </w:tc>
        <w:tc>
          <w:tcPr>
            <w:tcW w:type="dxa" w:w="8208"/>
          </w:tcPr>
          <w:p>
            <w:r>
              <w:rPr>
                <w:rFonts w:ascii="Arial" w:hAnsi="Arial"/>
                <w:sz w:val="20"/>
              </w:rPr>
              <w:t>O bloco catch de Redis faz apenas console.error e deixa a requisição prosseguir. Se o Upstash Redis estiver offline, qualquer usuário anônimo tem acesso ilimitado à API da fal.ai.</w:t>
            </w:r>
          </w:p>
        </w:tc>
      </w:tr>
      <w:tr>
        <w:tc>
          <w:tcPr>
            <w:tcW w:type="dxa" w:w="2592"/>
          </w:tcPr>
          <w:p>
            <w:r>
              <w:rPr>
                <w:rFonts w:ascii="Arial" w:hAnsi="Arial"/>
                <w:b/>
                <w:sz w:val="20"/>
              </w:rPr>
              <w:t>Impacto</w:t>
            </w:r>
          </w:p>
        </w:tc>
        <w:tc>
          <w:tcPr>
            <w:tcW w:type="dxa" w:w="8208"/>
          </w:tcPr>
          <w:p>
            <w:r>
              <w:rPr>
                <w:rFonts w:ascii="Arial" w:hAnsi="Arial"/>
                <w:sz w:val="20"/>
              </w:rPr>
              <w:t>Em um ataque de força bruta com múltiplos IPs durante indisponibilidade do Redis, cada requisição consome ~0.003 USD (Flux Schnell) ou ~0.03 USD (Flux Dev) na fal.ai. 1000 requisições = $3–$30 de custo não coberto. Sem mecanismo de alertas, isso passa despercebido.</w:t>
            </w:r>
          </w:p>
        </w:tc>
      </w:tr>
      <w:tr>
        <w:tc>
          <w:tcPr>
            <w:tcW w:type="dxa" w:w="2592"/>
          </w:tcPr>
          <w:p>
            <w:r>
              <w:rPr>
                <w:rFonts w:ascii="Arial" w:hAnsi="Arial"/>
                <w:b/>
                <w:sz w:val="20"/>
              </w:rPr>
              <w:t>Solução</w:t>
            </w:r>
          </w:p>
        </w:tc>
        <w:tc>
          <w:tcPr>
            <w:tcW w:type="dxa" w:w="8208"/>
          </w:tcPr>
          <w:p>
            <w:r>
              <w:rPr>
                <w:rFonts w:ascii="Arial" w:hAnsi="Arial"/>
                <w:sz w:val="20"/>
              </w:rPr>
              <w:t>Fail-closed: se Redis lançar erro de conexão (não 429, mas conexão), retornar 503. Alternativa mais tolerante: registrar um contador em memória por worker e limitar a N por minuto como fallback.</w:t>
            </w:r>
          </w:p>
        </w:tc>
      </w:tr>
    </w:tbl>
    <w:p>
      <w:pPr>
        <w:ind w:left="432"/>
        <w:shd w:val="clear" w:color="auto" w:fill="F0F0F0"/>
      </w:pPr>
      <w:r>
        <w:rPr>
          <w:rFonts w:ascii="Courier New" w:hAnsi="Courier New"/>
          <w:sz w:val="18"/>
        </w:rPr>
        <w:t>} catch (redisErr) {</w:t>
      </w:r>
    </w:p>
    <w:p>
      <w:pPr>
        <w:ind w:left="432"/>
        <w:shd w:val="clear" w:color="auto" w:fill="F0F0F0"/>
      </w:pPr>
      <w:r>
        <w:rPr>
          <w:rFonts w:ascii="Courier New" w:hAnsi="Courier New"/>
          <w:sz w:val="18"/>
        </w:rPr>
        <w:t xml:space="preserve">  // CORRETO: fail-closed</w:t>
      </w:r>
    </w:p>
    <w:p>
      <w:pPr>
        <w:ind w:left="432"/>
        <w:shd w:val="clear" w:color="auto" w:fill="F0F0F0"/>
      </w:pPr>
      <w:r>
        <w:rPr>
          <w:rFonts w:ascii="Courier New" w:hAnsi="Courier New"/>
          <w:sz w:val="18"/>
        </w:rPr>
        <w:t xml:space="preserve">  return new Response(JSON.stringify({ error: "Serviço temporariamente indisponível." }),</w:t>
      </w:r>
    </w:p>
    <w:p>
      <w:pPr>
        <w:ind w:left="432"/>
        <w:shd w:val="clear" w:color="auto" w:fill="F0F0F0"/>
      </w:pPr>
      <w:r>
        <w:rPr>
          <w:rFonts w:ascii="Courier New" w:hAnsi="Courier New"/>
          <w:sz w:val="18"/>
        </w:rPr>
        <w:t xml:space="preserve">    { status: 503, headers: { ...corsHeaders, 'Content-Type': 'application/json' } });</w:t>
      </w:r>
    </w:p>
    <w:p>
      <w:pPr>
        <w:ind w:left="432"/>
        <w:shd w:val="clear" w:color="auto" w:fill="F0F0F0"/>
      </w:pPr>
      <w:r>
        <w:rPr>
          <w:rFonts w:ascii="Courier New" w:hAnsi="Courier New"/>
          <w:sz w:val="18"/>
        </w:rPr>
        <w:t>}</w:t>
      </w:r>
    </w:p>
    <w:p/>
    <w:tbl>
      <w:tblPr>
        <w:tblW w:type="auto" w:w="0"/>
        <w:jc w:val="left"/>
        <w:tblLook w:firstColumn="1" w:firstRow="1" w:lastColumn="0" w:lastRow="0" w:noHBand="0" w:noVBand="1" w:val="04A0"/>
      </w:tblPr>
      <w:tblGrid>
        <w:gridCol w:w="9360"/>
      </w:tblGrid>
      <w:tr>
        <w:tc>
          <w:tcPr>
            <w:tcW w:type="dxa" w:w="10800"/>
            <w:shd w:val="clear" w:color="auto" w:fill="FEE2E2"/>
          </w:tcPr>
          <w:p>
            <w:r>
              <w:rPr>
                <w:rFonts w:ascii="Arial" w:hAnsi="Arial"/>
                <w:b/>
                <w:color w:val="B91C1C"/>
                <w:sz w:val="21"/>
              </w:rPr>
              <w:t>C4 — compressImage() Duplicada em Dois Arquivos com Comportamento Diferente</w:t>
            </w:r>
          </w:p>
        </w:tc>
      </w:tr>
    </w:tbl>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FEE2E2"/>
          </w:tcPr>
          <w:p>
            <w:r>
              <w:rPr>
                <w:rFonts w:ascii="Arial" w:hAnsi="Arial"/>
                <w:b/>
                <w:sz w:val="20"/>
              </w:rPr>
              <w:t>Campo</w:t>
            </w:r>
          </w:p>
        </w:tc>
        <w:tc>
          <w:tcPr>
            <w:tcW w:type="dxa" w:w="8208"/>
            <w:shd w:val="clear" w:color="auto" w:fill="FEE2E2"/>
          </w:tcPr>
          <w:p>
            <w:r>
              <w:rPr>
                <w:rFonts w:ascii="Arial" w:hAnsi="Arial"/>
                <w:sz w:val="20"/>
              </w:rPr>
              <w:t>Detalhe</w:t>
            </w:r>
          </w:p>
        </w:tc>
      </w:tr>
      <w:tr>
        <w:tc>
          <w:tcPr>
            <w:tcW w:type="dxa" w:w="2592"/>
          </w:tcPr>
          <w:p>
            <w:r>
              <w:rPr>
                <w:rFonts w:ascii="Arial" w:hAnsi="Arial"/>
                <w:b/>
                <w:sz w:val="20"/>
              </w:rPr>
              <w:t>Arquivo</w:t>
            </w:r>
          </w:p>
        </w:tc>
        <w:tc>
          <w:tcPr>
            <w:tcW w:type="dxa" w:w="8208"/>
          </w:tcPr>
          <w:p>
            <w:r>
              <w:rPr>
                <w:rFonts w:ascii="Arial" w:hAnsi="Arial"/>
                <w:sz w:val="20"/>
              </w:rPr>
              <w:t>src/pages/NewGeneration.tsx linha 40 e src/features/generation/hooks/useImageCompression.ts</w:t>
            </w:r>
          </w:p>
        </w:tc>
      </w:tr>
      <w:tr>
        <w:tc>
          <w:tcPr>
            <w:tcW w:type="dxa" w:w="2592"/>
          </w:tcPr>
          <w:p>
            <w:r>
              <w:rPr>
                <w:rFonts w:ascii="Arial" w:hAnsi="Arial"/>
                <w:b/>
                <w:sz w:val="20"/>
              </w:rPr>
              <w:t>Causa Raiz</w:t>
            </w:r>
          </w:p>
        </w:tc>
        <w:tc>
          <w:tcPr>
            <w:tcW w:type="dxa" w:w="8208"/>
          </w:tcPr>
          <w:p>
            <w:r>
              <w:rPr>
                <w:rFonts w:ascii="Arial" w:hAnsi="Arial"/>
                <w:sz w:val="20"/>
              </w:rPr>
              <w:t>A função compressImage está implementada duas vezes. A versão em NewGeneration.tsx usa `canvas.getContext('2d')!` (non-null assertion sem tratamento). Se o contexto 2D não estiver disponível (ambientes headless, Safari com configurações de privacidade, canvas bloqueado por CSP), a aplicação lança erro de runtime não tratado que derruba o fluxo de geração.</w:t>
            </w:r>
          </w:p>
        </w:tc>
      </w:tr>
      <w:tr>
        <w:tc>
          <w:tcPr>
            <w:tcW w:type="dxa" w:w="2592"/>
          </w:tcPr>
          <w:p>
            <w:r>
              <w:rPr>
                <w:rFonts w:ascii="Arial" w:hAnsi="Arial"/>
                <w:b/>
                <w:sz w:val="20"/>
              </w:rPr>
              <w:t>Impacto</w:t>
            </w:r>
          </w:p>
        </w:tc>
        <w:tc>
          <w:tcPr>
            <w:tcW w:type="dxa" w:w="8208"/>
          </w:tcPr>
          <w:p>
            <w:r>
              <w:rPr>
                <w:rFonts w:ascii="Arial" w:hAnsi="Arial"/>
                <w:sz w:val="20"/>
              </w:rPr>
              <w:t>Erro silencioso: o usuário vê toast de erro genérico sem entender o problema. Manutenção: correções de compressão precisam ser aplicadas em dois lugares — divergência futura garantida.</w:t>
            </w:r>
          </w:p>
        </w:tc>
      </w:tr>
      <w:tr>
        <w:tc>
          <w:tcPr>
            <w:tcW w:type="dxa" w:w="2592"/>
          </w:tcPr>
          <w:p>
            <w:r>
              <w:rPr>
                <w:rFonts w:ascii="Arial" w:hAnsi="Arial"/>
                <w:b/>
                <w:sz w:val="20"/>
              </w:rPr>
              <w:t>Solução</w:t>
            </w:r>
          </w:p>
        </w:tc>
        <w:tc>
          <w:tcPr>
            <w:tcW w:type="dxa" w:w="8208"/>
          </w:tcPr>
          <w:p>
            <w:r>
              <w:rPr>
                <w:rFonts w:ascii="Arial" w:hAnsi="Arial"/>
                <w:sz w:val="20"/>
              </w:rPr>
              <w:t>Deletar a implementação inline em NewGeneration.tsx. Importar e usar o hook useImageCompression que já tem tratamento correto com if (!ctx) return reject(). DRY obrigatório.</w:t>
            </w:r>
          </w:p>
        </w:tc>
      </w:tr>
    </w:tbl>
    <w:p/>
    <w:p>
      <w:r>
        <w:br w:type="page"/>
      </w:r>
    </w:p>
    <w:p>
      <w:pPr>
        <w:pStyle w:val="Heading1"/>
      </w:pPr>
      <w:r>
        <w:rPr>
          <w:rFonts w:ascii="Arial" w:hAnsi="Arial"/>
          <w:color w:val="C2410C"/>
          <w:sz w:val="34"/>
        </w:rPr>
        <w:t>2. Falhas de Alta Prioridade</w:t>
      </w:r>
    </w:p>
    <w:p>
      <w:r>
        <w:rPr>
          <w:rFonts w:ascii="Arial" w:hAnsi="Arial"/>
          <w:b w:val="0"/>
          <w:i/>
          <w:sz w:val="21"/>
        </w:rPr>
        <w:t>Estas falhas causam inconsistências de dados, experiência do usuário quebrada em cenários comuns ou brechas de segurança que requerem condições específicas para serem exploradas.</w:t>
      </w:r>
    </w:p>
    <w:p/>
    <w:tbl>
      <w:tblPr>
        <w:tblW w:type="auto" w:w="0"/>
        <w:jc w:val="left"/>
        <w:tblLook w:firstColumn="1" w:firstRow="1" w:lastColumn="0" w:lastRow="0" w:noHBand="0" w:noVBand="1" w:val="04A0"/>
      </w:tblPr>
      <w:tblGrid>
        <w:gridCol w:w="9360"/>
      </w:tblGrid>
      <w:tr>
        <w:tc>
          <w:tcPr>
            <w:tcW w:type="dxa" w:w="10800"/>
            <w:shd w:val="clear" w:color="auto" w:fill="FFEDD5"/>
          </w:tcPr>
          <w:p>
            <w:r>
              <w:rPr>
                <w:rFonts w:ascii="Arial" w:hAnsi="Arial"/>
                <w:b/>
                <w:color w:val="C2410C"/>
                <w:sz w:val="21"/>
              </w:rPr>
              <w:t>A1 — Signed URLs de 1 Ano sem Mecanismo Automático de Renovação no Cliente</w:t>
            </w:r>
          </w:p>
        </w:tc>
      </w:tr>
    </w:tbl>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FFEDD5"/>
          </w:tcPr>
          <w:p>
            <w:r>
              <w:rPr>
                <w:rFonts w:ascii="Arial" w:hAnsi="Arial"/>
                <w:b/>
                <w:sz w:val="20"/>
              </w:rPr>
              <w:t>Campo</w:t>
            </w:r>
          </w:p>
        </w:tc>
        <w:tc>
          <w:tcPr>
            <w:tcW w:type="dxa" w:w="8208"/>
            <w:shd w:val="clear" w:color="auto" w:fill="FFEDD5"/>
          </w:tcPr>
          <w:p>
            <w:r>
              <w:rPr>
                <w:rFonts w:ascii="Arial" w:hAnsi="Arial"/>
                <w:sz w:val="20"/>
              </w:rPr>
              <w:t>Detalhe</w:t>
            </w:r>
          </w:p>
        </w:tc>
      </w:tr>
      <w:tr>
        <w:tc>
          <w:tcPr>
            <w:tcW w:type="dxa" w:w="2592"/>
          </w:tcPr>
          <w:p>
            <w:r>
              <w:rPr>
                <w:rFonts w:ascii="Arial" w:hAnsi="Arial"/>
                <w:b/>
                <w:sz w:val="20"/>
              </w:rPr>
              <w:t>Arquivo</w:t>
            </w:r>
          </w:p>
        </w:tc>
        <w:tc>
          <w:tcPr>
            <w:tcW w:type="dxa" w:w="8208"/>
          </w:tcPr>
          <w:p>
            <w:r>
              <w:rPr>
                <w:rFonts w:ascii="Arial" w:hAnsi="Arial"/>
                <w:sz w:val="20"/>
              </w:rPr>
              <w:t>supabase/functions/generate-image/index.ts linha 7 + src/pages/Library.tsx</w:t>
            </w:r>
          </w:p>
        </w:tc>
      </w:tr>
      <w:tr>
        <w:tc>
          <w:tcPr>
            <w:tcW w:type="dxa" w:w="2592"/>
          </w:tcPr>
          <w:p>
            <w:r>
              <w:rPr>
                <w:rFonts w:ascii="Arial" w:hAnsi="Arial"/>
                <w:b/>
                <w:sz w:val="20"/>
              </w:rPr>
              <w:t>Causa Raiz</w:t>
            </w:r>
          </w:p>
        </w:tc>
        <w:tc>
          <w:tcPr>
            <w:tcW w:type="dxa" w:w="8208"/>
          </w:tcPr>
          <w:p>
            <w:r>
              <w:rPr>
                <w:rFonts w:ascii="Arial" w:hAnsi="Arial"/>
                <w:sz w:val="20"/>
              </w:rPr>
              <w:t>Imagens são servidas com signed URLs de TTL = 1 ano. O endpoint refresh-url existe, mas Library.tsx nunca o chama. Quando a URL expira (após 1 ano, ou se o bucket for recriado/migrado), img src retorna 403 e a imagem aparece quebrada sem qualquer feedback.</w:t>
            </w:r>
          </w:p>
        </w:tc>
      </w:tr>
      <w:tr>
        <w:tc>
          <w:tcPr>
            <w:tcW w:type="dxa" w:w="2592"/>
          </w:tcPr>
          <w:p>
            <w:r>
              <w:rPr>
                <w:rFonts w:ascii="Arial" w:hAnsi="Arial"/>
                <w:b/>
                <w:sz w:val="20"/>
              </w:rPr>
              <w:t>Impacto</w:t>
            </w:r>
          </w:p>
        </w:tc>
        <w:tc>
          <w:tcPr>
            <w:tcW w:type="dxa" w:w="8208"/>
          </w:tcPr>
          <w:p>
            <w:r>
              <w:rPr>
                <w:rFonts w:ascii="Arial" w:hAnsi="Arial"/>
                <w:sz w:val="20"/>
              </w:rPr>
              <w:t>Usuários antigos verão galeria com imagens quebradas. Nenhum mecanismo de retry automático. O refresh-url foi construído mas não está conectado ao fluxo de exibição.</w:t>
            </w:r>
          </w:p>
        </w:tc>
      </w:tr>
      <w:tr>
        <w:tc>
          <w:tcPr>
            <w:tcW w:type="dxa" w:w="2592"/>
          </w:tcPr>
          <w:p>
            <w:r>
              <w:rPr>
                <w:rFonts w:ascii="Arial" w:hAnsi="Arial"/>
                <w:b/>
                <w:sz w:val="20"/>
              </w:rPr>
              <w:t>Solução</w:t>
            </w:r>
          </w:p>
        </w:tc>
        <w:tc>
          <w:tcPr>
            <w:tcW w:type="dxa" w:w="8208"/>
          </w:tcPr>
          <w:p>
            <w:r>
              <w:rPr>
                <w:rFonts w:ascii="Arial" w:hAnsi="Arial"/>
                <w:sz w:val="20"/>
              </w:rPr>
              <w:t>Em Library.tsx: capturar onError nos &lt;img&gt; e chamar refresh-url para obter nova URL, depois atualizar o estado local. Alternativa mais robusta: reduzir TTL para 7 dias e renovar proativamente ao carregar a biblioteca.</w:t>
            </w:r>
          </w:p>
        </w:tc>
      </w:tr>
    </w:tbl>
    <w:p/>
    <w:tbl>
      <w:tblPr>
        <w:tblW w:type="auto" w:w="0"/>
        <w:jc w:val="left"/>
        <w:tblLook w:firstColumn="1" w:firstRow="1" w:lastColumn="0" w:lastRow="0" w:noHBand="0" w:noVBand="1" w:val="04A0"/>
      </w:tblPr>
      <w:tblGrid>
        <w:gridCol w:w="9360"/>
      </w:tblGrid>
      <w:tr>
        <w:tc>
          <w:tcPr>
            <w:tcW w:type="dxa" w:w="10800"/>
            <w:shd w:val="clear" w:color="auto" w:fill="FFEDD5"/>
          </w:tcPr>
          <w:p>
            <w:r>
              <w:rPr>
                <w:rFonts w:ascii="Arial" w:hAnsi="Arial"/>
                <w:b/>
                <w:color w:val="C2410C"/>
                <w:sz w:val="21"/>
              </w:rPr>
              <w:t>A2 — deleteProduct() não Verifica RLS: Deleta Storage sem Confirmar Propriedade</w:t>
            </w:r>
          </w:p>
        </w:tc>
      </w:tr>
    </w:tbl>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FFEDD5"/>
          </w:tcPr>
          <w:p>
            <w:r>
              <w:rPr>
                <w:rFonts w:ascii="Arial" w:hAnsi="Arial"/>
                <w:b/>
                <w:sz w:val="20"/>
              </w:rPr>
              <w:t>Campo</w:t>
            </w:r>
          </w:p>
        </w:tc>
        <w:tc>
          <w:tcPr>
            <w:tcW w:type="dxa" w:w="8208"/>
            <w:shd w:val="clear" w:color="auto" w:fill="FFEDD5"/>
          </w:tcPr>
          <w:p>
            <w:r>
              <w:rPr>
                <w:rFonts w:ascii="Arial" w:hAnsi="Arial"/>
                <w:sz w:val="20"/>
              </w:rPr>
              <w:t>Detalhe</w:t>
            </w:r>
          </w:p>
        </w:tc>
      </w:tr>
      <w:tr>
        <w:tc>
          <w:tcPr>
            <w:tcW w:type="dxa" w:w="2592"/>
          </w:tcPr>
          <w:p>
            <w:r>
              <w:rPr>
                <w:rFonts w:ascii="Arial" w:hAnsi="Arial"/>
                <w:b/>
                <w:sz w:val="20"/>
              </w:rPr>
              <w:t>Arquivo</w:t>
            </w:r>
          </w:p>
        </w:tc>
        <w:tc>
          <w:tcPr>
            <w:tcW w:type="dxa" w:w="8208"/>
          </w:tcPr>
          <w:p>
            <w:r>
              <w:rPr>
                <w:rFonts w:ascii="Arial" w:hAnsi="Arial"/>
                <w:sz w:val="20"/>
              </w:rPr>
              <w:t>src/lib/productStore.ts linhas 113–131</w:t>
            </w:r>
          </w:p>
        </w:tc>
      </w:tr>
      <w:tr>
        <w:tc>
          <w:tcPr>
            <w:tcW w:type="dxa" w:w="2592"/>
          </w:tcPr>
          <w:p>
            <w:r>
              <w:rPr>
                <w:rFonts w:ascii="Arial" w:hAnsi="Arial"/>
                <w:b/>
                <w:sz w:val="20"/>
              </w:rPr>
              <w:t>Causa Raiz</w:t>
            </w:r>
          </w:p>
        </w:tc>
        <w:tc>
          <w:tcPr>
            <w:tcW w:type="dxa" w:w="8208"/>
          </w:tcPr>
          <w:p>
            <w:r>
              <w:rPr>
                <w:rFonts w:ascii="Arial" w:hAnsi="Arial"/>
                <w:sz w:val="20"/>
              </w:rPr>
              <w:t>deleteProduct() faz SELECT do storage_path filtrando por id AND user_id (correto), mas depois executa supabase.storage.from('product-images').remove([storagePath]) com o client anon — que usa as políticas de storage. Se a política de DELETE no storage for mais permissiva que o esperado, um usuário poderia deletar arquivo de outro via conhecimento do path.</w:t>
            </w:r>
          </w:p>
        </w:tc>
      </w:tr>
      <w:tr>
        <w:tc>
          <w:tcPr>
            <w:tcW w:type="dxa" w:w="2592"/>
          </w:tcPr>
          <w:p>
            <w:r>
              <w:rPr>
                <w:rFonts w:ascii="Arial" w:hAnsi="Arial"/>
                <w:b/>
                <w:sz w:val="20"/>
              </w:rPr>
              <w:t>Impacto</w:t>
            </w:r>
          </w:p>
        </w:tc>
        <w:tc>
          <w:tcPr>
            <w:tcW w:type="dxa" w:w="8208"/>
          </w:tcPr>
          <w:p>
            <w:r>
              <w:rPr>
                <w:rFonts w:ascii="Arial" w:hAnsi="Arial"/>
                <w:sz w:val="20"/>
              </w:rPr>
              <w:t>Médio: atualmente a política de storage filtra por pasta do usuário (correto), então o risco é contido. Mas se a política for alterada inadvertidamente, a função cliente se torna vetor de deleção arbitrária. Operações destrutivas no storage não devem ser feitas pelo cliente anon.</w:t>
            </w:r>
          </w:p>
        </w:tc>
      </w:tr>
      <w:tr>
        <w:tc>
          <w:tcPr>
            <w:tcW w:type="dxa" w:w="2592"/>
          </w:tcPr>
          <w:p>
            <w:r>
              <w:rPr>
                <w:rFonts w:ascii="Arial" w:hAnsi="Arial"/>
                <w:b/>
                <w:sz w:val="20"/>
              </w:rPr>
              <w:t>Solução</w:t>
            </w:r>
          </w:p>
        </w:tc>
        <w:tc>
          <w:tcPr>
            <w:tcW w:type="dxa" w:w="8208"/>
          </w:tcPr>
          <w:p>
            <w:r>
              <w:rPr>
                <w:rFonts w:ascii="Arial" w:hAnsi="Arial"/>
                <w:sz w:val="20"/>
              </w:rPr>
              <w:t>Criar edge function delete-product (ou adicionar endpoint ao generate-image) que use service_role para deletar o arquivo após validar ownership na tabela products. Ou pelo menos: mover para uma server action com validação explícita.</w:t>
            </w:r>
          </w:p>
        </w:tc>
      </w:tr>
    </w:tbl>
    <w:p/>
    <w:tbl>
      <w:tblPr>
        <w:tblW w:type="auto" w:w="0"/>
        <w:jc w:val="left"/>
        <w:tblLook w:firstColumn="1" w:firstRow="1" w:lastColumn="0" w:lastRow="0" w:noHBand="0" w:noVBand="1" w:val="04A0"/>
      </w:tblPr>
      <w:tblGrid>
        <w:gridCol w:w="9360"/>
      </w:tblGrid>
      <w:tr>
        <w:tc>
          <w:tcPr>
            <w:tcW w:type="dxa" w:w="10800"/>
            <w:shd w:val="clear" w:color="auto" w:fill="FFEDD5"/>
          </w:tcPr>
          <w:p>
            <w:r>
              <w:rPr>
                <w:rFonts w:ascii="Arial" w:hAnsi="Arial"/>
                <w:b/>
                <w:color w:val="C2410C"/>
                <w:sz w:val="21"/>
              </w:rPr>
              <w:t>A3 — Library.tsx não tem Paginação: Carrega Tudo na Memória</w:t>
            </w:r>
          </w:p>
        </w:tc>
      </w:tr>
    </w:tbl>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FFEDD5"/>
          </w:tcPr>
          <w:p>
            <w:r>
              <w:rPr>
                <w:rFonts w:ascii="Arial" w:hAnsi="Arial"/>
                <w:b/>
                <w:sz w:val="20"/>
              </w:rPr>
              <w:t>Campo</w:t>
            </w:r>
          </w:p>
        </w:tc>
        <w:tc>
          <w:tcPr>
            <w:tcW w:type="dxa" w:w="8208"/>
            <w:shd w:val="clear" w:color="auto" w:fill="FFEDD5"/>
          </w:tcPr>
          <w:p>
            <w:r>
              <w:rPr>
                <w:rFonts w:ascii="Arial" w:hAnsi="Arial"/>
                <w:sz w:val="20"/>
              </w:rPr>
              <w:t>Detalhe</w:t>
            </w:r>
          </w:p>
        </w:tc>
      </w:tr>
      <w:tr>
        <w:tc>
          <w:tcPr>
            <w:tcW w:type="dxa" w:w="2592"/>
          </w:tcPr>
          <w:p>
            <w:r>
              <w:rPr>
                <w:rFonts w:ascii="Arial" w:hAnsi="Arial"/>
                <w:b/>
                <w:sz w:val="20"/>
              </w:rPr>
              <w:t>Arquivo</w:t>
            </w:r>
          </w:p>
        </w:tc>
        <w:tc>
          <w:tcPr>
            <w:tcW w:type="dxa" w:w="8208"/>
          </w:tcPr>
          <w:p>
            <w:r>
              <w:rPr>
                <w:rFonts w:ascii="Arial" w:hAnsi="Arial"/>
                <w:sz w:val="20"/>
              </w:rPr>
              <w:t>src/pages/Library.tsx linha 15</w:t>
            </w:r>
          </w:p>
        </w:tc>
      </w:tr>
      <w:tr>
        <w:tc>
          <w:tcPr>
            <w:tcW w:type="dxa" w:w="2592"/>
          </w:tcPr>
          <w:p>
            <w:r>
              <w:rPr>
                <w:rFonts w:ascii="Arial" w:hAnsi="Arial"/>
                <w:b/>
                <w:sz w:val="20"/>
              </w:rPr>
              <w:t>Causa Raiz</w:t>
            </w:r>
          </w:p>
        </w:tc>
        <w:tc>
          <w:tcPr>
            <w:tcW w:type="dxa" w:w="8208"/>
          </w:tcPr>
          <w:p>
            <w:r>
              <w:rPr>
                <w:rFonts w:ascii="Arial" w:hAnsi="Arial"/>
                <w:sz w:val="20"/>
              </w:rPr>
              <w:t>getLibrary() sem cursor retorna até 20 itens por padrão — OK para o primeiro load. Porém Library.tsx chama getLibrary() sem passar cursor nem implementar infinite scroll. Usuários com mais de 20 gerações nunca veem o restante do histórico. O generationStore tem cursor pagination implementado mas Library.tsx não usa.</w:t>
            </w:r>
          </w:p>
        </w:tc>
      </w:tr>
      <w:tr>
        <w:tc>
          <w:tcPr>
            <w:tcW w:type="dxa" w:w="2592"/>
          </w:tcPr>
          <w:p>
            <w:r>
              <w:rPr>
                <w:rFonts w:ascii="Arial" w:hAnsi="Arial"/>
                <w:b/>
                <w:sz w:val="20"/>
              </w:rPr>
              <w:t>Impacto</w:t>
            </w:r>
          </w:p>
        </w:tc>
        <w:tc>
          <w:tcPr>
            <w:tcW w:type="dxa" w:w="8208"/>
          </w:tcPr>
          <w:p>
            <w:r>
              <w:rPr>
                <w:rFonts w:ascii="Arial" w:hAnsi="Arial"/>
                <w:sz w:val="20"/>
              </w:rPr>
              <w:t>Usuários ativos perdem acesso ao histórico após 20 gerações. Funcionalidade de 'biblioteca' perde valor rapidamente. Usuários que pagam por mais gerações não conseguem acessá-las.</w:t>
            </w:r>
          </w:p>
        </w:tc>
      </w:tr>
      <w:tr>
        <w:tc>
          <w:tcPr>
            <w:tcW w:type="dxa" w:w="2592"/>
          </w:tcPr>
          <w:p>
            <w:r>
              <w:rPr>
                <w:rFonts w:ascii="Arial" w:hAnsi="Arial"/>
                <w:b/>
                <w:sz w:val="20"/>
              </w:rPr>
              <w:t>Solução</w:t>
            </w:r>
          </w:p>
        </w:tc>
        <w:tc>
          <w:tcPr>
            <w:tcW w:type="dxa" w:w="8208"/>
          </w:tcPr>
          <w:p>
            <w:r>
              <w:rPr>
                <w:rFonts w:ascii="Arial" w:hAnsi="Arial"/>
                <w:sz w:val="20"/>
              </w:rPr>
              <w:t>Implementar infinite scroll ou botão 'Carregar mais' em Library.tsx, passando o createdAt do último item como cursor para getLibrary(cursor, 20). O backend já suporta — só falta o frontend usar.</w:t>
            </w:r>
          </w:p>
        </w:tc>
      </w:tr>
    </w:tbl>
    <w:p/>
    <w:tbl>
      <w:tblPr>
        <w:tblW w:type="auto" w:w="0"/>
        <w:jc w:val="left"/>
        <w:tblLook w:firstColumn="1" w:firstRow="1" w:lastColumn="0" w:lastRow="0" w:noHBand="0" w:noVBand="1" w:val="04A0"/>
      </w:tblPr>
      <w:tblGrid>
        <w:gridCol w:w="9360"/>
      </w:tblGrid>
      <w:tr>
        <w:tc>
          <w:tcPr>
            <w:tcW w:type="dxa" w:w="10800"/>
            <w:shd w:val="clear" w:color="auto" w:fill="FFEDD5"/>
          </w:tcPr>
          <w:p>
            <w:r>
              <w:rPr>
                <w:rFonts w:ascii="Arial" w:hAnsi="Arial"/>
                <w:b/>
                <w:color w:val="C2410C"/>
                <w:sz w:val="21"/>
              </w:rPr>
              <w:t>A4 — Filtro de Busca na Library é Client-Side: Pesquisa Apenas nos Itens Carregados</w:t>
            </w:r>
          </w:p>
        </w:tc>
      </w:tr>
    </w:tbl>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FFEDD5"/>
          </w:tcPr>
          <w:p>
            <w:r>
              <w:rPr>
                <w:rFonts w:ascii="Arial" w:hAnsi="Arial"/>
                <w:b/>
                <w:sz w:val="20"/>
              </w:rPr>
              <w:t>Campo</w:t>
            </w:r>
          </w:p>
        </w:tc>
        <w:tc>
          <w:tcPr>
            <w:tcW w:type="dxa" w:w="8208"/>
            <w:shd w:val="clear" w:color="auto" w:fill="FFEDD5"/>
          </w:tcPr>
          <w:p>
            <w:r>
              <w:rPr>
                <w:rFonts w:ascii="Arial" w:hAnsi="Arial"/>
                <w:sz w:val="20"/>
              </w:rPr>
              <w:t>Detalhe</w:t>
            </w:r>
          </w:p>
        </w:tc>
      </w:tr>
      <w:tr>
        <w:tc>
          <w:tcPr>
            <w:tcW w:type="dxa" w:w="2592"/>
          </w:tcPr>
          <w:p>
            <w:r>
              <w:rPr>
                <w:rFonts w:ascii="Arial" w:hAnsi="Arial"/>
                <w:b/>
                <w:sz w:val="20"/>
              </w:rPr>
              <w:t>Arquivo</w:t>
            </w:r>
          </w:p>
        </w:tc>
        <w:tc>
          <w:tcPr>
            <w:tcW w:type="dxa" w:w="8208"/>
          </w:tcPr>
          <w:p>
            <w:r>
              <w:rPr>
                <w:rFonts w:ascii="Arial" w:hAnsi="Arial"/>
                <w:sz w:val="20"/>
              </w:rPr>
              <w:t>src/pages/Library.tsx linhas 23–27</w:t>
            </w:r>
          </w:p>
        </w:tc>
      </w:tr>
      <w:tr>
        <w:tc>
          <w:tcPr>
            <w:tcW w:type="dxa" w:w="2592"/>
          </w:tcPr>
          <w:p>
            <w:r>
              <w:rPr>
                <w:rFonts w:ascii="Arial" w:hAnsi="Arial"/>
                <w:b/>
                <w:sz w:val="20"/>
              </w:rPr>
              <w:t>Causa Raiz</w:t>
            </w:r>
          </w:p>
        </w:tc>
        <w:tc>
          <w:tcPr>
            <w:tcW w:type="dxa" w:w="8208"/>
          </w:tcPr>
          <w:p>
            <w:r>
              <w:rPr>
                <w:rFonts w:ascii="Arial" w:hAnsi="Arial"/>
                <w:sz w:val="20"/>
              </w:rPr>
              <w:t>O filtro de search e favorites é aplicado sobre o array library em memória. Com a paginação limitada a 20 itens (falha A3 acima), a busca 'Arroz' só encontra encartes dos últimos 20 registros — ignora todo o histórico anterior.</w:t>
            </w:r>
          </w:p>
        </w:tc>
      </w:tr>
      <w:tr>
        <w:tc>
          <w:tcPr>
            <w:tcW w:type="dxa" w:w="2592"/>
          </w:tcPr>
          <w:p>
            <w:r>
              <w:rPr>
                <w:rFonts w:ascii="Arial" w:hAnsi="Arial"/>
                <w:b/>
                <w:sz w:val="20"/>
              </w:rPr>
              <w:t>Impacto</w:t>
            </w:r>
          </w:p>
        </w:tc>
        <w:tc>
          <w:tcPr>
            <w:tcW w:type="dxa" w:w="8208"/>
          </w:tcPr>
          <w:p>
            <w:r>
              <w:rPr>
                <w:rFonts w:ascii="Arial" w:hAnsi="Arial"/>
                <w:sz w:val="20"/>
              </w:rPr>
              <w:t>Funcionalidade de busca fundamentalmente quebrada para usuários com histórico longo. Usuário procura 'Cerveja', não encontra porque o item está na página 3.</w:t>
            </w:r>
          </w:p>
        </w:tc>
      </w:tr>
      <w:tr>
        <w:tc>
          <w:tcPr>
            <w:tcW w:type="dxa" w:w="2592"/>
          </w:tcPr>
          <w:p>
            <w:r>
              <w:rPr>
                <w:rFonts w:ascii="Arial" w:hAnsi="Arial"/>
                <w:b/>
                <w:sz w:val="20"/>
              </w:rPr>
              <w:t>Solução</w:t>
            </w:r>
          </w:p>
        </w:tc>
        <w:tc>
          <w:tcPr>
            <w:tcW w:type="dxa" w:w="8208"/>
          </w:tcPr>
          <w:p>
            <w:r>
              <w:rPr>
                <w:rFonts w:ascii="Arial" w:hAnsi="Arial"/>
                <w:sz w:val="20"/>
              </w:rPr>
              <w:t>Mover busca para server-side: adicionar parâmetro search no generationStore.getLibrary() e aplicar .ilike('metadata-&gt;&gt;productName', '%search%') na query Supabase. Corrigir junto com A3.</w:t>
            </w:r>
          </w:p>
        </w:tc>
      </w:tr>
    </w:tbl>
    <w:p/>
    <w:tbl>
      <w:tblPr>
        <w:tblW w:type="auto" w:w="0"/>
        <w:jc w:val="left"/>
        <w:tblLook w:firstColumn="1" w:firstRow="1" w:lastColumn="0" w:lastRow="0" w:noHBand="0" w:noVBand="1" w:val="04A0"/>
      </w:tblPr>
      <w:tblGrid>
        <w:gridCol w:w="9360"/>
      </w:tblGrid>
      <w:tr>
        <w:tc>
          <w:tcPr>
            <w:tcW w:type="dxa" w:w="10800"/>
            <w:shd w:val="clear" w:color="auto" w:fill="FFEDD5"/>
          </w:tcPr>
          <w:p>
            <w:r>
              <w:rPr>
                <w:rFonts w:ascii="Arial" w:hAnsi="Arial"/>
                <w:b/>
                <w:color w:val="C2410C"/>
                <w:sz w:val="21"/>
              </w:rPr>
              <w:t>A5 — productStore.getUserProducts(): N+1 Queries para Signed URLs</w:t>
            </w:r>
          </w:p>
        </w:tc>
      </w:tr>
    </w:tbl>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FFEDD5"/>
          </w:tcPr>
          <w:p>
            <w:r>
              <w:rPr>
                <w:rFonts w:ascii="Arial" w:hAnsi="Arial"/>
                <w:b/>
                <w:sz w:val="20"/>
              </w:rPr>
              <w:t>Campo</w:t>
            </w:r>
          </w:p>
        </w:tc>
        <w:tc>
          <w:tcPr>
            <w:tcW w:type="dxa" w:w="8208"/>
            <w:shd w:val="clear" w:color="auto" w:fill="FFEDD5"/>
          </w:tcPr>
          <w:p>
            <w:r>
              <w:rPr>
                <w:rFonts w:ascii="Arial" w:hAnsi="Arial"/>
                <w:sz w:val="20"/>
              </w:rPr>
              <w:t>Detalhe</w:t>
            </w:r>
          </w:p>
        </w:tc>
      </w:tr>
      <w:tr>
        <w:tc>
          <w:tcPr>
            <w:tcW w:type="dxa" w:w="2592"/>
          </w:tcPr>
          <w:p>
            <w:r>
              <w:rPr>
                <w:rFonts w:ascii="Arial" w:hAnsi="Arial"/>
                <w:b/>
                <w:sz w:val="20"/>
              </w:rPr>
              <w:t>Arquivo</w:t>
            </w:r>
          </w:p>
        </w:tc>
        <w:tc>
          <w:tcPr>
            <w:tcW w:type="dxa" w:w="8208"/>
          </w:tcPr>
          <w:p>
            <w:r>
              <w:rPr>
                <w:rFonts w:ascii="Arial" w:hAnsi="Arial"/>
                <w:sz w:val="20"/>
              </w:rPr>
              <w:t>src/lib/productStore.ts linhas 66–78</w:t>
            </w:r>
          </w:p>
        </w:tc>
      </w:tr>
      <w:tr>
        <w:tc>
          <w:tcPr>
            <w:tcW w:type="dxa" w:w="2592"/>
          </w:tcPr>
          <w:p>
            <w:r>
              <w:rPr>
                <w:rFonts w:ascii="Arial" w:hAnsi="Arial"/>
                <w:b/>
                <w:sz w:val="20"/>
              </w:rPr>
              <w:t>Causa Raiz</w:t>
            </w:r>
          </w:p>
        </w:tc>
        <w:tc>
          <w:tcPr>
            <w:tcW w:type="dxa" w:w="8208"/>
          </w:tcPr>
          <w:p>
            <w:r>
              <w:rPr>
                <w:rFonts w:ascii="Arial" w:hAnsi="Arial"/>
                <w:sz w:val="20"/>
              </w:rPr>
              <w:t>getUserProducts() faz 1 query Supabase para listar produtos, depois faz N chamadas createSignedUrl() individuais (uma por produto com storagePath) dentro de Promise.all. Com 50 produtos no catálogo, são 50 requisições síncronas ao Supabase Storage.</w:t>
            </w:r>
          </w:p>
        </w:tc>
      </w:tr>
      <w:tr>
        <w:tc>
          <w:tcPr>
            <w:tcW w:type="dxa" w:w="2592"/>
          </w:tcPr>
          <w:p>
            <w:r>
              <w:rPr>
                <w:rFonts w:ascii="Arial" w:hAnsi="Arial"/>
                <w:b/>
                <w:sz w:val="20"/>
              </w:rPr>
              <w:t>Impacto</w:t>
            </w:r>
          </w:p>
        </w:tc>
        <w:tc>
          <w:tcPr>
            <w:tcW w:type="dxa" w:w="8208"/>
          </w:tcPr>
          <w:p>
            <w:r>
              <w:rPr>
                <w:rFonts w:ascii="Arial" w:hAnsi="Arial"/>
                <w:sz w:val="20"/>
              </w:rPr>
              <w:t>Latência de carregamento do catálogo cresce linearmente com o número de produtos. Cada signed URL é gerada a cada page load — sem cache. 50 produtos = ~150ms extras de round-trips desnecessários.</w:t>
            </w:r>
          </w:p>
        </w:tc>
      </w:tr>
      <w:tr>
        <w:tc>
          <w:tcPr>
            <w:tcW w:type="dxa" w:w="2592"/>
          </w:tcPr>
          <w:p>
            <w:r>
              <w:rPr>
                <w:rFonts w:ascii="Arial" w:hAnsi="Arial"/>
                <w:b/>
                <w:sz w:val="20"/>
              </w:rPr>
              <w:t>Solução</w:t>
            </w:r>
          </w:p>
        </w:tc>
        <w:tc>
          <w:tcPr>
            <w:tcW w:type="dxa" w:w="8208"/>
          </w:tcPr>
          <w:p>
            <w:r>
              <w:rPr>
                <w:rFonts w:ascii="Arial" w:hAnsi="Arial"/>
                <w:sz w:val="20"/>
              </w:rPr>
              <w:t>Usar Supabase Storage createSignedUrls() (plural) que aceita array de paths em uma única chamada. Ou armazenar URLs públicas com expiração mais longa e renovar em batch periodicamente. Para imagens OFF (offImageUrl), não há signed URL — já é direto.</w:t>
            </w:r>
          </w:p>
        </w:tc>
      </w:tr>
    </w:tbl>
    <w:p/>
    <w:tbl>
      <w:tblPr>
        <w:tblW w:type="auto" w:w="0"/>
        <w:jc w:val="left"/>
        <w:tblLook w:firstColumn="1" w:firstRow="1" w:lastColumn="0" w:lastRow="0" w:noHBand="0" w:noVBand="1" w:val="04A0"/>
      </w:tblPr>
      <w:tblGrid>
        <w:gridCol w:w="9360"/>
      </w:tblGrid>
      <w:tr>
        <w:tc>
          <w:tcPr>
            <w:tcW w:type="dxa" w:w="10800"/>
            <w:shd w:val="clear" w:color="auto" w:fill="FFEDD5"/>
          </w:tcPr>
          <w:p>
            <w:r>
              <w:rPr>
                <w:rFonts w:ascii="Arial" w:hAnsi="Arial"/>
                <w:b/>
                <w:color w:val="C2410C"/>
                <w:sz w:val="21"/>
              </w:rPr>
              <w:t>A6 — openFoodFacts.ts: Chamadas Diretas do Browser para API Externa sem Proxy</w:t>
            </w:r>
          </w:p>
        </w:tc>
      </w:tr>
    </w:tbl>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FFEDD5"/>
          </w:tcPr>
          <w:p>
            <w:r>
              <w:rPr>
                <w:rFonts w:ascii="Arial" w:hAnsi="Arial"/>
                <w:b/>
                <w:sz w:val="20"/>
              </w:rPr>
              <w:t>Campo</w:t>
            </w:r>
          </w:p>
        </w:tc>
        <w:tc>
          <w:tcPr>
            <w:tcW w:type="dxa" w:w="8208"/>
            <w:shd w:val="clear" w:color="auto" w:fill="FFEDD5"/>
          </w:tcPr>
          <w:p>
            <w:r>
              <w:rPr>
                <w:rFonts w:ascii="Arial" w:hAnsi="Arial"/>
                <w:sz w:val="20"/>
              </w:rPr>
              <w:t>Detalhe</w:t>
            </w:r>
          </w:p>
        </w:tc>
      </w:tr>
      <w:tr>
        <w:tc>
          <w:tcPr>
            <w:tcW w:type="dxa" w:w="2592"/>
          </w:tcPr>
          <w:p>
            <w:r>
              <w:rPr>
                <w:rFonts w:ascii="Arial" w:hAnsi="Arial"/>
                <w:b/>
                <w:sz w:val="20"/>
              </w:rPr>
              <w:t>Arquivo</w:t>
            </w:r>
          </w:p>
        </w:tc>
        <w:tc>
          <w:tcPr>
            <w:tcW w:type="dxa" w:w="8208"/>
          </w:tcPr>
          <w:p>
            <w:r>
              <w:rPr>
                <w:rFonts w:ascii="Arial" w:hAnsi="Arial"/>
                <w:sz w:val="20"/>
              </w:rPr>
              <w:t>src/lib/openFoodFacts.ts linhas 42–75</w:t>
            </w:r>
          </w:p>
        </w:tc>
      </w:tr>
      <w:tr>
        <w:tc>
          <w:tcPr>
            <w:tcW w:type="dxa" w:w="2592"/>
          </w:tcPr>
          <w:p>
            <w:r>
              <w:rPr>
                <w:rFonts w:ascii="Arial" w:hAnsi="Arial"/>
                <w:b/>
                <w:sz w:val="20"/>
              </w:rPr>
              <w:t>Causa Raiz</w:t>
            </w:r>
          </w:p>
        </w:tc>
        <w:tc>
          <w:tcPr>
            <w:tcW w:type="dxa" w:w="8208"/>
          </w:tcPr>
          <w:p>
            <w:r>
              <w:rPr>
                <w:rFonts w:ascii="Arial" w:hAnsi="Arial"/>
                <w:sz w:val="20"/>
              </w:rPr>
              <w:t>searchOFF() faz fetch direto do browser para world.openfoodfacts.org. Isso expõe o IP real do usuário para a Open Food Facts. Se a API mudar CORS, rate-limit por IP, ou exigir API key no futuro, a funcionalidade quebra para todos os usuários sem nenhuma chance de mitigar server-side. Também não há cache: cada keystroke dispara 1 request externo.</w:t>
            </w:r>
          </w:p>
        </w:tc>
      </w:tr>
      <w:tr>
        <w:tc>
          <w:tcPr>
            <w:tcW w:type="dxa" w:w="2592"/>
          </w:tcPr>
          <w:p>
            <w:r>
              <w:rPr>
                <w:rFonts w:ascii="Arial" w:hAnsi="Arial"/>
                <w:b/>
                <w:sz w:val="20"/>
              </w:rPr>
              <w:t>Impacto</w:t>
            </w:r>
          </w:p>
        </w:tc>
        <w:tc>
          <w:tcPr>
            <w:tcW w:type="dxa" w:w="8208"/>
          </w:tcPr>
          <w:p>
            <w:r>
              <w:rPr>
                <w:rFonts w:ascii="Arial" w:hAnsi="Arial"/>
                <w:sz w:val="20"/>
              </w:rPr>
              <w:t>Fragilidade de terceiros: a funcionalidade de busca de produtos está sujeita a decisões de disponibilidade de um serviço externo sem SLA. Privacidade do usuário comprometida.</w:t>
            </w:r>
          </w:p>
        </w:tc>
      </w:tr>
      <w:tr>
        <w:tc>
          <w:tcPr>
            <w:tcW w:type="dxa" w:w="2592"/>
          </w:tcPr>
          <w:p>
            <w:r>
              <w:rPr>
                <w:rFonts w:ascii="Arial" w:hAnsi="Arial"/>
                <w:b/>
                <w:sz w:val="20"/>
              </w:rPr>
              <w:t>Solução</w:t>
            </w:r>
          </w:p>
        </w:tc>
        <w:tc>
          <w:tcPr>
            <w:tcW w:type="dxa" w:w="8208"/>
          </w:tcPr>
          <w:p>
            <w:r>
              <w:rPr>
                <w:rFonts w:ascii="Arial" w:hAnsi="Arial"/>
                <w:sz w:val="20"/>
              </w:rPr>
              <w:t>Criar edge function search-products que faça o proxy da chamada OFF server-side, adicione cache Redis (TTL 1h por query), e permita adicionar API key futura sem alterar o cliente. O debounce de 400ms já existe no cliente — mantê-lo.</w:t>
            </w:r>
          </w:p>
        </w:tc>
      </w:tr>
    </w:tbl>
    <w:p/>
    <w:p>
      <w:r>
        <w:br w:type="page"/>
      </w:r>
    </w:p>
    <w:p>
      <w:pPr>
        <w:pStyle w:val="Heading1"/>
      </w:pPr>
      <w:r>
        <w:rPr>
          <w:rFonts w:ascii="Arial" w:hAnsi="Arial"/>
          <w:color w:val="A16207"/>
          <w:sz w:val="34"/>
        </w:rPr>
        <w:t>3. Falhas de Média Prioridade</w:t>
      </w:r>
    </w:p>
    <w:p>
      <w:r>
        <w:rPr>
          <w:rFonts w:ascii="Arial" w:hAnsi="Arial"/>
          <w:b w:val="0"/>
          <w:i/>
          <w:sz w:val="21"/>
        </w:rPr>
        <w:t>Estas falhas causam comportamento inesperado em edge cases, degradam a experiência em situações específicas ou representam fragilidades silenciosas que se tornam críticas com crescimento.</w:t>
      </w:r>
    </w:p>
    <w:p/>
    <w:tbl>
      <w:tblPr>
        <w:tblW w:type="auto" w:w="0"/>
        <w:jc w:val="left"/>
        <w:tblLook w:firstColumn="1" w:firstRow="1" w:lastColumn="0" w:lastRow="0" w:noHBand="0" w:noVBand="1" w:val="04A0"/>
      </w:tblPr>
      <w:tblGrid>
        <w:gridCol w:w="9360"/>
      </w:tblGrid>
      <w:tr>
        <w:tc>
          <w:tcPr>
            <w:tcW w:type="dxa" w:w="10800"/>
            <w:shd w:val="clear" w:color="auto" w:fill="FEF9C3"/>
          </w:tcPr>
          <w:p>
            <w:r>
              <w:rPr>
                <w:rFonts w:ascii="Arial" w:hAnsi="Arial"/>
                <w:b/>
                <w:color w:val="924000"/>
                <w:sz w:val="21"/>
              </w:rPr>
              <w:t>M1 — BrandConfig em localStorage: Dessincronização entre Dispositivos</w:t>
            </w:r>
          </w:p>
        </w:tc>
      </w:tr>
    </w:tbl>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FEF9C3"/>
          </w:tcPr>
          <w:p>
            <w:r>
              <w:rPr>
                <w:rFonts w:ascii="Arial" w:hAnsi="Arial"/>
                <w:b/>
                <w:sz w:val="20"/>
              </w:rPr>
              <w:t>Campo</w:t>
            </w:r>
          </w:p>
        </w:tc>
        <w:tc>
          <w:tcPr>
            <w:tcW w:type="dxa" w:w="8208"/>
            <w:shd w:val="clear" w:color="auto" w:fill="FEF9C3"/>
          </w:tcPr>
          <w:p>
            <w:r>
              <w:rPr>
                <w:rFonts w:ascii="Arial" w:hAnsi="Arial"/>
                <w:sz w:val="20"/>
              </w:rPr>
              <w:t>Detalhe</w:t>
            </w:r>
          </w:p>
        </w:tc>
      </w:tr>
      <w:tr>
        <w:tc>
          <w:tcPr>
            <w:tcW w:type="dxa" w:w="2592"/>
          </w:tcPr>
          <w:p>
            <w:r>
              <w:rPr>
                <w:rFonts w:ascii="Arial" w:hAnsi="Arial"/>
                <w:b/>
                <w:sz w:val="20"/>
              </w:rPr>
              <w:t>Arquivo</w:t>
            </w:r>
          </w:p>
        </w:tc>
        <w:tc>
          <w:tcPr>
            <w:tcW w:type="dxa" w:w="8208"/>
          </w:tcPr>
          <w:p>
            <w:r>
              <w:rPr>
                <w:rFonts w:ascii="Arial" w:hAnsi="Arial"/>
                <w:sz w:val="20"/>
              </w:rPr>
              <w:t>src/pages/NewGeneration.tsx linhas 241–253 + src/pages/BrandSettings.tsx linha 83</w:t>
            </w:r>
          </w:p>
        </w:tc>
      </w:tr>
      <w:tr>
        <w:tc>
          <w:tcPr>
            <w:tcW w:type="dxa" w:w="2592"/>
          </w:tcPr>
          <w:p>
            <w:r>
              <w:rPr>
                <w:rFonts w:ascii="Arial" w:hAnsi="Arial"/>
                <w:b/>
                <w:sz w:val="20"/>
              </w:rPr>
              <w:t>Causa Raiz</w:t>
            </w:r>
          </w:p>
        </w:tc>
        <w:tc>
          <w:tcPr>
            <w:tcW w:type="dxa" w:w="8208"/>
          </w:tcPr>
          <w:p>
            <w:r>
              <w:rPr>
                <w:rFonts w:ascii="Arial" w:hAnsi="Arial"/>
                <w:sz w:val="20"/>
              </w:rPr>
              <w:t>NewGeneration lê brand config de localStorage para acesso síncrono (sem await). BrandSettings sincroniza com Supabase ao carregar, mas apenas sobrescreve localStorage naquele dispositivo. Se o usuário configurou a marca no celular e abre o app no desktop, o desktop usa a config antiga do localStorage (ou o default 'Comercial Sousa').</w:t>
            </w:r>
          </w:p>
        </w:tc>
      </w:tr>
      <w:tr>
        <w:tc>
          <w:tcPr>
            <w:tcW w:type="dxa" w:w="2592"/>
          </w:tcPr>
          <w:p>
            <w:r>
              <w:rPr>
                <w:rFonts w:ascii="Arial" w:hAnsi="Arial"/>
                <w:b/>
                <w:sz w:val="20"/>
              </w:rPr>
              <w:t>Impacto</w:t>
            </w:r>
          </w:p>
        </w:tc>
        <w:tc>
          <w:tcPr>
            <w:tcW w:type="dxa" w:w="8208"/>
          </w:tcPr>
          <w:p>
            <w:r>
              <w:rPr>
                <w:rFonts w:ascii="Arial" w:hAnsi="Arial"/>
                <w:sz w:val="20"/>
              </w:rPr>
              <w:t>Artes geradas em dispositivos diferentes usam identidades visuais diferentes. Cliente paga pelo plano premium achando que a marca está sendo aplicada — mas não está.</w:t>
            </w:r>
          </w:p>
        </w:tc>
      </w:tr>
      <w:tr>
        <w:tc>
          <w:tcPr>
            <w:tcW w:type="dxa" w:w="2592"/>
          </w:tcPr>
          <w:p>
            <w:r>
              <w:rPr>
                <w:rFonts w:ascii="Arial" w:hAnsi="Arial"/>
                <w:b/>
                <w:sz w:val="20"/>
              </w:rPr>
              <w:t>Solução</w:t>
            </w:r>
          </w:p>
        </w:tc>
        <w:tc>
          <w:tcPr>
            <w:tcW w:type="dxa" w:w="8208"/>
          </w:tcPr>
          <w:p>
            <w:r>
              <w:rPr>
                <w:rFonts w:ascii="Arial" w:hAnsi="Arial"/>
                <w:sz w:val="20"/>
              </w:rPr>
              <w:t>Carregar brand config do Supabase ao montar NewGeneration (useEffect com useAuth). Usar React Context ou Zustand para memoizar e evitar re-fetch a cada navegação. O localStorage pode continuar como cache, mas sempre validado contra o DB na sessão.</w:t>
            </w:r>
          </w:p>
        </w:tc>
      </w:tr>
    </w:tbl>
    <w:p/>
    <w:tbl>
      <w:tblPr>
        <w:tblW w:type="auto" w:w="0"/>
        <w:jc w:val="left"/>
        <w:tblLook w:firstColumn="1" w:firstRow="1" w:lastColumn="0" w:lastRow="0" w:noHBand="0" w:noVBand="1" w:val="04A0"/>
      </w:tblPr>
      <w:tblGrid>
        <w:gridCol w:w="9360"/>
      </w:tblGrid>
      <w:tr>
        <w:tc>
          <w:tcPr>
            <w:tcW w:type="dxa" w:w="10800"/>
            <w:shd w:val="clear" w:color="auto" w:fill="FEF9C3"/>
          </w:tcPr>
          <w:p>
            <w:r>
              <w:rPr>
                <w:rFonts w:ascii="Arial" w:hAnsi="Arial"/>
                <w:b/>
                <w:color w:val="924000"/>
                <w:sz w:val="21"/>
              </w:rPr>
              <w:t>M2 — Sem Tratamento de Erro no Download de Imagem Externa em handleGenerate()</w:t>
            </w:r>
          </w:p>
        </w:tc>
      </w:tr>
    </w:tbl>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FEF9C3"/>
          </w:tcPr>
          <w:p>
            <w:r>
              <w:rPr>
                <w:rFonts w:ascii="Arial" w:hAnsi="Arial"/>
                <w:b/>
                <w:sz w:val="20"/>
              </w:rPr>
              <w:t>Campo</w:t>
            </w:r>
          </w:p>
        </w:tc>
        <w:tc>
          <w:tcPr>
            <w:tcW w:type="dxa" w:w="8208"/>
            <w:shd w:val="clear" w:color="auto" w:fill="FEF9C3"/>
          </w:tcPr>
          <w:p>
            <w:r>
              <w:rPr>
                <w:rFonts w:ascii="Arial" w:hAnsi="Arial"/>
                <w:sz w:val="20"/>
              </w:rPr>
              <w:t>Detalhe</w:t>
            </w:r>
          </w:p>
        </w:tc>
      </w:tr>
      <w:tr>
        <w:tc>
          <w:tcPr>
            <w:tcW w:type="dxa" w:w="2592"/>
          </w:tcPr>
          <w:p>
            <w:r>
              <w:rPr>
                <w:rFonts w:ascii="Arial" w:hAnsi="Arial"/>
                <w:b/>
                <w:sz w:val="20"/>
              </w:rPr>
              <w:t>Arquivo</w:t>
            </w:r>
          </w:p>
        </w:tc>
        <w:tc>
          <w:tcPr>
            <w:tcW w:type="dxa" w:w="8208"/>
          </w:tcPr>
          <w:p>
            <w:r>
              <w:rPr>
                <w:rFonts w:ascii="Arial" w:hAnsi="Arial"/>
                <w:sz w:val="20"/>
              </w:rPr>
              <w:t>src/pages/NewGeneration.tsx linhas 258–265</w:t>
            </w:r>
          </w:p>
        </w:tc>
      </w:tr>
      <w:tr>
        <w:tc>
          <w:tcPr>
            <w:tcW w:type="dxa" w:w="2592"/>
          </w:tcPr>
          <w:p>
            <w:r>
              <w:rPr>
                <w:rFonts w:ascii="Arial" w:hAnsi="Arial"/>
                <w:b/>
                <w:sz w:val="20"/>
              </w:rPr>
              <w:t>Causa Raiz</w:t>
            </w:r>
          </w:p>
        </w:tc>
        <w:tc>
          <w:tcPr>
            <w:tcW w:type="dxa" w:w="8208"/>
          </w:tcPr>
          <w:p>
            <w:r>
              <w:rPr>
                <w:rFonts w:ascii="Arial" w:hAnsi="Arial"/>
                <w:sz w:val="20"/>
              </w:rPr>
              <w:t>O fetch da imagem do produto (picked.kind === 'saved' ou 'off') usa AbortSignal.timeout(10000) mas o catch é silencioso: /* não-crítico */. Se a imagem do produto (vinda do catálogo ou Open Food Facts) não carregar, o prompt é enviado sem imagem de referência — sem aviso ao usuário. O usuário pode achar que a imagem foi usada quando não foi.</w:t>
            </w:r>
          </w:p>
        </w:tc>
      </w:tr>
      <w:tr>
        <w:tc>
          <w:tcPr>
            <w:tcW w:type="dxa" w:w="2592"/>
          </w:tcPr>
          <w:p>
            <w:r>
              <w:rPr>
                <w:rFonts w:ascii="Arial" w:hAnsi="Arial"/>
                <w:b/>
                <w:sz w:val="20"/>
              </w:rPr>
              <w:t>Impacto</w:t>
            </w:r>
          </w:p>
        </w:tc>
        <w:tc>
          <w:tcPr>
            <w:tcW w:type="dxa" w:w="8208"/>
          </w:tcPr>
          <w:p>
            <w:r>
              <w:rPr>
                <w:rFonts w:ascii="Arial" w:hAnsi="Arial"/>
                <w:sz w:val="20"/>
              </w:rPr>
              <w:t>Resultado da IA inconsistente com o esperado. Se o usuário pagou por um plano que promete 'gerar arte a partir da sua foto do produto', receber resultado sem foto é frustração direta.</w:t>
            </w:r>
          </w:p>
        </w:tc>
      </w:tr>
      <w:tr>
        <w:tc>
          <w:tcPr>
            <w:tcW w:type="dxa" w:w="2592"/>
          </w:tcPr>
          <w:p>
            <w:r>
              <w:rPr>
                <w:rFonts w:ascii="Arial" w:hAnsi="Arial"/>
                <w:b/>
                <w:sz w:val="20"/>
              </w:rPr>
              <w:t>Solução</w:t>
            </w:r>
          </w:p>
        </w:tc>
        <w:tc>
          <w:tcPr>
            <w:tcW w:type="dxa" w:w="8208"/>
          </w:tcPr>
          <w:p>
            <w:r>
              <w:rPr>
                <w:rFonts w:ascii="Arial" w:hAnsi="Arial"/>
                <w:sz w:val="20"/>
              </w:rPr>
              <w:t>Notificar o usuário: toast.warning('Foto do produto não pôde ser carregada. Gerando sem a imagem de referência.'). Registrar o evento no Sentry/PostHog. Não é bloqueante — mas o usuário deve saber.</w:t>
            </w:r>
          </w:p>
        </w:tc>
      </w:tr>
    </w:tbl>
    <w:p/>
    <w:tbl>
      <w:tblPr>
        <w:tblW w:type="auto" w:w="0"/>
        <w:jc w:val="left"/>
        <w:tblLook w:firstColumn="1" w:firstRow="1" w:lastColumn="0" w:lastRow="0" w:noHBand="0" w:noVBand="1" w:val="04A0"/>
      </w:tblPr>
      <w:tblGrid>
        <w:gridCol w:w="9360"/>
      </w:tblGrid>
      <w:tr>
        <w:tc>
          <w:tcPr>
            <w:tcW w:type="dxa" w:w="10800"/>
            <w:shd w:val="clear" w:color="auto" w:fill="FEF9C3"/>
          </w:tcPr>
          <w:p>
            <w:r>
              <w:rPr>
                <w:rFonts w:ascii="Arial" w:hAnsi="Arial"/>
                <w:b/>
                <w:color w:val="924000"/>
                <w:sz w:val="21"/>
              </w:rPr>
              <w:t>M3 — check_and_log_usage() não é Atômico de Verdade (TOCTOU Residual)</w:t>
            </w:r>
          </w:p>
        </w:tc>
      </w:tr>
    </w:tbl>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FEF9C3"/>
          </w:tcPr>
          <w:p>
            <w:r>
              <w:rPr>
                <w:rFonts w:ascii="Arial" w:hAnsi="Arial"/>
                <w:b/>
                <w:sz w:val="20"/>
              </w:rPr>
              <w:t>Campo</w:t>
            </w:r>
          </w:p>
        </w:tc>
        <w:tc>
          <w:tcPr>
            <w:tcW w:type="dxa" w:w="8208"/>
            <w:shd w:val="clear" w:color="auto" w:fill="FEF9C3"/>
          </w:tcPr>
          <w:p>
            <w:r>
              <w:rPr>
                <w:rFonts w:ascii="Arial" w:hAnsi="Arial"/>
                <w:sz w:val="20"/>
              </w:rPr>
              <w:t>Detalhe</w:t>
            </w:r>
          </w:p>
        </w:tc>
      </w:tr>
      <w:tr>
        <w:tc>
          <w:tcPr>
            <w:tcW w:type="dxa" w:w="2592"/>
          </w:tcPr>
          <w:p>
            <w:r>
              <w:rPr>
                <w:rFonts w:ascii="Arial" w:hAnsi="Arial"/>
                <w:b/>
                <w:sz w:val="20"/>
              </w:rPr>
              <w:t>Arquivo</w:t>
            </w:r>
          </w:p>
        </w:tc>
        <w:tc>
          <w:tcPr>
            <w:tcW w:type="dxa" w:w="8208"/>
          </w:tcPr>
          <w:p>
            <w:r>
              <w:rPr>
                <w:rFonts w:ascii="Arial" w:hAnsi="Arial"/>
                <w:sz w:val="20"/>
              </w:rPr>
              <w:t>supabase/migrations/20250101000002_security_updates.sql linhas 3–11</w:t>
            </w:r>
          </w:p>
        </w:tc>
      </w:tr>
      <w:tr>
        <w:tc>
          <w:tcPr>
            <w:tcW w:type="dxa" w:w="2592"/>
          </w:tcPr>
          <w:p>
            <w:r>
              <w:rPr>
                <w:rFonts w:ascii="Arial" w:hAnsi="Arial"/>
                <w:b/>
                <w:sz w:val="20"/>
              </w:rPr>
              <w:t>Causa Raiz</w:t>
            </w:r>
          </w:p>
        </w:tc>
        <w:tc>
          <w:tcPr>
            <w:tcW w:type="dxa" w:w="8208"/>
          </w:tcPr>
          <w:p>
            <w:r>
              <w:rPr>
                <w:rFonts w:ascii="Arial" w:hAnsi="Arial"/>
                <w:sz w:val="20"/>
              </w:rPr>
              <w:t>A função PL/pgSQL faz SELECT count(*) INTO cnt (leitura) e depois INSERT (escrita) dentro de uma mesma transação — mas sem FOR UPDATE no SELECT. Em PostgreSQL, duas transações simultâneas podem ambas ler cnt=9 (com limite=10), ambas decidirem inserir, e ambas succedem — resultando em cnt=11.</w:t>
            </w:r>
          </w:p>
        </w:tc>
      </w:tr>
      <w:tr>
        <w:tc>
          <w:tcPr>
            <w:tcW w:type="dxa" w:w="2592"/>
          </w:tcPr>
          <w:p>
            <w:r>
              <w:rPr>
                <w:rFonts w:ascii="Arial" w:hAnsi="Arial"/>
                <w:b/>
                <w:sz w:val="20"/>
              </w:rPr>
              <w:t>Impacto</w:t>
            </w:r>
          </w:p>
        </w:tc>
        <w:tc>
          <w:tcPr>
            <w:tcW w:type="dxa" w:w="8208"/>
          </w:tcPr>
          <w:p>
            <w:r>
              <w:rPr>
                <w:rFonts w:ascii="Arial" w:hAnsi="Arial"/>
                <w:sz w:val="20"/>
              </w:rPr>
              <w:t>Race condition: usuários podem ultrapassar o limite de gerações por ~2–3x em requisições paralelas agressivas. Com 10 abas simultâneas pode resultar em 20 gerações. Custo fal.ai não coberto.</w:t>
            </w:r>
          </w:p>
        </w:tc>
      </w:tr>
      <w:tr>
        <w:tc>
          <w:tcPr>
            <w:tcW w:type="dxa" w:w="2592"/>
          </w:tcPr>
          <w:p>
            <w:r>
              <w:rPr>
                <w:rFonts w:ascii="Arial" w:hAnsi="Arial"/>
                <w:b/>
                <w:sz w:val="20"/>
              </w:rPr>
              <w:t>Solução</w:t>
            </w:r>
          </w:p>
        </w:tc>
        <w:tc>
          <w:tcPr>
            <w:tcW w:type="dxa" w:w="8208"/>
          </w:tcPr>
          <w:p>
            <w:r>
              <w:rPr>
                <w:rFonts w:ascii="Arial" w:hAnsi="Arial"/>
                <w:sz w:val="20"/>
              </w:rPr>
              <w:t>Adicionar LOCK TABLE usage_logs IN ROW EXCLUSIVE MODE antes do SELECT, ou usar INSERT ... ON CONFLICT com contador atômico via advisory lock. Solução mais simples: SELECT count(*) ... FOR UPDATE com índice adequado.</w:t>
            </w:r>
          </w:p>
        </w:tc>
      </w:tr>
    </w:tbl>
    <w:p/>
    <w:tbl>
      <w:tblPr>
        <w:tblW w:type="auto" w:w="0"/>
        <w:jc w:val="left"/>
        <w:tblLook w:firstColumn="1" w:firstRow="1" w:lastColumn="0" w:lastRow="0" w:noHBand="0" w:noVBand="1" w:val="04A0"/>
      </w:tblPr>
      <w:tblGrid>
        <w:gridCol w:w="9360"/>
      </w:tblGrid>
      <w:tr>
        <w:tc>
          <w:tcPr>
            <w:tcW w:type="dxa" w:w="10800"/>
            <w:shd w:val="clear" w:color="auto" w:fill="FEF9C3"/>
          </w:tcPr>
          <w:p>
            <w:r>
              <w:rPr>
                <w:rFonts w:ascii="Arial" w:hAnsi="Arial"/>
                <w:b/>
                <w:color w:val="924000"/>
                <w:sz w:val="21"/>
              </w:rPr>
              <w:t>M4 — saveProduct() Usa ilike para Deduplicação: Case-Insensitive Incorreto</w:t>
            </w:r>
          </w:p>
        </w:tc>
      </w:tr>
    </w:tbl>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FEF9C3"/>
          </w:tcPr>
          <w:p>
            <w:r>
              <w:rPr>
                <w:rFonts w:ascii="Arial" w:hAnsi="Arial"/>
                <w:b/>
                <w:sz w:val="20"/>
              </w:rPr>
              <w:t>Campo</w:t>
            </w:r>
          </w:p>
        </w:tc>
        <w:tc>
          <w:tcPr>
            <w:tcW w:type="dxa" w:w="8208"/>
            <w:shd w:val="clear" w:color="auto" w:fill="FEF9C3"/>
          </w:tcPr>
          <w:p>
            <w:r>
              <w:rPr>
                <w:rFonts w:ascii="Arial" w:hAnsi="Arial"/>
                <w:sz w:val="20"/>
              </w:rPr>
              <w:t>Detalhe</w:t>
            </w:r>
          </w:p>
        </w:tc>
      </w:tr>
      <w:tr>
        <w:tc>
          <w:tcPr>
            <w:tcW w:type="dxa" w:w="2592"/>
          </w:tcPr>
          <w:p>
            <w:r>
              <w:rPr>
                <w:rFonts w:ascii="Arial" w:hAnsi="Arial"/>
                <w:b/>
                <w:sz w:val="20"/>
              </w:rPr>
              <w:t>Arquivo</w:t>
            </w:r>
          </w:p>
        </w:tc>
        <w:tc>
          <w:tcPr>
            <w:tcW w:type="dxa" w:w="8208"/>
          </w:tcPr>
          <w:p>
            <w:r>
              <w:rPr>
                <w:rFonts w:ascii="Arial" w:hAnsi="Arial"/>
                <w:sz w:val="20"/>
              </w:rPr>
              <w:t>src/lib/productStore.ts linhas 86–93</w:t>
            </w:r>
          </w:p>
        </w:tc>
      </w:tr>
      <w:tr>
        <w:tc>
          <w:tcPr>
            <w:tcW w:type="dxa" w:w="2592"/>
          </w:tcPr>
          <w:p>
            <w:r>
              <w:rPr>
                <w:rFonts w:ascii="Arial" w:hAnsi="Arial"/>
                <w:b/>
                <w:sz w:val="20"/>
              </w:rPr>
              <w:t>Causa Raiz</w:t>
            </w:r>
          </w:p>
        </w:tc>
        <w:tc>
          <w:tcPr>
            <w:tcW w:type="dxa" w:w="8208"/>
          </w:tcPr>
          <w:p>
            <w:r>
              <w:rPr>
                <w:rFonts w:ascii="Arial" w:hAnsi="Arial"/>
                <w:sz w:val="20"/>
              </w:rPr>
              <w:t>.ilike('name', input.name) faz ILIKE sem wildcards — comporta-se como = case-insensitive. Isso é correto para evitar 'Arroz' e 'arroz' duplicados. Porém o índice de texto é em lower(name) — um full scan pode ocorrer se a query planner não usar o índice funcional. Adicionalmente: 'Arroz Tio João 5kg' e 'Arroz Tio João 1kg' são produtos distintos mas uma busca ilike exata não os consideraria duplicatas (correto). Mas 'Arroz' e 'ARROZ' sim.</w:t>
            </w:r>
          </w:p>
        </w:tc>
      </w:tr>
      <w:tr>
        <w:tc>
          <w:tcPr>
            <w:tcW w:type="dxa" w:w="2592"/>
          </w:tcPr>
          <w:p>
            <w:r>
              <w:rPr>
                <w:rFonts w:ascii="Arial" w:hAnsi="Arial"/>
                <w:b/>
                <w:sz w:val="20"/>
              </w:rPr>
              <w:t>Impacto</w:t>
            </w:r>
          </w:p>
        </w:tc>
        <w:tc>
          <w:tcPr>
            <w:tcW w:type="dxa" w:w="8208"/>
          </w:tcPr>
          <w:p>
            <w:r>
              <w:rPr>
                <w:rFonts w:ascii="Arial" w:hAnsi="Arial"/>
                <w:sz w:val="20"/>
              </w:rPr>
              <w:t>Baixo de imediato, mas a lógica de deduplicação é frágil para nomes com variação mínima. O índice lower(name) não está sendo usado de forma otimizada na query atual.</w:t>
            </w:r>
          </w:p>
        </w:tc>
      </w:tr>
      <w:tr>
        <w:tc>
          <w:tcPr>
            <w:tcW w:type="dxa" w:w="2592"/>
          </w:tcPr>
          <w:p>
            <w:r>
              <w:rPr>
                <w:rFonts w:ascii="Arial" w:hAnsi="Arial"/>
                <w:b/>
                <w:sz w:val="20"/>
              </w:rPr>
              <w:t>Solução</w:t>
            </w:r>
          </w:p>
        </w:tc>
        <w:tc>
          <w:tcPr>
            <w:tcW w:type="dxa" w:w="8208"/>
          </w:tcPr>
          <w:p>
            <w:r>
              <w:rPr>
                <w:rFonts w:ascii="Arial" w:hAnsi="Arial"/>
                <w:sz w:val="20"/>
              </w:rPr>
              <w:t>Usar .eq('name', input.name.toLowerCase()) após normalizar o nome, e garantir que a inserção sempre salve em lowercase. Ou usar o índice funcional com .filter('lower(name)', 'eq', input.name.toLowerCase()) via RPC.</w:t>
            </w:r>
          </w:p>
        </w:tc>
      </w:tr>
    </w:tbl>
    <w:p/>
    <w:tbl>
      <w:tblPr>
        <w:tblW w:type="auto" w:w="0"/>
        <w:jc w:val="left"/>
        <w:tblLook w:firstColumn="1" w:firstRow="1" w:lastColumn="0" w:lastRow="0" w:noHBand="0" w:noVBand="1" w:val="04A0"/>
      </w:tblPr>
      <w:tblGrid>
        <w:gridCol w:w="9360"/>
      </w:tblGrid>
      <w:tr>
        <w:tc>
          <w:tcPr>
            <w:tcW w:type="dxa" w:w="10800"/>
            <w:shd w:val="clear" w:color="auto" w:fill="FEF9C3"/>
          </w:tcPr>
          <w:p>
            <w:r>
              <w:rPr>
                <w:rFonts w:ascii="Arial" w:hAnsi="Arial"/>
                <w:b/>
                <w:color w:val="924000"/>
                <w:sz w:val="21"/>
              </w:rPr>
              <w:t>M5 — Sem Feedback de Progresso no Upload de Imagem do Produto</w:t>
            </w:r>
          </w:p>
        </w:tc>
      </w:tr>
    </w:tbl>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FEF9C3"/>
          </w:tcPr>
          <w:p>
            <w:r>
              <w:rPr>
                <w:rFonts w:ascii="Arial" w:hAnsi="Arial"/>
                <w:b/>
                <w:sz w:val="20"/>
              </w:rPr>
              <w:t>Campo</w:t>
            </w:r>
          </w:p>
        </w:tc>
        <w:tc>
          <w:tcPr>
            <w:tcW w:type="dxa" w:w="8208"/>
            <w:shd w:val="clear" w:color="auto" w:fill="FEF9C3"/>
          </w:tcPr>
          <w:p>
            <w:r>
              <w:rPr>
                <w:rFonts w:ascii="Arial" w:hAnsi="Arial"/>
                <w:sz w:val="20"/>
              </w:rPr>
              <w:t>Detalhe</w:t>
            </w:r>
          </w:p>
        </w:tc>
      </w:tr>
      <w:tr>
        <w:tc>
          <w:tcPr>
            <w:tcW w:type="dxa" w:w="2592"/>
          </w:tcPr>
          <w:p>
            <w:r>
              <w:rPr>
                <w:rFonts w:ascii="Arial" w:hAnsi="Arial"/>
                <w:b/>
                <w:sz w:val="20"/>
              </w:rPr>
              <w:t>Arquivo</w:t>
            </w:r>
          </w:p>
        </w:tc>
        <w:tc>
          <w:tcPr>
            <w:tcW w:type="dxa" w:w="8208"/>
          </w:tcPr>
          <w:p>
            <w:r>
              <w:rPr>
                <w:rFonts w:ascii="Arial" w:hAnsi="Arial"/>
                <w:sz w:val="20"/>
              </w:rPr>
              <w:t>src/pages/NewGeneration.tsx linhas 185–196</w:t>
            </w:r>
          </w:p>
        </w:tc>
      </w:tr>
      <w:tr>
        <w:tc>
          <w:tcPr>
            <w:tcW w:type="dxa" w:w="2592"/>
          </w:tcPr>
          <w:p>
            <w:r>
              <w:rPr>
                <w:rFonts w:ascii="Arial" w:hAnsi="Arial"/>
                <w:b/>
                <w:sz w:val="20"/>
              </w:rPr>
              <w:t>Causa Raiz</w:t>
            </w:r>
          </w:p>
        </w:tc>
        <w:tc>
          <w:tcPr>
            <w:tcW w:type="dxa" w:w="8208"/>
          </w:tcPr>
          <w:p>
            <w:r>
              <w:rPr>
                <w:rFonts w:ascii="Arial" w:hAnsi="Arial"/>
                <w:sz w:val="20"/>
              </w:rPr>
              <w:t>handleUpload() comprime a imagem localmente (rápido) e chama uma IIFE assíncrona em background para uploadProductImage(). O usuário avança no wizard enquanto o upload ainda está em andamento. Se o upload falhar (timeout, quota), o produto não é salvo no catálogo e o usuário nunca sabe.</w:t>
            </w:r>
          </w:p>
        </w:tc>
      </w:tr>
      <w:tr>
        <w:tc>
          <w:tcPr>
            <w:tcW w:type="dxa" w:w="2592"/>
          </w:tcPr>
          <w:p>
            <w:r>
              <w:rPr>
                <w:rFonts w:ascii="Arial" w:hAnsi="Arial"/>
                <w:b/>
                <w:sz w:val="20"/>
              </w:rPr>
              <w:t>Impacto</w:t>
            </w:r>
          </w:p>
        </w:tc>
        <w:tc>
          <w:tcPr>
            <w:tcW w:type="dxa" w:w="8208"/>
          </w:tcPr>
          <w:p>
            <w:r>
              <w:rPr>
                <w:rFonts w:ascii="Arial" w:hAnsi="Arial"/>
                <w:sz w:val="20"/>
              </w:rPr>
              <w:t>UX: usuário espera encontrar o produto no catálogo na próxima vez, mas ele não foi salvo. Silêncio: o catch é vazio /* não-crítico */ — zero visibilidade do problema.</w:t>
            </w:r>
          </w:p>
        </w:tc>
      </w:tr>
      <w:tr>
        <w:tc>
          <w:tcPr>
            <w:tcW w:type="dxa" w:w="2592"/>
          </w:tcPr>
          <w:p>
            <w:r>
              <w:rPr>
                <w:rFonts w:ascii="Arial" w:hAnsi="Arial"/>
                <w:b/>
                <w:sz w:val="20"/>
              </w:rPr>
              <w:t>Solução</w:t>
            </w:r>
          </w:p>
        </w:tc>
        <w:tc>
          <w:tcPr>
            <w:tcW w:type="dxa" w:w="8208"/>
          </w:tcPr>
          <w:p>
            <w:r>
              <w:rPr>
                <w:rFonts w:ascii="Arial" w:hAnsi="Arial"/>
                <w:sz w:val="20"/>
              </w:rPr>
              <w:t>Logar o erro no Sentry (não-crítico não significa não-rastreável). Exibir um indicador sutil de 'salvando no catálogo...' e 'salvo!' quando concluir. Ou mover o upload para ser síncrono antes de avançar, com timeout tolerante.</w:t>
            </w:r>
          </w:p>
        </w:tc>
      </w:tr>
    </w:tbl>
    <w:p/>
    <w:p>
      <w:r>
        <w:br w:type="page"/>
      </w:r>
    </w:p>
    <w:p>
      <w:pPr>
        <w:pStyle w:val="Heading1"/>
      </w:pPr>
      <w:r>
        <w:rPr>
          <w:rFonts w:ascii="Arial" w:hAnsi="Arial"/>
          <w:color w:val="166B34"/>
          <w:sz w:val="34"/>
        </w:rPr>
        <w:t>4. Falhas de Baixa Prioridade (Débito Técnico)</w:t>
      </w:r>
    </w:p>
    <w:p>
      <w:r>
        <w:rPr>
          <w:rFonts w:ascii="Arial" w:hAnsi="Arial"/>
          <w:b w:val="0"/>
          <w:i/>
          <w:sz w:val="21"/>
        </w:rPr>
        <w:t>Estas falhas não causam quebra funcional imediata, mas acumulam débito técnico, reduzem manutenibilidade e tornam o sistema mais frágil com o tempo.</w:t>
      </w:r>
    </w:p>
    <w:p/>
    <w:tbl>
      <w:tblPr>
        <w:tblW w:type="auto" w:w="0"/>
        <w:jc w:val="left"/>
        <w:tblLook w:firstColumn="1" w:firstRow="1" w:lastColumn="0" w:lastRow="0" w:noHBand="0" w:noVBand="1" w:val="04A0"/>
      </w:tblPr>
      <w:tblGrid>
        <w:gridCol w:w="9360"/>
      </w:tblGrid>
      <w:tr>
        <w:tc>
          <w:tcPr>
            <w:tcW w:type="dxa" w:w="10800"/>
            <w:shd w:val="clear" w:color="auto" w:fill="DCFCE7"/>
          </w:tcPr>
          <w:p>
            <w:r>
              <w:rPr>
                <w:rFonts w:ascii="Arial" w:hAnsi="Arial"/>
                <w:b/>
                <w:color w:val="166B34"/>
                <w:sz w:val="21"/>
              </w:rPr>
              <w:t>B1 — Cobertura de Testes é Zero: Apenas Arquivo de Exemplo Existe</w:t>
            </w:r>
          </w:p>
        </w:tc>
      </w:tr>
    </w:tbl>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DCFCE7"/>
          </w:tcPr>
          <w:p>
            <w:r>
              <w:rPr>
                <w:rFonts w:ascii="Arial" w:hAnsi="Arial"/>
                <w:b/>
                <w:sz w:val="20"/>
              </w:rPr>
              <w:t>Campo</w:t>
            </w:r>
          </w:p>
        </w:tc>
        <w:tc>
          <w:tcPr>
            <w:tcW w:type="dxa" w:w="8208"/>
            <w:shd w:val="clear" w:color="auto" w:fill="DCFCE7"/>
          </w:tcPr>
          <w:p>
            <w:r>
              <w:rPr>
                <w:rFonts w:ascii="Arial" w:hAnsi="Arial"/>
                <w:sz w:val="20"/>
              </w:rPr>
              <w:t>Detalhe</w:t>
            </w:r>
          </w:p>
        </w:tc>
      </w:tr>
      <w:tr>
        <w:tc>
          <w:tcPr>
            <w:tcW w:type="dxa" w:w="2592"/>
          </w:tcPr>
          <w:p>
            <w:r>
              <w:rPr>
                <w:rFonts w:ascii="Arial" w:hAnsi="Arial"/>
                <w:b/>
                <w:sz w:val="20"/>
              </w:rPr>
              <w:t>Arquivo</w:t>
            </w:r>
          </w:p>
        </w:tc>
        <w:tc>
          <w:tcPr>
            <w:tcW w:type="dxa" w:w="8208"/>
          </w:tcPr>
          <w:p>
            <w:r>
              <w:rPr>
                <w:rFonts w:ascii="Arial" w:hAnsi="Arial"/>
                <w:sz w:val="20"/>
              </w:rPr>
              <w:t>src/test/example.test.ts (único arquivo de teste)</w:t>
            </w:r>
          </w:p>
        </w:tc>
      </w:tr>
      <w:tr>
        <w:tc>
          <w:tcPr>
            <w:tcW w:type="dxa" w:w="2592"/>
          </w:tcPr>
          <w:p>
            <w:r>
              <w:rPr>
                <w:rFonts w:ascii="Arial" w:hAnsi="Arial"/>
                <w:b/>
                <w:sz w:val="20"/>
              </w:rPr>
              <w:t>Causa Raiz</w:t>
            </w:r>
          </w:p>
        </w:tc>
        <w:tc>
          <w:tcPr>
            <w:tcW w:type="dxa" w:w="8208"/>
          </w:tcPr>
          <w:p>
            <w:r>
              <w:rPr>
                <w:rFonts w:ascii="Arial" w:hAnsi="Arial"/>
                <w:sz w:val="20"/>
              </w:rPr>
              <w:t>O setup de Vitest está configurado corretamente, mas só existe um arquivo de teste de exemplo sem cobertura real. Módulos críticos como promptEngine (buildPrompt), voiceParser (parseVoiceTranscript), generationStore e o edge function não têm testes.</w:t>
            </w:r>
          </w:p>
        </w:tc>
      </w:tr>
      <w:tr>
        <w:tc>
          <w:tcPr>
            <w:tcW w:type="dxa" w:w="2592"/>
          </w:tcPr>
          <w:p>
            <w:r>
              <w:rPr>
                <w:rFonts w:ascii="Arial" w:hAnsi="Arial"/>
                <w:b/>
                <w:sz w:val="20"/>
              </w:rPr>
              <w:t>Impacto</w:t>
            </w:r>
          </w:p>
        </w:tc>
        <w:tc>
          <w:tcPr>
            <w:tcW w:type="dxa" w:w="8208"/>
          </w:tcPr>
          <w:p>
            <w:r>
              <w:rPr>
                <w:rFonts w:ascii="Arial" w:hAnsi="Arial"/>
                <w:sz w:val="20"/>
              </w:rPr>
              <w:t>Qualquer refactor em promptEngine pode quebrar a qualidade das artes geradas sem detecção. voiceParser tem lógica complexa de parsing que já tem edge cases conhecidos (números por extenso). Sem testes, bugs regressivos chegam em produção.</w:t>
            </w:r>
          </w:p>
        </w:tc>
      </w:tr>
      <w:tr>
        <w:tc>
          <w:tcPr>
            <w:tcW w:type="dxa" w:w="2592"/>
          </w:tcPr>
          <w:p>
            <w:r>
              <w:rPr>
                <w:rFonts w:ascii="Arial" w:hAnsi="Arial"/>
                <w:b/>
                <w:sz w:val="20"/>
              </w:rPr>
              <w:t>Prioridade de Teste</w:t>
            </w:r>
          </w:p>
        </w:tc>
        <w:tc>
          <w:tcPr>
            <w:tcW w:type="dxa" w:w="8208"/>
          </w:tcPr>
          <w:p>
            <w:r>
              <w:rPr>
                <w:rFonts w:ascii="Arial" w:hAnsi="Arial"/>
                <w:sz w:val="20"/>
              </w:rPr>
              <w:t>1º: voiceParser (lógica pura, fácil de testar), 2º: promptEngine.buildPrompt (saída de string determinística), 3º: generationStore (mock Supabase), 4º: edge function (mock fal.ai)</w:t>
            </w:r>
          </w:p>
        </w:tc>
      </w:tr>
    </w:tbl>
    <w:p/>
    <w:tbl>
      <w:tblPr>
        <w:tblW w:type="auto" w:w="0"/>
        <w:jc w:val="left"/>
        <w:tblLook w:firstColumn="1" w:firstRow="1" w:lastColumn="0" w:lastRow="0" w:noHBand="0" w:noVBand="1" w:val="04A0"/>
      </w:tblPr>
      <w:tblGrid>
        <w:gridCol w:w="9360"/>
      </w:tblGrid>
      <w:tr>
        <w:tc>
          <w:tcPr>
            <w:tcW w:type="dxa" w:w="10800"/>
            <w:shd w:val="clear" w:color="auto" w:fill="DCFCE7"/>
          </w:tcPr>
          <w:p>
            <w:r>
              <w:rPr>
                <w:rFonts w:ascii="Arial" w:hAnsi="Arial"/>
                <w:b/>
                <w:color w:val="166B34"/>
                <w:sz w:val="21"/>
              </w:rPr>
              <w:t>B2 — LOADING_MESSAGES Duplicado em Dois Arquivos</w:t>
            </w:r>
          </w:p>
        </w:tc>
      </w:tr>
    </w:tbl>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DCFCE7"/>
          </w:tcPr>
          <w:p>
            <w:r>
              <w:rPr>
                <w:rFonts w:ascii="Arial" w:hAnsi="Arial"/>
                <w:b/>
                <w:sz w:val="20"/>
              </w:rPr>
              <w:t>Campo</w:t>
            </w:r>
          </w:p>
        </w:tc>
        <w:tc>
          <w:tcPr>
            <w:tcW w:type="dxa" w:w="8208"/>
            <w:shd w:val="clear" w:color="auto" w:fill="DCFCE7"/>
          </w:tcPr>
          <w:p>
            <w:r>
              <w:rPr>
                <w:rFonts w:ascii="Arial" w:hAnsi="Arial"/>
                <w:sz w:val="20"/>
              </w:rPr>
              <w:t>Detalhe</w:t>
            </w:r>
          </w:p>
        </w:tc>
      </w:tr>
      <w:tr>
        <w:tc>
          <w:tcPr>
            <w:tcW w:type="dxa" w:w="2592"/>
          </w:tcPr>
          <w:p>
            <w:r>
              <w:rPr>
                <w:rFonts w:ascii="Arial" w:hAnsi="Arial"/>
                <w:b/>
                <w:sz w:val="20"/>
              </w:rPr>
              <w:t>Arquivo</w:t>
            </w:r>
          </w:p>
        </w:tc>
        <w:tc>
          <w:tcPr>
            <w:tcW w:type="dxa" w:w="8208"/>
          </w:tcPr>
          <w:p>
            <w:r>
              <w:rPr>
                <w:rFonts w:ascii="Arial" w:hAnsi="Arial"/>
                <w:sz w:val="20"/>
              </w:rPr>
              <w:t>src/pages/NewGeneration.tsx linha 29 e src/features/generation/hooks/useGeneration.ts linha 8</w:t>
            </w:r>
          </w:p>
        </w:tc>
      </w:tr>
      <w:tr>
        <w:tc>
          <w:tcPr>
            <w:tcW w:type="dxa" w:w="2592"/>
          </w:tcPr>
          <w:p>
            <w:r>
              <w:rPr>
                <w:rFonts w:ascii="Arial" w:hAnsi="Arial"/>
                <w:b/>
                <w:sz w:val="20"/>
              </w:rPr>
              <w:t>Causa Raiz</w:t>
            </w:r>
          </w:p>
        </w:tc>
        <w:tc>
          <w:tcPr>
            <w:tcW w:type="dxa" w:w="8208"/>
          </w:tcPr>
          <w:p>
            <w:r>
              <w:rPr>
                <w:rFonts w:ascii="Arial" w:hAnsi="Arial"/>
                <w:sz w:val="20"/>
              </w:rPr>
              <w:t>O array LOADING_MESSAGES com as mensagens rotativas de loading está declarado em dois arquivos com conteúdo ligeiramente diferente. O hook useGeneration.ts não é usado por NewGeneration.tsx — que tem sua própria implementação de loading state inline.</w:t>
            </w:r>
          </w:p>
        </w:tc>
      </w:tr>
      <w:tr>
        <w:tc>
          <w:tcPr>
            <w:tcW w:type="dxa" w:w="2592"/>
          </w:tcPr>
          <w:p>
            <w:r>
              <w:rPr>
                <w:rFonts w:ascii="Arial" w:hAnsi="Arial"/>
                <w:b/>
                <w:sz w:val="20"/>
              </w:rPr>
              <w:t>Impacto</w:t>
            </w:r>
          </w:p>
        </w:tc>
        <w:tc>
          <w:tcPr>
            <w:tcW w:type="dxa" w:w="8208"/>
          </w:tcPr>
          <w:p>
            <w:r>
              <w:rPr>
                <w:rFonts w:ascii="Arial" w:hAnsi="Arial"/>
                <w:sz w:val="20"/>
              </w:rPr>
              <w:t>O hook useGeneration.ts parece ser um refactor inacabado de NewGeneration.tsx. Dead code: useGeneration.ts não é importado em lugar algum atualmente. Risco de confusão futura sobre qual arquivo contém a lógica 'oficial'.</w:t>
            </w:r>
          </w:p>
        </w:tc>
      </w:tr>
      <w:tr>
        <w:tc>
          <w:tcPr>
            <w:tcW w:type="dxa" w:w="2592"/>
          </w:tcPr>
          <w:p>
            <w:r>
              <w:rPr>
                <w:rFonts w:ascii="Arial" w:hAnsi="Arial"/>
                <w:b/>
                <w:sz w:val="20"/>
              </w:rPr>
              <w:t>Solução</w:t>
            </w:r>
          </w:p>
        </w:tc>
        <w:tc>
          <w:tcPr>
            <w:tcW w:type="dxa" w:w="8208"/>
          </w:tcPr>
          <w:p>
            <w:r>
              <w:rPr>
                <w:rFonts w:ascii="Arial" w:hAnsi="Arial"/>
                <w:sz w:val="20"/>
              </w:rPr>
              <w:t>Ou concluir a migração para useGeneration.ts (que é a arquitetura correta — separar lógica de UI) ou deletar o arquivo. Manter os dois é débito certo.</w:t>
            </w:r>
          </w:p>
        </w:tc>
      </w:tr>
    </w:tbl>
    <w:p/>
    <w:tbl>
      <w:tblPr>
        <w:tblW w:type="auto" w:w="0"/>
        <w:jc w:val="left"/>
        <w:tblLook w:firstColumn="1" w:firstRow="1" w:lastColumn="0" w:lastRow="0" w:noHBand="0" w:noVBand="1" w:val="04A0"/>
      </w:tblPr>
      <w:tblGrid>
        <w:gridCol w:w="9360"/>
      </w:tblGrid>
      <w:tr>
        <w:tc>
          <w:tcPr>
            <w:tcW w:type="dxa" w:w="10800"/>
            <w:shd w:val="clear" w:color="auto" w:fill="DCFCE7"/>
          </w:tcPr>
          <w:p>
            <w:r>
              <w:rPr>
                <w:rFonts w:ascii="Arial" w:hAnsi="Arial"/>
                <w:b/>
                <w:color w:val="166B34"/>
                <w:sz w:val="21"/>
              </w:rPr>
              <w:t>B3 — cors/ALLOWED_ORIGINS com Placeholder: Domínio de Produção Incorreto</w:t>
            </w:r>
          </w:p>
        </w:tc>
      </w:tr>
    </w:tbl>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DCFCE7"/>
          </w:tcPr>
          <w:p>
            <w:r>
              <w:rPr>
                <w:rFonts w:ascii="Arial" w:hAnsi="Arial"/>
                <w:b/>
                <w:sz w:val="20"/>
              </w:rPr>
              <w:t>Campo</w:t>
            </w:r>
          </w:p>
        </w:tc>
        <w:tc>
          <w:tcPr>
            <w:tcW w:type="dxa" w:w="8208"/>
            <w:shd w:val="clear" w:color="auto" w:fill="DCFCE7"/>
          </w:tcPr>
          <w:p>
            <w:r>
              <w:rPr>
                <w:rFonts w:ascii="Arial" w:hAnsi="Arial"/>
                <w:sz w:val="20"/>
              </w:rPr>
              <w:t>Detalhe</w:t>
            </w:r>
          </w:p>
        </w:tc>
      </w:tr>
      <w:tr>
        <w:tc>
          <w:tcPr>
            <w:tcW w:type="dxa" w:w="2592"/>
          </w:tcPr>
          <w:p>
            <w:r>
              <w:rPr>
                <w:rFonts w:ascii="Arial" w:hAnsi="Arial"/>
                <w:b/>
                <w:sz w:val="20"/>
              </w:rPr>
              <w:t>Arquivo</w:t>
            </w:r>
          </w:p>
        </w:tc>
        <w:tc>
          <w:tcPr>
            <w:tcW w:type="dxa" w:w="8208"/>
          </w:tcPr>
          <w:p>
            <w:r>
              <w:rPr>
                <w:rFonts w:ascii="Arial" w:hAnsi="Arial"/>
                <w:sz w:val="20"/>
              </w:rPr>
              <w:t>supabase/functions/generate-image/index.ts linha 11 e supabase/functions/refresh-url/index.ts linha 7</w:t>
            </w:r>
          </w:p>
        </w:tc>
      </w:tr>
      <w:tr>
        <w:tc>
          <w:tcPr>
            <w:tcW w:type="dxa" w:w="2592"/>
          </w:tcPr>
          <w:p>
            <w:r>
              <w:rPr>
                <w:rFonts w:ascii="Arial" w:hAnsi="Arial"/>
                <w:b/>
                <w:sz w:val="20"/>
              </w:rPr>
              <w:t>Causa Raiz</w:t>
            </w:r>
          </w:p>
        </w:tc>
        <w:tc>
          <w:tcPr>
            <w:tcW w:type="dxa" w:w="8208"/>
          </w:tcPr>
          <w:p>
            <w:r>
              <w:rPr>
                <w:rFonts w:ascii="Arial" w:hAnsi="Arial"/>
                <w:sz w:val="20"/>
              </w:rPr>
              <w:t>ALLOWED_ORIGINS contém 'https://app.seudominio.com.br' — um placeholder que nunca foi substituído pelo domínio real de produção. Se o app estiver hospedado em outro domínio, todas as requisições de produção recebem 403 CORS, exceto se o fallback origin[0] estiver sendo usado incorretamente.</w:t>
            </w:r>
          </w:p>
        </w:tc>
      </w:tr>
      <w:tr>
        <w:tc>
          <w:tcPr>
            <w:tcW w:type="dxa" w:w="2592"/>
          </w:tcPr>
          <w:p>
            <w:r>
              <w:rPr>
                <w:rFonts w:ascii="Arial" w:hAnsi="Arial"/>
                <w:b/>
                <w:sz w:val="20"/>
              </w:rPr>
              <w:t>Impacto</w:t>
            </w:r>
          </w:p>
        </w:tc>
        <w:tc>
          <w:tcPr>
            <w:tcW w:type="dxa" w:w="8208"/>
          </w:tcPr>
          <w:p>
            <w:r>
              <w:rPr>
                <w:rFonts w:ascii="Arial" w:hAnsi="Arial"/>
                <w:sz w:val="20"/>
              </w:rPr>
              <w:t>Potencial bloqueio total em produção se o domínio real não estiver na lista. Ou, se o código usa responseOrigin = isAllowed ? origin : ALLOWED_ORIGINS[0], pode estar retornando o domínio placeholder no header CORS — que o browser aceita se não fizer strict origin check.</w:t>
            </w:r>
          </w:p>
        </w:tc>
      </w:tr>
      <w:tr>
        <w:tc>
          <w:tcPr>
            <w:tcW w:type="dxa" w:w="2592"/>
          </w:tcPr>
          <w:p>
            <w:r>
              <w:rPr>
                <w:rFonts w:ascii="Arial" w:hAnsi="Arial"/>
                <w:b/>
                <w:sz w:val="20"/>
              </w:rPr>
              <w:t>Solução</w:t>
            </w:r>
          </w:p>
        </w:tc>
        <w:tc>
          <w:tcPr>
            <w:tcW w:type="dxa" w:w="8208"/>
          </w:tcPr>
          <w:p>
            <w:r>
              <w:rPr>
                <w:rFonts w:ascii="Arial" w:hAnsi="Arial"/>
                <w:sz w:val="20"/>
              </w:rPr>
              <w:t>Mover ALLOWED_ORIGINS para variável de ambiente: Deno.env.get('ALLOWED_ORIGINS')?.split(',') e configurar nos Supabase Secrets com o domínio real. Remover o placeholder hardcoded.</w:t>
            </w:r>
          </w:p>
        </w:tc>
      </w:tr>
    </w:tbl>
    <w:p/>
    <w:tbl>
      <w:tblPr>
        <w:tblW w:type="auto" w:w="0"/>
        <w:jc w:val="left"/>
        <w:tblLook w:firstColumn="1" w:firstRow="1" w:lastColumn="0" w:lastRow="0" w:noHBand="0" w:noVBand="1" w:val="04A0"/>
      </w:tblPr>
      <w:tblGrid>
        <w:gridCol w:w="9360"/>
      </w:tblGrid>
      <w:tr>
        <w:tc>
          <w:tcPr>
            <w:tcW w:type="dxa" w:w="10800"/>
            <w:shd w:val="clear" w:color="auto" w:fill="DCFCE7"/>
          </w:tcPr>
          <w:p>
            <w:r>
              <w:rPr>
                <w:rFonts w:ascii="Arial" w:hAnsi="Arial"/>
                <w:b/>
                <w:color w:val="166B34"/>
                <w:sz w:val="21"/>
              </w:rPr>
              <w:t>B4 — Tipos Inconsistentes: database.types.ts vs Interfaces Locais</w:t>
            </w:r>
          </w:p>
        </w:tc>
      </w:tr>
    </w:tbl>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DCFCE7"/>
          </w:tcPr>
          <w:p>
            <w:r>
              <w:rPr>
                <w:rFonts w:ascii="Arial" w:hAnsi="Arial"/>
                <w:b/>
                <w:sz w:val="20"/>
              </w:rPr>
              <w:t>Campo</w:t>
            </w:r>
          </w:p>
        </w:tc>
        <w:tc>
          <w:tcPr>
            <w:tcW w:type="dxa" w:w="8208"/>
            <w:shd w:val="clear" w:color="auto" w:fill="DCFCE7"/>
          </w:tcPr>
          <w:p>
            <w:r>
              <w:rPr>
                <w:rFonts w:ascii="Arial" w:hAnsi="Arial"/>
                <w:sz w:val="20"/>
              </w:rPr>
              <w:t>Detalhe</w:t>
            </w:r>
          </w:p>
        </w:tc>
      </w:tr>
      <w:tr>
        <w:tc>
          <w:tcPr>
            <w:tcW w:type="dxa" w:w="2592"/>
          </w:tcPr>
          <w:p>
            <w:r>
              <w:rPr>
                <w:rFonts w:ascii="Arial" w:hAnsi="Arial"/>
                <w:b/>
                <w:sz w:val="20"/>
              </w:rPr>
              <w:t>Arquivo</w:t>
            </w:r>
          </w:p>
        </w:tc>
        <w:tc>
          <w:tcPr>
            <w:tcW w:type="dxa" w:w="8208"/>
          </w:tcPr>
          <w:p>
            <w:r>
              <w:rPr>
                <w:rFonts w:ascii="Arial" w:hAnsi="Arial"/>
                <w:sz w:val="20"/>
              </w:rPr>
              <w:t>src/types/database.types.ts vs src/integrations/supabase/types.ts vs src/lib/generationStore.ts</w:t>
            </w:r>
          </w:p>
        </w:tc>
      </w:tr>
      <w:tr>
        <w:tc>
          <w:tcPr>
            <w:tcW w:type="dxa" w:w="2592"/>
          </w:tcPr>
          <w:p>
            <w:r>
              <w:rPr>
                <w:rFonts w:ascii="Arial" w:hAnsi="Arial"/>
                <w:b/>
                <w:sz w:val="20"/>
              </w:rPr>
              <w:t>Causa Raiz</w:t>
            </w:r>
          </w:p>
        </w:tc>
        <w:tc>
          <w:tcPr>
            <w:tcW w:type="dxa" w:w="8208"/>
          </w:tcPr>
          <w:p>
            <w:r>
              <w:rPr>
                <w:rFonts w:ascii="Arial" w:hAnsi="Arial"/>
                <w:sz w:val="20"/>
              </w:rPr>
              <w:t>Existem múltiplas definições de tipos para os objetos do banco de dados. generationStore.ts define DBRow localmente. productStore.ts usa Record&lt;string, unknown&gt; no fromRow(). O tipo GeneratedImage é definido em generationStore.ts mas também referenciado em database.types.ts como ProductPick e GeneratedImage. Sem single source of truth para os tipos do DB.</w:t>
            </w:r>
          </w:p>
        </w:tc>
      </w:tr>
      <w:tr>
        <w:tc>
          <w:tcPr>
            <w:tcW w:type="dxa" w:w="2592"/>
          </w:tcPr>
          <w:p>
            <w:r>
              <w:rPr>
                <w:rFonts w:ascii="Arial" w:hAnsi="Arial"/>
                <w:b/>
                <w:sz w:val="20"/>
              </w:rPr>
              <w:t>Impacto</w:t>
            </w:r>
          </w:p>
        </w:tc>
        <w:tc>
          <w:tcPr>
            <w:tcW w:type="dxa" w:w="8208"/>
          </w:tcPr>
          <w:p>
            <w:r>
              <w:rPr>
                <w:rFonts w:ascii="Arial" w:hAnsi="Arial"/>
                <w:sz w:val="20"/>
              </w:rPr>
              <w:t>Mudanças no schema do banco exigem atualização em múltiplos lugares. TypeScript não garante consistência entre as definições paralelas. supabase gen types poderia ser usado para gerar tipos automaticamente.</w:t>
            </w:r>
          </w:p>
        </w:tc>
      </w:tr>
      <w:tr>
        <w:tc>
          <w:tcPr>
            <w:tcW w:type="dxa" w:w="2592"/>
          </w:tcPr>
          <w:p>
            <w:r>
              <w:rPr>
                <w:rFonts w:ascii="Arial" w:hAnsi="Arial"/>
                <w:b/>
                <w:sz w:val="20"/>
              </w:rPr>
              <w:t>Solução</w:t>
            </w:r>
          </w:p>
        </w:tc>
        <w:tc>
          <w:tcPr>
            <w:tcW w:type="dxa" w:w="8208"/>
          </w:tcPr>
          <w:p>
            <w:r>
              <w:rPr>
                <w:rFonts w:ascii="Arial" w:hAnsi="Arial"/>
                <w:sz w:val="20"/>
              </w:rPr>
              <w:t>Executar 'supabase gen types typescript --project-id &lt;id&gt; &gt; src/integrations/supabase/types.ts' como parte do CI. Remover definições manuais redundantes. Usar os tipos gerados como fonte única.</w:t>
            </w:r>
          </w:p>
        </w:tc>
      </w:tr>
    </w:tbl>
    <w:p/>
    <w:p>
      <w:r>
        <w:br w:type="page"/>
      </w:r>
    </w:p>
    <w:p>
      <w:pPr>
        <w:pStyle w:val="Heading1"/>
      </w:pPr>
      <w:r>
        <w:rPr>
          <w:rFonts w:ascii="Arial" w:hAnsi="Arial"/>
          <w:color w:val="1E40AF"/>
          <w:sz w:val="34"/>
        </w:rPr>
        <w:t>5. Roadmap de Correção Priorizado</w:t>
      </w:r>
    </w:p>
    <w:p>
      <w:r>
        <w:rPr>
          <w:rFonts w:ascii="Arial" w:hAnsi="Arial"/>
          <w:b w:val="0"/>
          <w:i w:val="0"/>
          <w:sz w:val="21"/>
        </w:rPr>
        <w:t>Sequência recomendada considerando impacto vs. esforço de implementação.</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864"/>
            <w:shd w:val="clear" w:color="auto" w:fill="1E3A8A"/>
          </w:tcPr>
          <w:p>
            <w:r>
              <w:rPr>
                <w:rFonts w:ascii="Arial" w:hAnsi="Arial"/>
                <w:b/>
                <w:color w:val="FFFFFF"/>
                <w:sz w:val="18"/>
              </w:rPr>
              <w:t>Sprint</w:t>
            </w:r>
          </w:p>
        </w:tc>
        <w:tc>
          <w:tcPr>
            <w:tcW w:type="dxa" w:w="720"/>
            <w:shd w:val="clear" w:color="auto" w:fill="1E3A8A"/>
          </w:tcPr>
          <w:p>
            <w:r>
              <w:rPr>
                <w:rFonts w:ascii="Arial" w:hAnsi="Arial"/>
                <w:b/>
                <w:color w:val="FFFFFF"/>
                <w:sz w:val="18"/>
              </w:rPr>
              <w:t>ID</w:t>
            </w:r>
          </w:p>
        </w:tc>
        <w:tc>
          <w:tcPr>
            <w:tcW w:type="dxa" w:w="6048"/>
            <w:shd w:val="clear" w:color="auto" w:fill="1E3A8A"/>
          </w:tcPr>
          <w:p>
            <w:r>
              <w:rPr>
                <w:rFonts w:ascii="Arial" w:hAnsi="Arial"/>
                <w:b/>
                <w:color w:val="FFFFFF"/>
                <w:sz w:val="18"/>
              </w:rPr>
              <w:t>Título</w:t>
            </w:r>
          </w:p>
        </w:tc>
        <w:tc>
          <w:tcPr>
            <w:tcW w:type="dxa" w:w="1152"/>
            <w:shd w:val="clear" w:color="auto" w:fill="1E3A8A"/>
          </w:tcPr>
          <w:p>
            <w:r>
              <w:rPr>
                <w:rFonts w:ascii="Arial" w:hAnsi="Arial"/>
                <w:b/>
                <w:color w:val="FFFFFF"/>
                <w:sz w:val="18"/>
              </w:rPr>
              <w:t>Esforço</w:t>
            </w:r>
          </w:p>
        </w:tc>
        <w:tc>
          <w:tcPr>
            <w:tcW w:type="dxa" w:w="2016"/>
            <w:shd w:val="clear" w:color="auto" w:fill="1E3A8A"/>
          </w:tcPr>
          <w:p>
            <w:r>
              <w:rPr>
                <w:rFonts w:ascii="Arial" w:hAnsi="Arial"/>
                <w:b/>
                <w:color w:val="FFFFFF"/>
                <w:sz w:val="18"/>
              </w:rPr>
              <w:t>Bloqueador de</w:t>
            </w:r>
          </w:p>
        </w:tc>
      </w:tr>
      <w:tr>
        <w:tc>
          <w:tcPr>
            <w:tcW w:type="dxa" w:w="864"/>
            <w:shd w:val="clear" w:color="auto" w:fill="FEE2E2"/>
          </w:tcPr>
          <w:p>
            <w:r>
              <w:rPr>
                <w:rFonts w:ascii="Arial" w:hAnsi="Arial"/>
                <w:b/>
                <w:sz w:val="18"/>
              </w:rPr>
              <w:t>S1</w:t>
            </w:r>
          </w:p>
        </w:tc>
        <w:tc>
          <w:tcPr>
            <w:tcW w:type="dxa" w:w="720"/>
            <w:shd w:val="clear" w:color="auto" w:fill="FEE2E2"/>
          </w:tcPr>
          <w:p>
            <w:r>
              <w:rPr>
                <w:rFonts w:ascii="Arial" w:hAnsi="Arial"/>
                <w:sz w:val="18"/>
              </w:rPr>
              <w:t>C3</w:t>
            </w:r>
          </w:p>
        </w:tc>
        <w:tc>
          <w:tcPr>
            <w:tcW w:type="dxa" w:w="6048"/>
            <w:shd w:val="clear" w:color="auto" w:fill="FEE2E2"/>
          </w:tcPr>
          <w:p>
            <w:r>
              <w:rPr>
                <w:rFonts w:ascii="Arial" w:hAnsi="Arial"/>
                <w:sz w:val="18"/>
              </w:rPr>
              <w:t>Fail-closed no Redis (rate limit anônimo)</w:t>
            </w:r>
          </w:p>
        </w:tc>
        <w:tc>
          <w:tcPr>
            <w:tcW w:type="dxa" w:w="1152"/>
            <w:shd w:val="clear" w:color="auto" w:fill="FEE2E2"/>
          </w:tcPr>
          <w:p>
            <w:r>
              <w:rPr>
                <w:rFonts w:ascii="Arial" w:hAnsi="Arial"/>
                <w:sz w:val="18"/>
              </w:rPr>
              <w:t>1h</w:t>
            </w:r>
          </w:p>
        </w:tc>
        <w:tc>
          <w:tcPr>
            <w:tcW w:type="dxa" w:w="2016"/>
            <w:shd w:val="clear" w:color="auto" w:fill="FEE2E2"/>
          </w:tcPr>
          <w:p>
            <w:r>
              <w:rPr>
                <w:rFonts w:ascii="Arial" w:hAnsi="Arial"/>
                <w:sz w:val="18"/>
              </w:rPr>
              <w:t>Custo</w:t>
            </w:r>
          </w:p>
        </w:tc>
      </w:tr>
      <w:tr>
        <w:tc>
          <w:tcPr>
            <w:tcW w:type="dxa" w:w="864"/>
            <w:shd w:val="clear" w:color="auto" w:fill="FEE2E2"/>
          </w:tcPr>
          <w:p>
            <w:r>
              <w:rPr>
                <w:rFonts w:ascii="Arial" w:hAnsi="Arial"/>
                <w:b/>
                <w:sz w:val="18"/>
              </w:rPr>
              <w:t>S1</w:t>
            </w:r>
          </w:p>
        </w:tc>
        <w:tc>
          <w:tcPr>
            <w:tcW w:type="dxa" w:w="720"/>
            <w:shd w:val="clear" w:color="auto" w:fill="FEE2E2"/>
          </w:tcPr>
          <w:p>
            <w:r>
              <w:rPr>
                <w:rFonts w:ascii="Arial" w:hAnsi="Arial"/>
                <w:sz w:val="18"/>
              </w:rPr>
              <w:t>C1</w:t>
            </w:r>
          </w:p>
        </w:tc>
        <w:tc>
          <w:tcPr>
            <w:tcW w:type="dxa" w:w="6048"/>
            <w:shd w:val="clear" w:color="auto" w:fill="FEE2E2"/>
          </w:tcPr>
          <w:p>
            <w:r>
              <w:rPr>
                <w:rFonts w:ascii="Arial" w:hAnsi="Arial"/>
                <w:sz w:val="18"/>
              </w:rPr>
              <w:t>Remover dupla inserção em generations</w:t>
            </w:r>
          </w:p>
        </w:tc>
        <w:tc>
          <w:tcPr>
            <w:tcW w:type="dxa" w:w="1152"/>
            <w:shd w:val="clear" w:color="auto" w:fill="FEE2E2"/>
          </w:tcPr>
          <w:p>
            <w:r>
              <w:rPr>
                <w:rFonts w:ascii="Arial" w:hAnsi="Arial"/>
                <w:sz w:val="18"/>
              </w:rPr>
              <w:t>2h</w:t>
            </w:r>
          </w:p>
        </w:tc>
        <w:tc>
          <w:tcPr>
            <w:tcW w:type="dxa" w:w="2016"/>
            <w:shd w:val="clear" w:color="auto" w:fill="FEE2E2"/>
          </w:tcPr>
          <w:p>
            <w:r>
              <w:rPr>
                <w:rFonts w:ascii="Arial" w:hAnsi="Arial"/>
                <w:sz w:val="18"/>
              </w:rPr>
              <w:t>Billing</w:t>
            </w:r>
          </w:p>
        </w:tc>
      </w:tr>
      <w:tr>
        <w:tc>
          <w:tcPr>
            <w:tcW w:type="dxa" w:w="864"/>
            <w:shd w:val="clear" w:color="auto" w:fill="FEE2E2"/>
          </w:tcPr>
          <w:p>
            <w:r>
              <w:rPr>
                <w:rFonts w:ascii="Arial" w:hAnsi="Arial"/>
                <w:b/>
                <w:sz w:val="18"/>
              </w:rPr>
              <w:t>S1</w:t>
            </w:r>
          </w:p>
        </w:tc>
        <w:tc>
          <w:tcPr>
            <w:tcW w:type="dxa" w:w="720"/>
            <w:shd w:val="clear" w:color="auto" w:fill="FEE2E2"/>
          </w:tcPr>
          <w:p>
            <w:r>
              <w:rPr>
                <w:rFonts w:ascii="Arial" w:hAnsi="Arial"/>
                <w:sz w:val="18"/>
              </w:rPr>
              <w:t>B3</w:t>
            </w:r>
          </w:p>
        </w:tc>
        <w:tc>
          <w:tcPr>
            <w:tcW w:type="dxa" w:w="6048"/>
            <w:shd w:val="clear" w:color="auto" w:fill="FEE2E2"/>
          </w:tcPr>
          <w:p>
            <w:r>
              <w:rPr>
                <w:rFonts w:ascii="Arial" w:hAnsi="Arial"/>
                <w:sz w:val="18"/>
              </w:rPr>
              <w:t>ALLOWED_ORIGINS via env var</w:t>
            </w:r>
          </w:p>
        </w:tc>
        <w:tc>
          <w:tcPr>
            <w:tcW w:type="dxa" w:w="1152"/>
            <w:shd w:val="clear" w:color="auto" w:fill="FEE2E2"/>
          </w:tcPr>
          <w:p>
            <w:r>
              <w:rPr>
                <w:rFonts w:ascii="Arial" w:hAnsi="Arial"/>
                <w:sz w:val="18"/>
              </w:rPr>
              <w:t>1h</w:t>
            </w:r>
          </w:p>
        </w:tc>
        <w:tc>
          <w:tcPr>
            <w:tcW w:type="dxa" w:w="2016"/>
            <w:shd w:val="clear" w:color="auto" w:fill="FEE2E2"/>
          </w:tcPr>
          <w:p>
            <w:r>
              <w:rPr>
                <w:rFonts w:ascii="Arial" w:hAnsi="Arial"/>
                <w:sz w:val="18"/>
              </w:rPr>
              <w:t>Produção</w:t>
            </w:r>
          </w:p>
        </w:tc>
      </w:tr>
      <w:tr>
        <w:tc>
          <w:tcPr>
            <w:tcW w:type="dxa" w:w="864"/>
            <w:shd w:val="clear" w:color="auto" w:fill="FEE2E2"/>
          </w:tcPr>
          <w:p>
            <w:r>
              <w:rPr>
                <w:rFonts w:ascii="Arial" w:hAnsi="Arial"/>
                <w:b/>
                <w:sz w:val="18"/>
              </w:rPr>
              <w:t>S1</w:t>
            </w:r>
          </w:p>
        </w:tc>
        <w:tc>
          <w:tcPr>
            <w:tcW w:type="dxa" w:w="720"/>
            <w:shd w:val="clear" w:color="auto" w:fill="FEE2E2"/>
          </w:tcPr>
          <w:p>
            <w:r>
              <w:rPr>
                <w:rFonts w:ascii="Arial" w:hAnsi="Arial"/>
                <w:sz w:val="18"/>
              </w:rPr>
              <w:t>C2</w:t>
            </w:r>
          </w:p>
        </w:tc>
        <w:tc>
          <w:tcPr>
            <w:tcW w:type="dxa" w:w="6048"/>
            <w:shd w:val="clear" w:color="auto" w:fill="FEE2E2"/>
          </w:tcPr>
          <w:p>
            <w:r>
              <w:rPr>
                <w:rFonts w:ascii="Arial" w:hAnsi="Arial"/>
                <w:sz w:val="18"/>
              </w:rPr>
              <w:t>Guard no fetch do logo padrão</w:t>
            </w:r>
          </w:p>
        </w:tc>
        <w:tc>
          <w:tcPr>
            <w:tcW w:type="dxa" w:w="1152"/>
            <w:shd w:val="clear" w:color="auto" w:fill="FEE2E2"/>
          </w:tcPr>
          <w:p>
            <w:r>
              <w:rPr>
                <w:rFonts w:ascii="Arial" w:hAnsi="Arial"/>
                <w:sz w:val="18"/>
              </w:rPr>
              <w:t>1h</w:t>
            </w:r>
          </w:p>
        </w:tc>
        <w:tc>
          <w:tcPr>
            <w:tcW w:type="dxa" w:w="2016"/>
            <w:shd w:val="clear" w:color="auto" w:fill="FEE2E2"/>
          </w:tcPr>
          <w:p>
            <w:r>
              <w:rPr>
                <w:rFonts w:ascii="Arial" w:hAnsi="Arial"/>
                <w:sz w:val="18"/>
              </w:rPr>
              <w:t>UX</w:t>
            </w:r>
          </w:p>
        </w:tc>
      </w:tr>
      <w:tr>
        <w:tc>
          <w:tcPr>
            <w:tcW w:type="dxa" w:w="864"/>
            <w:shd w:val="clear" w:color="auto" w:fill="FFEDD5"/>
          </w:tcPr>
          <w:p>
            <w:r>
              <w:rPr>
                <w:rFonts w:ascii="Arial" w:hAnsi="Arial"/>
                <w:b/>
                <w:sz w:val="18"/>
              </w:rPr>
              <w:t>S2</w:t>
            </w:r>
          </w:p>
        </w:tc>
        <w:tc>
          <w:tcPr>
            <w:tcW w:type="dxa" w:w="720"/>
            <w:shd w:val="clear" w:color="auto" w:fill="FFEDD5"/>
          </w:tcPr>
          <w:p>
            <w:r>
              <w:rPr>
                <w:rFonts w:ascii="Arial" w:hAnsi="Arial"/>
                <w:sz w:val="18"/>
              </w:rPr>
              <w:t>C4</w:t>
            </w:r>
          </w:p>
        </w:tc>
        <w:tc>
          <w:tcPr>
            <w:tcW w:type="dxa" w:w="6048"/>
            <w:shd w:val="clear" w:color="auto" w:fill="FFEDD5"/>
          </w:tcPr>
          <w:p>
            <w:r>
              <w:rPr>
                <w:rFonts w:ascii="Arial" w:hAnsi="Arial"/>
                <w:sz w:val="18"/>
              </w:rPr>
              <w:t>Unificar compressImage (remover duplicata)</w:t>
            </w:r>
          </w:p>
        </w:tc>
        <w:tc>
          <w:tcPr>
            <w:tcW w:type="dxa" w:w="1152"/>
            <w:shd w:val="clear" w:color="auto" w:fill="FFEDD5"/>
          </w:tcPr>
          <w:p>
            <w:r>
              <w:rPr>
                <w:rFonts w:ascii="Arial" w:hAnsi="Arial"/>
                <w:sz w:val="18"/>
              </w:rPr>
              <w:t>2h</w:t>
            </w:r>
          </w:p>
        </w:tc>
        <w:tc>
          <w:tcPr>
            <w:tcW w:type="dxa" w:w="2016"/>
            <w:shd w:val="clear" w:color="auto" w:fill="FFEDD5"/>
          </w:tcPr>
          <w:p>
            <w:r>
              <w:rPr>
                <w:rFonts w:ascii="Arial" w:hAnsi="Arial"/>
                <w:sz w:val="18"/>
              </w:rPr>
              <w:t>Manutenção</w:t>
            </w:r>
          </w:p>
        </w:tc>
      </w:tr>
      <w:tr>
        <w:tc>
          <w:tcPr>
            <w:tcW w:type="dxa" w:w="864"/>
            <w:shd w:val="clear" w:color="auto" w:fill="FFEDD5"/>
          </w:tcPr>
          <w:p>
            <w:r>
              <w:rPr>
                <w:rFonts w:ascii="Arial" w:hAnsi="Arial"/>
                <w:b/>
                <w:sz w:val="18"/>
              </w:rPr>
              <w:t>S2</w:t>
            </w:r>
          </w:p>
        </w:tc>
        <w:tc>
          <w:tcPr>
            <w:tcW w:type="dxa" w:w="720"/>
            <w:shd w:val="clear" w:color="auto" w:fill="FFEDD5"/>
          </w:tcPr>
          <w:p>
            <w:r>
              <w:rPr>
                <w:rFonts w:ascii="Arial" w:hAnsi="Arial"/>
                <w:sz w:val="18"/>
              </w:rPr>
              <w:t>A3</w:t>
            </w:r>
          </w:p>
        </w:tc>
        <w:tc>
          <w:tcPr>
            <w:tcW w:type="dxa" w:w="6048"/>
            <w:shd w:val="clear" w:color="auto" w:fill="FFEDD5"/>
          </w:tcPr>
          <w:p>
            <w:r>
              <w:rPr>
                <w:rFonts w:ascii="Arial" w:hAnsi="Arial"/>
                <w:sz w:val="18"/>
              </w:rPr>
              <w:t>Paginação infinite scroll em Library.tsx</w:t>
            </w:r>
          </w:p>
        </w:tc>
        <w:tc>
          <w:tcPr>
            <w:tcW w:type="dxa" w:w="1152"/>
            <w:shd w:val="clear" w:color="auto" w:fill="FFEDD5"/>
          </w:tcPr>
          <w:p>
            <w:r>
              <w:rPr>
                <w:rFonts w:ascii="Arial" w:hAnsi="Arial"/>
                <w:sz w:val="18"/>
              </w:rPr>
              <w:t>4h</w:t>
            </w:r>
          </w:p>
        </w:tc>
        <w:tc>
          <w:tcPr>
            <w:tcW w:type="dxa" w:w="2016"/>
            <w:shd w:val="clear" w:color="auto" w:fill="FFEDD5"/>
          </w:tcPr>
          <w:p>
            <w:r>
              <w:rPr>
                <w:rFonts w:ascii="Arial" w:hAnsi="Arial"/>
                <w:sz w:val="18"/>
              </w:rPr>
              <w:t>Retenção</w:t>
            </w:r>
          </w:p>
        </w:tc>
      </w:tr>
      <w:tr>
        <w:tc>
          <w:tcPr>
            <w:tcW w:type="dxa" w:w="864"/>
            <w:shd w:val="clear" w:color="auto" w:fill="FFEDD5"/>
          </w:tcPr>
          <w:p>
            <w:r>
              <w:rPr>
                <w:rFonts w:ascii="Arial" w:hAnsi="Arial"/>
                <w:b/>
                <w:sz w:val="18"/>
              </w:rPr>
              <w:t>S2</w:t>
            </w:r>
          </w:p>
        </w:tc>
        <w:tc>
          <w:tcPr>
            <w:tcW w:type="dxa" w:w="720"/>
            <w:shd w:val="clear" w:color="auto" w:fill="FFEDD5"/>
          </w:tcPr>
          <w:p>
            <w:r>
              <w:rPr>
                <w:rFonts w:ascii="Arial" w:hAnsi="Arial"/>
                <w:sz w:val="18"/>
              </w:rPr>
              <w:t>A4</w:t>
            </w:r>
          </w:p>
        </w:tc>
        <w:tc>
          <w:tcPr>
            <w:tcW w:type="dxa" w:w="6048"/>
            <w:shd w:val="clear" w:color="auto" w:fill="FFEDD5"/>
          </w:tcPr>
          <w:p>
            <w:r>
              <w:rPr>
                <w:rFonts w:ascii="Arial" w:hAnsi="Arial"/>
                <w:sz w:val="18"/>
              </w:rPr>
              <w:t>Busca server-side na biblioteca</w:t>
            </w:r>
          </w:p>
        </w:tc>
        <w:tc>
          <w:tcPr>
            <w:tcW w:type="dxa" w:w="1152"/>
            <w:shd w:val="clear" w:color="auto" w:fill="FFEDD5"/>
          </w:tcPr>
          <w:p>
            <w:r>
              <w:rPr>
                <w:rFonts w:ascii="Arial" w:hAnsi="Arial"/>
                <w:sz w:val="18"/>
              </w:rPr>
              <w:t>3h</w:t>
            </w:r>
          </w:p>
        </w:tc>
        <w:tc>
          <w:tcPr>
            <w:tcW w:type="dxa" w:w="2016"/>
            <w:shd w:val="clear" w:color="auto" w:fill="FFEDD5"/>
          </w:tcPr>
          <w:p>
            <w:r>
              <w:rPr>
                <w:rFonts w:ascii="Arial" w:hAnsi="Arial"/>
                <w:sz w:val="18"/>
              </w:rPr>
              <w:t>Retenção</w:t>
            </w:r>
          </w:p>
        </w:tc>
      </w:tr>
      <w:tr>
        <w:tc>
          <w:tcPr>
            <w:tcW w:type="dxa" w:w="864"/>
            <w:shd w:val="clear" w:color="auto" w:fill="FFEDD5"/>
          </w:tcPr>
          <w:p>
            <w:r>
              <w:rPr>
                <w:rFonts w:ascii="Arial" w:hAnsi="Arial"/>
                <w:b/>
                <w:sz w:val="18"/>
              </w:rPr>
              <w:t>S2</w:t>
            </w:r>
          </w:p>
        </w:tc>
        <w:tc>
          <w:tcPr>
            <w:tcW w:type="dxa" w:w="720"/>
            <w:shd w:val="clear" w:color="auto" w:fill="FFEDD5"/>
          </w:tcPr>
          <w:p>
            <w:r>
              <w:rPr>
                <w:rFonts w:ascii="Arial" w:hAnsi="Arial"/>
                <w:sz w:val="18"/>
              </w:rPr>
              <w:t>M1</w:t>
            </w:r>
          </w:p>
        </w:tc>
        <w:tc>
          <w:tcPr>
            <w:tcW w:type="dxa" w:w="6048"/>
            <w:shd w:val="clear" w:color="auto" w:fill="FFEDD5"/>
          </w:tcPr>
          <w:p>
            <w:r>
              <w:rPr>
                <w:rFonts w:ascii="Arial" w:hAnsi="Arial"/>
                <w:sz w:val="18"/>
              </w:rPr>
              <w:t>Brand config via Supabase (sem localStorage race)</w:t>
            </w:r>
          </w:p>
        </w:tc>
        <w:tc>
          <w:tcPr>
            <w:tcW w:type="dxa" w:w="1152"/>
            <w:shd w:val="clear" w:color="auto" w:fill="FFEDD5"/>
          </w:tcPr>
          <w:p>
            <w:r>
              <w:rPr>
                <w:rFonts w:ascii="Arial" w:hAnsi="Arial"/>
                <w:sz w:val="18"/>
              </w:rPr>
              <w:t>4h</w:t>
            </w:r>
          </w:p>
        </w:tc>
        <w:tc>
          <w:tcPr>
            <w:tcW w:type="dxa" w:w="2016"/>
            <w:shd w:val="clear" w:color="auto" w:fill="FFEDD5"/>
          </w:tcPr>
          <w:p>
            <w:r>
              <w:rPr>
                <w:rFonts w:ascii="Arial" w:hAnsi="Arial"/>
                <w:sz w:val="18"/>
              </w:rPr>
              <w:t>Qualidade</w:t>
            </w:r>
          </w:p>
        </w:tc>
      </w:tr>
      <w:tr>
        <w:tc>
          <w:tcPr>
            <w:tcW w:type="dxa" w:w="864"/>
            <w:shd w:val="clear" w:color="auto" w:fill="FEF9C3"/>
          </w:tcPr>
          <w:p>
            <w:r>
              <w:rPr>
                <w:rFonts w:ascii="Arial" w:hAnsi="Arial"/>
                <w:b/>
                <w:sz w:val="18"/>
              </w:rPr>
              <w:t>S3</w:t>
            </w:r>
          </w:p>
        </w:tc>
        <w:tc>
          <w:tcPr>
            <w:tcW w:type="dxa" w:w="720"/>
            <w:shd w:val="clear" w:color="auto" w:fill="FEF9C3"/>
          </w:tcPr>
          <w:p>
            <w:r>
              <w:rPr>
                <w:rFonts w:ascii="Arial" w:hAnsi="Arial"/>
                <w:sz w:val="18"/>
              </w:rPr>
              <w:t>A5</w:t>
            </w:r>
          </w:p>
        </w:tc>
        <w:tc>
          <w:tcPr>
            <w:tcW w:type="dxa" w:w="6048"/>
            <w:shd w:val="clear" w:color="auto" w:fill="FEF9C3"/>
          </w:tcPr>
          <w:p>
            <w:r>
              <w:rPr>
                <w:rFonts w:ascii="Arial" w:hAnsi="Arial"/>
                <w:sz w:val="18"/>
              </w:rPr>
              <w:t>createSignedUrls() batch em getUserProducts()</w:t>
            </w:r>
          </w:p>
        </w:tc>
        <w:tc>
          <w:tcPr>
            <w:tcW w:type="dxa" w:w="1152"/>
            <w:shd w:val="clear" w:color="auto" w:fill="FEF9C3"/>
          </w:tcPr>
          <w:p>
            <w:r>
              <w:rPr>
                <w:rFonts w:ascii="Arial" w:hAnsi="Arial"/>
                <w:sz w:val="18"/>
              </w:rPr>
              <w:t>2h</w:t>
            </w:r>
          </w:p>
        </w:tc>
        <w:tc>
          <w:tcPr>
            <w:tcW w:type="dxa" w:w="2016"/>
            <w:shd w:val="clear" w:color="auto" w:fill="FEF9C3"/>
          </w:tcPr>
          <w:p>
            <w:r>
              <w:rPr>
                <w:rFonts w:ascii="Arial" w:hAnsi="Arial"/>
                <w:sz w:val="18"/>
              </w:rPr>
              <w:t>Performance</w:t>
            </w:r>
          </w:p>
        </w:tc>
      </w:tr>
      <w:tr>
        <w:tc>
          <w:tcPr>
            <w:tcW w:type="dxa" w:w="864"/>
            <w:shd w:val="clear" w:color="auto" w:fill="FEF9C3"/>
          </w:tcPr>
          <w:p>
            <w:r>
              <w:rPr>
                <w:rFonts w:ascii="Arial" w:hAnsi="Arial"/>
                <w:b/>
                <w:sz w:val="18"/>
              </w:rPr>
              <w:t>S3</w:t>
            </w:r>
          </w:p>
        </w:tc>
        <w:tc>
          <w:tcPr>
            <w:tcW w:type="dxa" w:w="720"/>
            <w:shd w:val="clear" w:color="auto" w:fill="FEF9C3"/>
          </w:tcPr>
          <w:p>
            <w:r>
              <w:rPr>
                <w:rFonts w:ascii="Arial" w:hAnsi="Arial"/>
                <w:sz w:val="18"/>
              </w:rPr>
              <w:t>M3</w:t>
            </w:r>
          </w:p>
        </w:tc>
        <w:tc>
          <w:tcPr>
            <w:tcW w:type="dxa" w:w="6048"/>
            <w:shd w:val="clear" w:color="auto" w:fill="FEF9C3"/>
          </w:tcPr>
          <w:p>
            <w:r>
              <w:rPr>
                <w:rFonts w:ascii="Arial" w:hAnsi="Arial"/>
                <w:sz w:val="18"/>
              </w:rPr>
              <w:t>FOR UPDATE no check_and_log_usage()</w:t>
            </w:r>
          </w:p>
        </w:tc>
        <w:tc>
          <w:tcPr>
            <w:tcW w:type="dxa" w:w="1152"/>
            <w:shd w:val="clear" w:color="auto" w:fill="FEF9C3"/>
          </w:tcPr>
          <w:p>
            <w:r>
              <w:rPr>
                <w:rFonts w:ascii="Arial" w:hAnsi="Arial"/>
                <w:sz w:val="18"/>
              </w:rPr>
              <w:t>1h</w:t>
            </w:r>
          </w:p>
        </w:tc>
        <w:tc>
          <w:tcPr>
            <w:tcW w:type="dxa" w:w="2016"/>
            <w:shd w:val="clear" w:color="auto" w:fill="FEF9C3"/>
          </w:tcPr>
          <w:p>
            <w:r>
              <w:rPr>
                <w:rFonts w:ascii="Arial" w:hAnsi="Arial"/>
                <w:sz w:val="18"/>
              </w:rPr>
              <w:t>Billing</w:t>
            </w:r>
          </w:p>
        </w:tc>
      </w:tr>
      <w:tr>
        <w:tc>
          <w:tcPr>
            <w:tcW w:type="dxa" w:w="864"/>
            <w:shd w:val="clear" w:color="auto" w:fill="FEF9C3"/>
          </w:tcPr>
          <w:p>
            <w:r>
              <w:rPr>
                <w:rFonts w:ascii="Arial" w:hAnsi="Arial"/>
                <w:b/>
                <w:sz w:val="18"/>
              </w:rPr>
              <w:t>S3</w:t>
            </w:r>
          </w:p>
        </w:tc>
        <w:tc>
          <w:tcPr>
            <w:tcW w:type="dxa" w:w="720"/>
            <w:shd w:val="clear" w:color="auto" w:fill="FEF9C3"/>
          </w:tcPr>
          <w:p>
            <w:r>
              <w:rPr>
                <w:rFonts w:ascii="Arial" w:hAnsi="Arial"/>
                <w:sz w:val="18"/>
              </w:rPr>
              <w:t>M2</w:t>
            </w:r>
          </w:p>
        </w:tc>
        <w:tc>
          <w:tcPr>
            <w:tcW w:type="dxa" w:w="6048"/>
            <w:shd w:val="clear" w:color="auto" w:fill="FEF9C3"/>
          </w:tcPr>
          <w:p>
            <w:r>
              <w:rPr>
                <w:rFonts w:ascii="Arial" w:hAnsi="Arial"/>
                <w:sz w:val="18"/>
              </w:rPr>
              <w:t>Toast de aviso: foto não carregada</w:t>
            </w:r>
          </w:p>
        </w:tc>
        <w:tc>
          <w:tcPr>
            <w:tcW w:type="dxa" w:w="1152"/>
            <w:shd w:val="clear" w:color="auto" w:fill="FEF9C3"/>
          </w:tcPr>
          <w:p>
            <w:r>
              <w:rPr>
                <w:rFonts w:ascii="Arial" w:hAnsi="Arial"/>
                <w:sz w:val="18"/>
              </w:rPr>
              <w:t>1h</w:t>
            </w:r>
          </w:p>
        </w:tc>
        <w:tc>
          <w:tcPr>
            <w:tcW w:type="dxa" w:w="2016"/>
            <w:shd w:val="clear" w:color="auto" w:fill="FEF9C3"/>
          </w:tcPr>
          <w:p>
            <w:r>
              <w:rPr>
                <w:rFonts w:ascii="Arial" w:hAnsi="Arial"/>
                <w:sz w:val="18"/>
              </w:rPr>
              <w:t>UX</w:t>
            </w:r>
          </w:p>
        </w:tc>
      </w:tr>
      <w:tr>
        <w:tc>
          <w:tcPr>
            <w:tcW w:type="dxa" w:w="864"/>
            <w:shd w:val="clear" w:color="auto" w:fill="FEF9C3"/>
          </w:tcPr>
          <w:p>
            <w:r>
              <w:rPr>
                <w:rFonts w:ascii="Arial" w:hAnsi="Arial"/>
                <w:b/>
                <w:sz w:val="18"/>
              </w:rPr>
              <w:t>S3</w:t>
            </w:r>
          </w:p>
        </w:tc>
        <w:tc>
          <w:tcPr>
            <w:tcW w:type="dxa" w:w="720"/>
            <w:shd w:val="clear" w:color="auto" w:fill="FEF9C3"/>
          </w:tcPr>
          <w:p>
            <w:r>
              <w:rPr>
                <w:rFonts w:ascii="Arial" w:hAnsi="Arial"/>
                <w:sz w:val="18"/>
              </w:rPr>
              <w:t>M5</w:t>
            </w:r>
          </w:p>
        </w:tc>
        <w:tc>
          <w:tcPr>
            <w:tcW w:type="dxa" w:w="6048"/>
            <w:shd w:val="clear" w:color="auto" w:fill="FEF9C3"/>
          </w:tcPr>
          <w:p>
            <w:r>
              <w:rPr>
                <w:rFonts w:ascii="Arial" w:hAnsi="Arial"/>
                <w:sz w:val="18"/>
              </w:rPr>
              <w:t>Feedback de upload de imagem no catálogo</w:t>
            </w:r>
          </w:p>
        </w:tc>
        <w:tc>
          <w:tcPr>
            <w:tcW w:type="dxa" w:w="1152"/>
            <w:shd w:val="clear" w:color="auto" w:fill="FEF9C3"/>
          </w:tcPr>
          <w:p>
            <w:r>
              <w:rPr>
                <w:rFonts w:ascii="Arial" w:hAnsi="Arial"/>
                <w:sz w:val="18"/>
              </w:rPr>
              <w:t>2h</w:t>
            </w:r>
          </w:p>
        </w:tc>
        <w:tc>
          <w:tcPr>
            <w:tcW w:type="dxa" w:w="2016"/>
            <w:shd w:val="clear" w:color="auto" w:fill="FEF9C3"/>
          </w:tcPr>
          <w:p>
            <w:r>
              <w:rPr>
                <w:rFonts w:ascii="Arial" w:hAnsi="Arial"/>
                <w:sz w:val="18"/>
              </w:rPr>
              <w:t>UX</w:t>
            </w:r>
          </w:p>
        </w:tc>
      </w:tr>
      <w:tr>
        <w:tc>
          <w:tcPr>
            <w:tcW w:type="dxa" w:w="864"/>
            <w:shd w:val="clear" w:color="auto" w:fill="DCFCE7"/>
          </w:tcPr>
          <w:p>
            <w:r>
              <w:rPr>
                <w:rFonts w:ascii="Arial" w:hAnsi="Arial"/>
                <w:b/>
                <w:sz w:val="18"/>
              </w:rPr>
              <w:t>S4</w:t>
            </w:r>
          </w:p>
        </w:tc>
        <w:tc>
          <w:tcPr>
            <w:tcW w:type="dxa" w:w="720"/>
            <w:shd w:val="clear" w:color="auto" w:fill="DCFCE7"/>
          </w:tcPr>
          <w:p>
            <w:r>
              <w:rPr>
                <w:rFonts w:ascii="Arial" w:hAnsi="Arial"/>
                <w:sz w:val="18"/>
              </w:rPr>
              <w:t>A6</w:t>
            </w:r>
          </w:p>
        </w:tc>
        <w:tc>
          <w:tcPr>
            <w:tcW w:type="dxa" w:w="6048"/>
            <w:shd w:val="clear" w:color="auto" w:fill="DCFCE7"/>
          </w:tcPr>
          <w:p>
            <w:r>
              <w:rPr>
                <w:rFonts w:ascii="Arial" w:hAnsi="Arial"/>
                <w:sz w:val="18"/>
              </w:rPr>
              <w:t>Proxy OFF via edge function + cache Redis</w:t>
            </w:r>
          </w:p>
        </w:tc>
        <w:tc>
          <w:tcPr>
            <w:tcW w:type="dxa" w:w="1152"/>
            <w:shd w:val="clear" w:color="auto" w:fill="DCFCE7"/>
          </w:tcPr>
          <w:p>
            <w:r>
              <w:rPr>
                <w:rFonts w:ascii="Arial" w:hAnsi="Arial"/>
                <w:sz w:val="18"/>
              </w:rPr>
              <w:t>4h</w:t>
            </w:r>
          </w:p>
        </w:tc>
        <w:tc>
          <w:tcPr>
            <w:tcW w:type="dxa" w:w="2016"/>
            <w:shd w:val="clear" w:color="auto" w:fill="DCFCE7"/>
          </w:tcPr>
          <w:p>
            <w:r>
              <w:rPr>
                <w:rFonts w:ascii="Arial" w:hAnsi="Arial"/>
                <w:sz w:val="18"/>
              </w:rPr>
              <w:t>Privacidade</w:t>
            </w:r>
          </w:p>
        </w:tc>
      </w:tr>
      <w:tr>
        <w:tc>
          <w:tcPr>
            <w:tcW w:type="dxa" w:w="864"/>
            <w:shd w:val="clear" w:color="auto" w:fill="DCFCE7"/>
          </w:tcPr>
          <w:p>
            <w:r>
              <w:rPr>
                <w:rFonts w:ascii="Arial" w:hAnsi="Arial"/>
                <w:b/>
                <w:sz w:val="18"/>
              </w:rPr>
              <w:t>S4</w:t>
            </w:r>
          </w:p>
        </w:tc>
        <w:tc>
          <w:tcPr>
            <w:tcW w:type="dxa" w:w="720"/>
            <w:shd w:val="clear" w:color="auto" w:fill="DCFCE7"/>
          </w:tcPr>
          <w:p>
            <w:r>
              <w:rPr>
                <w:rFonts w:ascii="Arial" w:hAnsi="Arial"/>
                <w:sz w:val="18"/>
              </w:rPr>
              <w:t>A2</w:t>
            </w:r>
          </w:p>
        </w:tc>
        <w:tc>
          <w:tcPr>
            <w:tcW w:type="dxa" w:w="6048"/>
            <w:shd w:val="clear" w:color="auto" w:fill="DCFCE7"/>
          </w:tcPr>
          <w:p>
            <w:r>
              <w:rPr>
                <w:rFonts w:ascii="Arial" w:hAnsi="Arial"/>
                <w:sz w:val="18"/>
              </w:rPr>
              <w:t>deleteProduct() via edge function</w:t>
            </w:r>
          </w:p>
        </w:tc>
        <w:tc>
          <w:tcPr>
            <w:tcW w:type="dxa" w:w="1152"/>
            <w:shd w:val="clear" w:color="auto" w:fill="DCFCE7"/>
          </w:tcPr>
          <w:p>
            <w:r>
              <w:rPr>
                <w:rFonts w:ascii="Arial" w:hAnsi="Arial"/>
                <w:sz w:val="18"/>
              </w:rPr>
              <w:t>3h</w:t>
            </w:r>
          </w:p>
        </w:tc>
        <w:tc>
          <w:tcPr>
            <w:tcW w:type="dxa" w:w="2016"/>
            <w:shd w:val="clear" w:color="auto" w:fill="DCFCE7"/>
          </w:tcPr>
          <w:p>
            <w:r>
              <w:rPr>
                <w:rFonts w:ascii="Arial" w:hAnsi="Arial"/>
                <w:sz w:val="18"/>
              </w:rPr>
              <w:t>Segurança</w:t>
            </w:r>
          </w:p>
        </w:tc>
      </w:tr>
      <w:tr>
        <w:tc>
          <w:tcPr>
            <w:tcW w:type="dxa" w:w="864"/>
            <w:shd w:val="clear" w:color="auto" w:fill="DCFCE7"/>
          </w:tcPr>
          <w:p>
            <w:r>
              <w:rPr>
                <w:rFonts w:ascii="Arial" w:hAnsi="Arial"/>
                <w:b/>
                <w:sz w:val="18"/>
              </w:rPr>
              <w:t>S4</w:t>
            </w:r>
          </w:p>
        </w:tc>
        <w:tc>
          <w:tcPr>
            <w:tcW w:type="dxa" w:w="720"/>
            <w:shd w:val="clear" w:color="auto" w:fill="DCFCE7"/>
          </w:tcPr>
          <w:p>
            <w:r>
              <w:rPr>
                <w:rFonts w:ascii="Arial" w:hAnsi="Arial"/>
                <w:sz w:val="18"/>
              </w:rPr>
              <w:t>M4</w:t>
            </w:r>
          </w:p>
        </w:tc>
        <w:tc>
          <w:tcPr>
            <w:tcW w:type="dxa" w:w="6048"/>
            <w:shd w:val="clear" w:color="auto" w:fill="DCFCE7"/>
          </w:tcPr>
          <w:p>
            <w:r>
              <w:rPr>
                <w:rFonts w:ascii="Arial" w:hAnsi="Arial"/>
                <w:sz w:val="18"/>
              </w:rPr>
              <w:t>Normalizar deduplicação de produto</w:t>
            </w:r>
          </w:p>
        </w:tc>
        <w:tc>
          <w:tcPr>
            <w:tcW w:type="dxa" w:w="1152"/>
            <w:shd w:val="clear" w:color="auto" w:fill="DCFCE7"/>
          </w:tcPr>
          <w:p>
            <w:r>
              <w:rPr>
                <w:rFonts w:ascii="Arial" w:hAnsi="Arial"/>
                <w:sz w:val="18"/>
              </w:rPr>
              <w:t>1h</w:t>
            </w:r>
          </w:p>
        </w:tc>
        <w:tc>
          <w:tcPr>
            <w:tcW w:type="dxa" w:w="2016"/>
            <w:shd w:val="clear" w:color="auto" w:fill="DCFCE7"/>
          </w:tcPr>
          <w:p>
            <w:r>
              <w:rPr>
                <w:rFonts w:ascii="Arial" w:hAnsi="Arial"/>
                <w:sz w:val="18"/>
              </w:rPr>
              <w:t>Qualidade</w:t>
            </w:r>
          </w:p>
        </w:tc>
      </w:tr>
      <w:tr>
        <w:tc>
          <w:tcPr>
            <w:tcW w:type="dxa" w:w="864"/>
            <w:shd w:val="clear" w:color="auto" w:fill="F1F5F9"/>
          </w:tcPr>
          <w:p>
            <w:r>
              <w:rPr>
                <w:rFonts w:ascii="Arial" w:hAnsi="Arial"/>
                <w:b/>
                <w:sz w:val="18"/>
              </w:rPr>
              <w:t>S5</w:t>
            </w:r>
          </w:p>
        </w:tc>
        <w:tc>
          <w:tcPr>
            <w:tcW w:type="dxa" w:w="720"/>
            <w:shd w:val="clear" w:color="auto" w:fill="F1F5F9"/>
          </w:tcPr>
          <w:p>
            <w:r>
              <w:rPr>
                <w:rFonts w:ascii="Arial" w:hAnsi="Arial"/>
                <w:sz w:val="18"/>
              </w:rPr>
              <w:t>B1</w:t>
            </w:r>
          </w:p>
        </w:tc>
        <w:tc>
          <w:tcPr>
            <w:tcW w:type="dxa" w:w="6048"/>
            <w:shd w:val="clear" w:color="auto" w:fill="F1F5F9"/>
          </w:tcPr>
          <w:p>
            <w:r>
              <w:rPr>
                <w:rFonts w:ascii="Arial" w:hAnsi="Arial"/>
                <w:sz w:val="18"/>
              </w:rPr>
              <w:t>Testes: voiceParser + promptEngine</w:t>
            </w:r>
          </w:p>
        </w:tc>
        <w:tc>
          <w:tcPr>
            <w:tcW w:type="dxa" w:w="1152"/>
            <w:shd w:val="clear" w:color="auto" w:fill="F1F5F9"/>
          </w:tcPr>
          <w:p>
            <w:r>
              <w:rPr>
                <w:rFonts w:ascii="Arial" w:hAnsi="Arial"/>
                <w:sz w:val="18"/>
              </w:rPr>
              <w:t>6h</w:t>
            </w:r>
          </w:p>
        </w:tc>
        <w:tc>
          <w:tcPr>
            <w:tcW w:type="dxa" w:w="2016"/>
            <w:shd w:val="clear" w:color="auto" w:fill="F1F5F9"/>
          </w:tcPr>
          <w:p>
            <w:r>
              <w:rPr>
                <w:rFonts w:ascii="Arial" w:hAnsi="Arial"/>
                <w:sz w:val="18"/>
              </w:rPr>
              <w:t>Qualidade</w:t>
            </w:r>
          </w:p>
        </w:tc>
      </w:tr>
      <w:tr>
        <w:tc>
          <w:tcPr>
            <w:tcW w:type="dxa" w:w="864"/>
            <w:shd w:val="clear" w:color="auto" w:fill="F1F5F9"/>
          </w:tcPr>
          <w:p>
            <w:r>
              <w:rPr>
                <w:rFonts w:ascii="Arial" w:hAnsi="Arial"/>
                <w:b/>
                <w:sz w:val="18"/>
              </w:rPr>
              <w:t>S5</w:t>
            </w:r>
          </w:p>
        </w:tc>
        <w:tc>
          <w:tcPr>
            <w:tcW w:type="dxa" w:w="720"/>
            <w:shd w:val="clear" w:color="auto" w:fill="F1F5F9"/>
          </w:tcPr>
          <w:p>
            <w:r>
              <w:rPr>
                <w:rFonts w:ascii="Arial" w:hAnsi="Arial"/>
                <w:sz w:val="18"/>
              </w:rPr>
              <w:t>B2</w:t>
            </w:r>
          </w:p>
        </w:tc>
        <w:tc>
          <w:tcPr>
            <w:tcW w:type="dxa" w:w="6048"/>
            <w:shd w:val="clear" w:color="auto" w:fill="F1F5F9"/>
          </w:tcPr>
          <w:p>
            <w:r>
              <w:rPr>
                <w:rFonts w:ascii="Arial" w:hAnsi="Arial"/>
                <w:sz w:val="18"/>
              </w:rPr>
              <w:t>Deletar useGeneration.ts ou concluir refactor</w:t>
            </w:r>
          </w:p>
        </w:tc>
        <w:tc>
          <w:tcPr>
            <w:tcW w:type="dxa" w:w="1152"/>
            <w:shd w:val="clear" w:color="auto" w:fill="F1F5F9"/>
          </w:tcPr>
          <w:p>
            <w:r>
              <w:rPr>
                <w:rFonts w:ascii="Arial" w:hAnsi="Arial"/>
                <w:sz w:val="18"/>
              </w:rPr>
              <w:t>2h</w:t>
            </w:r>
          </w:p>
        </w:tc>
        <w:tc>
          <w:tcPr>
            <w:tcW w:type="dxa" w:w="2016"/>
            <w:shd w:val="clear" w:color="auto" w:fill="F1F5F9"/>
          </w:tcPr>
          <w:p>
            <w:r>
              <w:rPr>
                <w:rFonts w:ascii="Arial" w:hAnsi="Arial"/>
                <w:sz w:val="18"/>
              </w:rPr>
              <w:t>Manutenção</w:t>
            </w:r>
          </w:p>
        </w:tc>
      </w:tr>
      <w:tr>
        <w:tc>
          <w:tcPr>
            <w:tcW w:type="dxa" w:w="864"/>
            <w:shd w:val="clear" w:color="auto" w:fill="F1F5F9"/>
          </w:tcPr>
          <w:p>
            <w:r>
              <w:rPr>
                <w:rFonts w:ascii="Arial" w:hAnsi="Arial"/>
                <w:b/>
                <w:sz w:val="18"/>
              </w:rPr>
              <w:t>S5</w:t>
            </w:r>
          </w:p>
        </w:tc>
        <w:tc>
          <w:tcPr>
            <w:tcW w:type="dxa" w:w="720"/>
            <w:shd w:val="clear" w:color="auto" w:fill="F1F5F9"/>
          </w:tcPr>
          <w:p>
            <w:r>
              <w:rPr>
                <w:rFonts w:ascii="Arial" w:hAnsi="Arial"/>
                <w:sz w:val="18"/>
              </w:rPr>
              <w:t>B4</w:t>
            </w:r>
          </w:p>
        </w:tc>
        <w:tc>
          <w:tcPr>
            <w:tcW w:type="dxa" w:w="6048"/>
            <w:shd w:val="clear" w:color="auto" w:fill="F1F5F9"/>
          </w:tcPr>
          <w:p>
            <w:r>
              <w:rPr>
                <w:rFonts w:ascii="Arial" w:hAnsi="Arial"/>
                <w:sz w:val="18"/>
              </w:rPr>
              <w:t>supabase gen types no CI</w:t>
            </w:r>
          </w:p>
        </w:tc>
        <w:tc>
          <w:tcPr>
            <w:tcW w:type="dxa" w:w="1152"/>
            <w:shd w:val="clear" w:color="auto" w:fill="F1F5F9"/>
          </w:tcPr>
          <w:p>
            <w:r>
              <w:rPr>
                <w:rFonts w:ascii="Arial" w:hAnsi="Arial"/>
                <w:sz w:val="18"/>
              </w:rPr>
              <w:t>2h</w:t>
            </w:r>
          </w:p>
        </w:tc>
        <w:tc>
          <w:tcPr>
            <w:tcW w:type="dxa" w:w="2016"/>
            <w:shd w:val="clear" w:color="auto" w:fill="F1F5F9"/>
          </w:tcPr>
          <w:p>
            <w:r>
              <w:rPr>
                <w:rFonts w:ascii="Arial" w:hAnsi="Arial"/>
                <w:sz w:val="18"/>
              </w:rPr>
              <w:t>TypeSafety</w:t>
            </w:r>
          </w:p>
        </w:tc>
      </w:tr>
      <w:tr>
        <w:tc>
          <w:tcPr>
            <w:tcW w:type="dxa" w:w="864"/>
            <w:shd w:val="clear" w:color="auto" w:fill="F1F5F9"/>
          </w:tcPr>
          <w:p>
            <w:r>
              <w:rPr>
                <w:rFonts w:ascii="Arial" w:hAnsi="Arial"/>
                <w:b/>
                <w:sz w:val="18"/>
              </w:rPr>
              <w:t>S5</w:t>
            </w:r>
          </w:p>
        </w:tc>
        <w:tc>
          <w:tcPr>
            <w:tcW w:type="dxa" w:w="720"/>
            <w:shd w:val="clear" w:color="auto" w:fill="F1F5F9"/>
          </w:tcPr>
          <w:p>
            <w:r>
              <w:rPr>
                <w:rFonts w:ascii="Arial" w:hAnsi="Arial"/>
                <w:sz w:val="18"/>
              </w:rPr>
              <w:t>—</w:t>
            </w:r>
          </w:p>
        </w:tc>
        <w:tc>
          <w:tcPr>
            <w:tcW w:type="dxa" w:w="6048"/>
            <w:shd w:val="clear" w:color="auto" w:fill="F1F5F9"/>
          </w:tcPr>
          <w:p>
            <w:r>
              <w:rPr>
                <w:rFonts w:ascii="Arial" w:hAnsi="Arial"/>
                <w:sz w:val="18"/>
              </w:rPr>
              <w:t>Revisão geral de edge cases pós-billing</w:t>
            </w:r>
          </w:p>
        </w:tc>
        <w:tc>
          <w:tcPr>
            <w:tcW w:type="dxa" w:w="1152"/>
            <w:shd w:val="clear" w:color="auto" w:fill="F1F5F9"/>
          </w:tcPr>
          <w:p>
            <w:r>
              <w:rPr>
                <w:rFonts w:ascii="Arial" w:hAnsi="Arial"/>
                <w:sz w:val="18"/>
              </w:rPr>
              <w:t>4h</w:t>
            </w:r>
          </w:p>
        </w:tc>
        <w:tc>
          <w:tcPr>
            <w:tcW w:type="dxa" w:w="2016"/>
            <w:shd w:val="clear" w:color="auto" w:fill="F1F5F9"/>
          </w:tcPr>
          <w:p>
            <w:r>
              <w:rPr>
                <w:rFonts w:ascii="Arial" w:hAnsi="Arial"/>
                <w:sz w:val="18"/>
              </w:rPr>
              <w:t>Monetização</w:t>
            </w:r>
          </w:p>
        </w:tc>
      </w:tr>
    </w:tbl>
    <w:p>
      <w:r>
        <w:br w:type="page"/>
      </w:r>
    </w:p>
    <w:p>
      <w:pPr>
        <w:pStyle w:val="Heading1"/>
      </w:pPr>
      <w:r>
        <w:rPr>
          <w:rFonts w:ascii="Arial" w:hAnsi="Arial"/>
          <w:color w:val="1E40AF"/>
          <w:sz w:val="34"/>
        </w:rPr>
        <w:t>6. Estratégia de Precificação do SaaS</w:t>
      </w:r>
    </w:p>
    <w:p>
      <w:r>
        <w:rPr>
          <w:rFonts w:ascii="Arial" w:hAnsi="Arial"/>
          <w:b w:val="0"/>
          <w:i w:val="0"/>
          <w:sz w:val="21"/>
        </w:rPr>
        <w:t>Esta seção analisa os custos reais do produto e modelos de cobrança que garantem margem positiva, considerando o perfil do usuário-alvo (pequeno comércio de varejo brasileiro).</w:t>
      </w:r>
    </w:p>
    <w:p/>
    <w:p>
      <w:pPr>
        <w:pStyle w:val="Heading2"/>
      </w:pPr>
      <w:r>
        <w:rPr>
          <w:rFonts w:ascii="Arial" w:hAnsi="Arial"/>
          <w:color w:val="475569"/>
          <w:sz w:val="26"/>
        </w:rPr>
        <w:t>6.1 Estrutura de Custos Variáveis por Geração</w:t>
      </w:r>
    </w:p>
    <w:p>
      <w:r>
        <w:rPr>
          <w:rFonts w:ascii="Arial" w:hAnsi="Arial"/>
          <w:b w:val="0"/>
          <w:i w:val="0"/>
          <w:sz w:val="21"/>
        </w:rPr>
        <w:t>Cada geração de imagem incorre nos custos abaixo. Os valores são aproximados com base na precificação pública da fal.ai e Supabase (maio/2025):</w:t>
      </w:r>
    </w:p>
    <w:p/>
    <w:tbl>
      <w:tblPr>
        <w:tblStyle w:val="TableGrid"/>
        <w:tblW w:type="auto" w:w="0"/>
        <w:jc w:val="left"/>
        <w:tblLook w:firstColumn="1" w:firstRow="1" w:lastColumn="0" w:lastRow="0" w:noHBand="0" w:noVBand="1" w:val="04A0"/>
      </w:tblPr>
      <w:tblGrid>
        <w:gridCol w:w="3120"/>
        <w:gridCol w:w="3120"/>
        <w:gridCol w:w="3120"/>
      </w:tblGrid>
      <w:tr>
        <w:tc>
          <w:tcPr>
            <w:tcW w:type="dxa" w:w="5040"/>
            <w:shd w:val="clear" w:color="auto" w:fill="1E3A8A"/>
          </w:tcPr>
          <w:p>
            <w:r>
              <w:rPr>
                <w:rFonts w:ascii="Arial" w:hAnsi="Arial"/>
                <w:b/>
                <w:color w:val="FFFFFF"/>
                <w:sz w:val="20"/>
              </w:rPr>
              <w:t>Componente</w:t>
            </w:r>
          </w:p>
        </w:tc>
        <w:tc>
          <w:tcPr>
            <w:tcW w:type="dxa" w:w="2592"/>
            <w:shd w:val="clear" w:color="auto" w:fill="1E3A8A"/>
          </w:tcPr>
          <w:p>
            <w:r>
              <w:rPr>
                <w:rFonts w:ascii="Arial" w:hAnsi="Arial"/>
                <w:b/>
                <w:color w:val="FFFFFF"/>
                <w:sz w:val="20"/>
              </w:rPr>
              <w:t>Custo por Geração</w:t>
            </w:r>
          </w:p>
        </w:tc>
        <w:tc>
          <w:tcPr>
            <w:tcW w:type="dxa" w:w="3888"/>
            <w:shd w:val="clear" w:color="auto" w:fill="1E3A8A"/>
          </w:tcPr>
          <w:p>
            <w:r>
              <w:rPr>
                <w:rFonts w:ascii="Arial" w:hAnsi="Arial"/>
                <w:b/>
                <w:color w:val="FFFFFF"/>
                <w:sz w:val="20"/>
              </w:rPr>
              <w:t>Notas</w:t>
            </w:r>
          </w:p>
        </w:tc>
      </w:tr>
      <w:tr>
        <w:tc>
          <w:tcPr>
            <w:tcW w:type="dxa" w:w="5040"/>
            <w:shd w:val="clear" w:color="auto" w:fill="F8FAFC"/>
          </w:tcPr>
          <w:p>
            <w:r>
              <w:rPr>
                <w:rFonts w:ascii="Arial" w:hAnsi="Arial"/>
                <w:sz w:val="20"/>
              </w:rPr>
              <w:t>fal.ai Flux Schnell (padrão)</w:t>
            </w:r>
          </w:p>
        </w:tc>
        <w:tc>
          <w:tcPr>
            <w:tcW w:type="dxa" w:w="2592"/>
            <w:shd w:val="clear" w:color="auto" w:fill="F8FAFC"/>
          </w:tcPr>
          <w:p>
            <w:r>
              <w:rPr>
                <w:rFonts w:ascii="Arial" w:hAnsi="Arial"/>
                <w:sz w:val="20"/>
              </w:rPr>
              <w:t>~$0.003</w:t>
            </w:r>
          </w:p>
        </w:tc>
        <w:tc>
          <w:tcPr>
            <w:tcW w:type="dxa" w:w="3888"/>
            <w:shd w:val="clear" w:color="auto" w:fill="F8FAFC"/>
          </w:tcPr>
          <w:p>
            <w:r>
              <w:rPr>
                <w:rFonts w:ascii="Arial" w:hAnsi="Arial"/>
                <w:sz w:val="20"/>
              </w:rPr>
              <w:t>4 steps, 1024x1024</w:t>
            </w:r>
          </w:p>
        </w:tc>
      </w:tr>
      <w:tr>
        <w:tc>
          <w:tcPr>
            <w:tcW w:type="dxa" w:w="5040"/>
            <w:shd w:val="clear" w:color="auto" w:fill="FFFFFF"/>
          </w:tcPr>
          <w:p>
            <w:r>
              <w:rPr>
                <w:rFonts w:ascii="Arial" w:hAnsi="Arial"/>
                <w:sz w:val="20"/>
              </w:rPr>
              <w:t>fal.ai Flux Dev (qualidade)</w:t>
            </w:r>
          </w:p>
        </w:tc>
        <w:tc>
          <w:tcPr>
            <w:tcW w:type="dxa" w:w="2592"/>
            <w:shd w:val="clear" w:color="auto" w:fill="FFFFFF"/>
          </w:tcPr>
          <w:p>
            <w:r>
              <w:rPr>
                <w:rFonts w:ascii="Arial" w:hAnsi="Arial"/>
                <w:sz w:val="20"/>
              </w:rPr>
              <w:t>~$0.025</w:t>
            </w:r>
          </w:p>
        </w:tc>
        <w:tc>
          <w:tcPr>
            <w:tcW w:type="dxa" w:w="3888"/>
            <w:shd w:val="clear" w:color="auto" w:fill="FFFFFF"/>
          </w:tcPr>
          <w:p>
            <w:r>
              <w:rPr>
                <w:rFonts w:ascii="Arial" w:hAnsi="Arial"/>
                <w:sz w:val="20"/>
              </w:rPr>
              <w:t>28 steps, mais lento</w:t>
            </w:r>
          </w:p>
        </w:tc>
      </w:tr>
      <w:tr>
        <w:tc>
          <w:tcPr>
            <w:tcW w:type="dxa" w:w="5040"/>
            <w:shd w:val="clear" w:color="auto" w:fill="F8FAFC"/>
          </w:tcPr>
          <w:p>
            <w:r>
              <w:rPr>
                <w:rFonts w:ascii="Arial" w:hAnsi="Arial"/>
                <w:sz w:val="20"/>
              </w:rPr>
              <w:t>Supabase Storage upload (WebP)</w:t>
            </w:r>
          </w:p>
        </w:tc>
        <w:tc>
          <w:tcPr>
            <w:tcW w:type="dxa" w:w="2592"/>
            <w:shd w:val="clear" w:color="auto" w:fill="F8FAFC"/>
          </w:tcPr>
          <w:p>
            <w:r>
              <w:rPr>
                <w:rFonts w:ascii="Arial" w:hAnsi="Arial"/>
                <w:sz w:val="20"/>
              </w:rPr>
              <w:t>~$0.00002</w:t>
            </w:r>
          </w:p>
        </w:tc>
        <w:tc>
          <w:tcPr>
            <w:tcW w:type="dxa" w:w="3888"/>
            <w:shd w:val="clear" w:color="auto" w:fill="F8FAFC"/>
          </w:tcPr>
          <w:p>
            <w:r>
              <w:rPr>
                <w:rFonts w:ascii="Arial" w:hAnsi="Arial"/>
                <w:sz w:val="20"/>
              </w:rPr>
              <w:t>25GB free tier + $0.021/GB</w:t>
            </w:r>
          </w:p>
        </w:tc>
      </w:tr>
      <w:tr>
        <w:tc>
          <w:tcPr>
            <w:tcW w:type="dxa" w:w="5040"/>
            <w:shd w:val="clear" w:color="auto" w:fill="FFFFFF"/>
          </w:tcPr>
          <w:p>
            <w:r>
              <w:rPr>
                <w:rFonts w:ascii="Arial" w:hAnsi="Arial"/>
                <w:sz w:val="20"/>
              </w:rPr>
              <w:t>Supabase DB INSERT</w:t>
            </w:r>
          </w:p>
        </w:tc>
        <w:tc>
          <w:tcPr>
            <w:tcW w:type="dxa" w:w="2592"/>
            <w:shd w:val="clear" w:color="auto" w:fill="FFFFFF"/>
          </w:tcPr>
          <w:p>
            <w:r>
              <w:rPr>
                <w:rFonts w:ascii="Arial" w:hAnsi="Arial"/>
                <w:sz w:val="20"/>
              </w:rPr>
              <w:t>~$0.00001</w:t>
            </w:r>
          </w:p>
        </w:tc>
        <w:tc>
          <w:tcPr>
            <w:tcW w:type="dxa" w:w="3888"/>
            <w:shd w:val="clear" w:color="auto" w:fill="FFFFFF"/>
          </w:tcPr>
          <w:p>
            <w:r>
              <w:rPr>
                <w:rFonts w:ascii="Arial" w:hAnsi="Arial"/>
                <w:sz w:val="20"/>
              </w:rPr>
              <w:t>500MB free tier</w:t>
            </w:r>
          </w:p>
        </w:tc>
      </w:tr>
      <w:tr>
        <w:tc>
          <w:tcPr>
            <w:tcW w:type="dxa" w:w="5040"/>
            <w:shd w:val="clear" w:color="auto" w:fill="F8FAFC"/>
          </w:tcPr>
          <w:p>
            <w:r>
              <w:rPr>
                <w:rFonts w:ascii="Arial" w:hAnsi="Arial"/>
                <w:sz w:val="20"/>
              </w:rPr>
              <w:t>Supabase Edge Function invoke</w:t>
            </w:r>
          </w:p>
        </w:tc>
        <w:tc>
          <w:tcPr>
            <w:tcW w:type="dxa" w:w="2592"/>
            <w:shd w:val="clear" w:color="auto" w:fill="F8FAFC"/>
          </w:tcPr>
          <w:p>
            <w:r>
              <w:rPr>
                <w:rFonts w:ascii="Arial" w:hAnsi="Arial"/>
                <w:sz w:val="20"/>
              </w:rPr>
              <w:t>~$0.000002</w:t>
            </w:r>
          </w:p>
        </w:tc>
        <w:tc>
          <w:tcPr>
            <w:tcW w:type="dxa" w:w="3888"/>
            <w:shd w:val="clear" w:color="auto" w:fill="F8FAFC"/>
          </w:tcPr>
          <w:p>
            <w:r>
              <w:rPr>
                <w:rFonts w:ascii="Arial" w:hAnsi="Arial"/>
                <w:sz w:val="20"/>
              </w:rPr>
              <w:t>2M invocações free/mês</w:t>
            </w:r>
          </w:p>
        </w:tc>
      </w:tr>
      <w:tr>
        <w:tc>
          <w:tcPr>
            <w:tcW w:type="dxa" w:w="5040"/>
            <w:shd w:val="clear" w:color="auto" w:fill="FFFFFF"/>
          </w:tcPr>
          <w:p>
            <w:r>
              <w:rPr>
                <w:rFonts w:ascii="Arial" w:hAnsi="Arial"/>
                <w:sz w:val="20"/>
              </w:rPr>
              <w:t>Upstash Redis (rate limit)</w:t>
            </w:r>
          </w:p>
        </w:tc>
        <w:tc>
          <w:tcPr>
            <w:tcW w:type="dxa" w:w="2592"/>
            <w:shd w:val="clear" w:color="auto" w:fill="FFFFFF"/>
          </w:tcPr>
          <w:p>
            <w:r>
              <w:rPr>
                <w:rFonts w:ascii="Arial" w:hAnsi="Arial"/>
                <w:sz w:val="20"/>
              </w:rPr>
              <w:t>~$0.00001</w:t>
            </w:r>
          </w:p>
        </w:tc>
        <w:tc>
          <w:tcPr>
            <w:tcW w:type="dxa" w:w="3888"/>
            <w:shd w:val="clear" w:color="auto" w:fill="FFFFFF"/>
          </w:tcPr>
          <w:p>
            <w:r>
              <w:rPr>
                <w:rFonts w:ascii="Arial" w:hAnsi="Arial"/>
                <w:sz w:val="20"/>
              </w:rPr>
              <w:t>10k req/dia free tier</w:t>
            </w:r>
          </w:p>
        </w:tc>
      </w:tr>
      <w:tr>
        <w:tc>
          <w:tcPr>
            <w:tcW w:type="dxa" w:w="5040"/>
            <w:shd w:val="clear" w:color="auto" w:fill="DCFCE7"/>
          </w:tcPr>
          <w:p>
            <w:r>
              <w:rPr>
                <w:rFonts w:ascii="Arial" w:hAnsi="Arial"/>
                <w:b/>
                <w:sz w:val="20"/>
              </w:rPr>
              <w:t>TOTAL (Schnell)</w:t>
            </w:r>
          </w:p>
        </w:tc>
        <w:tc>
          <w:tcPr>
            <w:tcW w:type="dxa" w:w="2592"/>
            <w:shd w:val="clear" w:color="auto" w:fill="DCFCE7"/>
          </w:tcPr>
          <w:p>
            <w:r>
              <w:rPr>
                <w:rFonts w:ascii="Arial" w:hAnsi="Arial"/>
                <w:b/>
                <w:sz w:val="20"/>
              </w:rPr>
              <w:t>~$0.003</w:t>
            </w:r>
          </w:p>
        </w:tc>
        <w:tc>
          <w:tcPr>
            <w:tcW w:type="dxa" w:w="3888"/>
            <w:shd w:val="clear" w:color="auto" w:fill="DCFCE7"/>
          </w:tcPr>
          <w:p>
            <w:r>
              <w:rPr>
                <w:rFonts w:ascii="Arial" w:hAnsi="Arial"/>
                <w:b/>
                <w:sz w:val="20"/>
              </w:rPr>
              <w:t>R$ ~0,017 no câmbio atual</w:t>
            </w:r>
          </w:p>
        </w:tc>
      </w:tr>
    </w:tbl>
    <w:p/>
    <w:p>
      <w:r>
        <w:rPr>
          <w:rFonts w:ascii="Arial" w:hAnsi="Arial"/>
          <w:b w:val="0"/>
          <w:i w:val="0"/>
          <w:sz w:val="21"/>
        </w:rPr>
        <w:t>Custo fixo mensal adicional: Supabase Pro (~$25/mês para projetos com usuários), Sentry (~$26/mês para 50k erros), PostHog ($0 até 1M eventos). Total fixo estimado: ~R$ 250/mês para operação básica.</w:t>
      </w:r>
    </w:p>
    <w:p/>
    <w:p>
      <w:pPr>
        <w:pStyle w:val="Heading2"/>
      </w:pPr>
      <w:r>
        <w:rPr>
          <w:rFonts w:ascii="Arial" w:hAnsi="Arial"/>
          <w:color w:val="475569"/>
          <w:sz w:val="26"/>
        </w:rPr>
        <w:t>6.2 Modelos de Cobrança Analisados</w:t>
      </w:r>
    </w:p>
    <w:p/>
    <w:p>
      <w:pPr>
        <w:pStyle w:val="Heading3"/>
      </w:pPr>
      <w:r>
        <w:rPr>
          <w:rFonts w:ascii="Arial" w:hAnsi="Arial"/>
          <w:color w:val="475569"/>
          <w:sz w:val="22"/>
        </w:rPr>
        <w:t>Opção A — Pay-per-use puro (DESCARTADO)</w:t>
      </w:r>
    </w:p>
    <w:p>
      <w:r>
        <w:rPr>
          <w:rFonts w:ascii="Arial" w:hAnsi="Arial"/>
          <w:b w:val="0"/>
          <w:i w:val="0"/>
          <w:sz w:val="21"/>
        </w:rPr>
        <w:t>Cobrar por geração (ex: R$ 0,50/arte). Matematicamente viável (custo ~R$ 0,017), mas inviável comercialmente: o público-alvo (dono de mercearia, açougue) não aceita microtransações. Gera fricção em cada uso e dificulta previsibilidade de receita.</w:t>
      </w:r>
    </w:p>
    <w:p/>
    <w:p>
      <w:pPr>
        <w:pStyle w:val="Heading3"/>
      </w:pPr>
      <w:r>
        <w:rPr>
          <w:rFonts w:ascii="Arial" w:hAnsi="Arial"/>
          <w:color w:val="475569"/>
          <w:sz w:val="22"/>
        </w:rPr>
        <w:t>Opção B — Freemium + Planos Mensais (RECOMENDADO)</w:t>
      </w:r>
    </w:p>
    <w:p>
      <w:r>
        <w:rPr>
          <w:rFonts w:ascii="Arial" w:hAnsi="Arial"/>
          <w:b w:val="0"/>
          <w:i w:val="0"/>
          <w:sz w:val="21"/>
        </w:rPr>
        <w:t>Estrutura de 3 tiers:</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val="clear" w:color="auto" w:fill="1E3A8A"/>
          </w:tcPr>
          <w:p>
            <w:r>
              <w:rPr>
                <w:rFonts w:ascii="Arial" w:hAnsi="Arial"/>
                <w:b/>
                <w:color w:val="FFFFFF"/>
                <w:sz w:val="20"/>
              </w:rPr>
              <w:t>Plano</w:t>
            </w:r>
          </w:p>
        </w:tc>
        <w:tc>
          <w:tcPr>
            <w:tcW w:type="dxa" w:w="2160"/>
            <w:shd w:val="clear" w:color="auto" w:fill="1E3A8A"/>
          </w:tcPr>
          <w:p>
            <w:r>
              <w:rPr>
                <w:rFonts w:ascii="Arial" w:hAnsi="Arial"/>
                <w:b/>
                <w:color w:val="FFFFFF"/>
                <w:sz w:val="20"/>
              </w:rPr>
              <w:t>Preço/mês</w:t>
            </w:r>
          </w:p>
        </w:tc>
        <w:tc>
          <w:tcPr>
            <w:tcW w:type="dxa" w:w="2880"/>
            <w:shd w:val="clear" w:color="auto" w:fill="1E3A8A"/>
          </w:tcPr>
          <w:p>
            <w:r>
              <w:rPr>
                <w:rFonts w:ascii="Arial" w:hAnsi="Arial"/>
                <w:b/>
                <w:color w:val="FFFFFF"/>
                <w:sz w:val="20"/>
              </w:rPr>
              <w:t>Gerações/dia</w:t>
            </w:r>
          </w:p>
        </w:tc>
        <w:tc>
          <w:tcPr>
            <w:tcW w:type="dxa" w:w="4320"/>
            <w:shd w:val="clear" w:color="auto" w:fill="1E3A8A"/>
          </w:tcPr>
          <w:p>
            <w:r>
              <w:rPr>
                <w:rFonts w:ascii="Arial" w:hAnsi="Arial"/>
                <w:b/>
                <w:color w:val="FFFFFF"/>
                <w:sz w:val="20"/>
              </w:rPr>
              <w:t>Margem estimada</w:t>
            </w:r>
          </w:p>
        </w:tc>
      </w:tr>
      <w:tr>
        <w:tc>
          <w:tcPr>
            <w:tcW w:type="dxa" w:w="2880"/>
            <w:shd w:val="clear" w:color="auto" w:fill="F1F5F9"/>
          </w:tcPr>
          <w:p>
            <w:r>
              <w:rPr>
                <w:rFonts w:ascii="Arial" w:hAnsi="Arial"/>
                <w:b/>
                <w:sz w:val="20"/>
              </w:rPr>
              <w:t>Free (guest)</w:t>
            </w:r>
          </w:p>
        </w:tc>
        <w:tc>
          <w:tcPr>
            <w:tcW w:type="dxa" w:w="2160"/>
            <w:shd w:val="clear" w:color="auto" w:fill="F1F5F9"/>
          </w:tcPr>
          <w:p>
            <w:r>
              <w:rPr>
                <w:rFonts w:ascii="Arial" w:hAnsi="Arial"/>
                <w:b/>
                <w:sz w:val="20"/>
              </w:rPr>
              <w:t>R$ 0</w:t>
            </w:r>
          </w:p>
        </w:tc>
        <w:tc>
          <w:tcPr>
            <w:tcW w:type="dxa" w:w="2880"/>
            <w:shd w:val="clear" w:color="auto" w:fill="F1F5F9"/>
          </w:tcPr>
          <w:p>
            <w:r>
              <w:rPr>
                <w:rFonts w:ascii="Arial" w:hAnsi="Arial"/>
                <w:sz w:val="20"/>
              </w:rPr>
              <w:t>3 gerações/24h (anônimo)</w:t>
            </w:r>
          </w:p>
        </w:tc>
        <w:tc>
          <w:tcPr>
            <w:tcW w:type="dxa" w:w="4320"/>
            <w:shd w:val="clear" w:color="auto" w:fill="F1F5F9"/>
          </w:tcPr>
          <w:p>
            <w:r>
              <w:rPr>
                <w:rFonts w:ascii="Arial" w:hAnsi="Arial"/>
                <w:sz w:val="20"/>
              </w:rPr>
              <w:t>Loss leader — custo ~R$ 1,50/mês</w:t>
            </w:r>
          </w:p>
        </w:tc>
      </w:tr>
      <w:tr>
        <w:tc>
          <w:tcPr>
            <w:tcW w:type="dxa" w:w="2880"/>
            <w:shd w:val="clear" w:color="auto" w:fill="EFF6FF"/>
          </w:tcPr>
          <w:p>
            <w:r>
              <w:rPr>
                <w:rFonts w:ascii="Arial" w:hAnsi="Arial"/>
                <w:b/>
                <w:sz w:val="20"/>
              </w:rPr>
              <w:t>Básico</w:t>
            </w:r>
          </w:p>
        </w:tc>
        <w:tc>
          <w:tcPr>
            <w:tcW w:type="dxa" w:w="2160"/>
            <w:shd w:val="clear" w:color="auto" w:fill="EFF6FF"/>
          </w:tcPr>
          <w:p>
            <w:r>
              <w:rPr>
                <w:rFonts w:ascii="Arial" w:hAnsi="Arial"/>
                <w:b/>
                <w:sz w:val="20"/>
              </w:rPr>
              <w:t>R$ 49</w:t>
            </w:r>
          </w:p>
        </w:tc>
        <w:tc>
          <w:tcPr>
            <w:tcW w:type="dxa" w:w="2880"/>
            <w:shd w:val="clear" w:color="auto" w:fill="EFF6FF"/>
          </w:tcPr>
          <w:p>
            <w:r>
              <w:rPr>
                <w:rFonts w:ascii="Arial" w:hAnsi="Arial"/>
                <w:sz w:val="20"/>
              </w:rPr>
              <w:t>10 gerações/24h</w:t>
            </w:r>
          </w:p>
        </w:tc>
        <w:tc>
          <w:tcPr>
            <w:tcW w:type="dxa" w:w="4320"/>
            <w:shd w:val="clear" w:color="auto" w:fill="EFF6FF"/>
          </w:tcPr>
          <w:p>
            <w:r>
              <w:rPr>
                <w:rFonts w:ascii="Arial" w:hAnsi="Arial"/>
                <w:sz w:val="20"/>
              </w:rPr>
              <w:t>~R$ 44 margem (custo ~R$ 5/mês)</w:t>
            </w:r>
          </w:p>
        </w:tc>
      </w:tr>
      <w:tr>
        <w:tc>
          <w:tcPr>
            <w:tcW w:type="dxa" w:w="2880"/>
            <w:shd w:val="clear" w:color="auto" w:fill="DBEAFE"/>
          </w:tcPr>
          <w:p>
            <w:r>
              <w:rPr>
                <w:rFonts w:ascii="Arial" w:hAnsi="Arial"/>
                <w:b/>
                <w:sz w:val="20"/>
              </w:rPr>
              <w:t>Pro</w:t>
            </w:r>
          </w:p>
        </w:tc>
        <w:tc>
          <w:tcPr>
            <w:tcW w:type="dxa" w:w="2160"/>
            <w:shd w:val="clear" w:color="auto" w:fill="DBEAFE"/>
          </w:tcPr>
          <w:p>
            <w:r>
              <w:rPr>
                <w:rFonts w:ascii="Arial" w:hAnsi="Arial"/>
                <w:b/>
                <w:sz w:val="20"/>
              </w:rPr>
              <w:t>R$ 99</w:t>
            </w:r>
          </w:p>
        </w:tc>
        <w:tc>
          <w:tcPr>
            <w:tcW w:type="dxa" w:w="2880"/>
            <w:shd w:val="clear" w:color="auto" w:fill="DBEAFE"/>
          </w:tcPr>
          <w:p>
            <w:r>
              <w:rPr>
                <w:rFonts w:ascii="Arial" w:hAnsi="Arial"/>
                <w:sz w:val="20"/>
              </w:rPr>
              <w:t>30 gerações/24h + Flux Dev</w:t>
            </w:r>
          </w:p>
        </w:tc>
        <w:tc>
          <w:tcPr>
            <w:tcW w:type="dxa" w:w="4320"/>
            <w:shd w:val="clear" w:color="auto" w:fill="DBEAFE"/>
          </w:tcPr>
          <w:p>
            <w:r>
              <w:rPr>
                <w:rFonts w:ascii="Arial" w:hAnsi="Arial"/>
                <w:sz w:val="20"/>
              </w:rPr>
              <w:t>~R$ 84 margem (custo ~R$ 15/mês)</w:t>
            </w:r>
          </w:p>
        </w:tc>
      </w:tr>
      <w:tr>
        <w:tc>
          <w:tcPr>
            <w:tcW w:type="dxa" w:w="2880"/>
            <w:shd w:val="clear" w:color="auto" w:fill="BFDBFE"/>
          </w:tcPr>
          <w:p>
            <w:r>
              <w:rPr>
                <w:rFonts w:ascii="Arial" w:hAnsi="Arial"/>
                <w:b/>
                <w:sz w:val="20"/>
              </w:rPr>
              <w:t>Agência</w:t>
            </w:r>
          </w:p>
        </w:tc>
        <w:tc>
          <w:tcPr>
            <w:tcW w:type="dxa" w:w="2160"/>
            <w:shd w:val="clear" w:color="auto" w:fill="BFDBFE"/>
          </w:tcPr>
          <w:p>
            <w:r>
              <w:rPr>
                <w:rFonts w:ascii="Arial" w:hAnsi="Arial"/>
                <w:b/>
                <w:sz w:val="20"/>
              </w:rPr>
              <w:t>R$ 249</w:t>
            </w:r>
          </w:p>
        </w:tc>
        <w:tc>
          <w:tcPr>
            <w:tcW w:type="dxa" w:w="2880"/>
            <w:shd w:val="clear" w:color="auto" w:fill="BFDBFE"/>
          </w:tcPr>
          <w:p>
            <w:r>
              <w:rPr>
                <w:rFonts w:ascii="Arial" w:hAnsi="Arial"/>
                <w:sz w:val="20"/>
              </w:rPr>
              <w:t>Ilimitado (fair use) + API</w:t>
            </w:r>
          </w:p>
        </w:tc>
        <w:tc>
          <w:tcPr>
            <w:tcW w:type="dxa" w:w="4320"/>
            <w:shd w:val="clear" w:color="auto" w:fill="BFDBFE"/>
          </w:tcPr>
          <w:p>
            <w:r>
              <w:rPr>
                <w:rFonts w:ascii="Arial" w:hAnsi="Arial"/>
                <w:sz w:val="20"/>
              </w:rPr>
              <w:t>~R$ 219 margem (custo ~R$ 30/mês)</w:t>
            </w:r>
          </w:p>
        </w:tc>
      </w:tr>
    </w:tbl>
    <w:p/>
    <w:p>
      <w:r>
        <w:rPr>
          <w:rFonts w:ascii="Arial" w:hAnsi="Arial"/>
          <w:b w:val="0"/>
          <w:i w:val="0"/>
          <w:sz w:val="21"/>
        </w:rPr>
        <w:t>Break-even: com custos fixos de R$ 250/mês, são necessários apenas 6 assinantes do Básico para cobrir os custos fixos. Com 50 assinantes Básico = R$ 2.200 de margem líquida/mês.</w:t>
      </w:r>
    </w:p>
    <w:p/>
    <w:p>
      <w:pPr>
        <w:pStyle w:val="Heading3"/>
      </w:pPr>
      <w:r>
        <w:rPr>
          <w:rFonts w:ascii="Arial" w:hAnsi="Arial"/>
          <w:color w:val="475569"/>
          <w:sz w:val="22"/>
        </w:rPr>
        <w:t>Opção C — Créditos (COMPLEMENTAR ao Modelo B)</w:t>
      </w:r>
    </w:p>
    <w:p>
      <w:r>
        <w:rPr>
          <w:rFonts w:ascii="Arial" w:hAnsi="Arial"/>
          <w:b w:val="0"/>
          <w:i w:val="0"/>
          <w:sz w:val="21"/>
        </w:rPr>
        <w:t>Pacotes de créditos avulsos (ex: 50 gerações por R$ 30) para usuários que precisam de mais gerações pontuais sem assinar o Pro. Reduz churn de usuários sazonais (ex: supermercado que faz promoções apenas na Black Friday). Créditos expiram em 90 dias para criar urgência de uso.</w:t>
      </w:r>
    </w:p>
    <w:p/>
    <w:p>
      <w:pPr>
        <w:pStyle w:val="Heading2"/>
      </w:pPr>
      <w:r>
        <w:rPr>
          <w:rFonts w:ascii="Arial" w:hAnsi="Arial"/>
          <w:color w:val="475569"/>
          <w:sz w:val="26"/>
        </w:rPr>
        <w:t>6.3 Alavancas Críticas para não Sair no Prejuízo</w:t>
      </w:r>
    </w:p>
    <w:p/>
    <w:p>
      <w:pPr>
        <w:pStyle w:val="ListBullet"/>
        <w:ind w:left="432"/>
      </w:pPr>
      <w:r>
        <w:rPr>
          <w:rFonts w:ascii="Arial" w:hAnsi="Arial"/>
          <w:b/>
          <w:sz w:val="21"/>
        </w:rPr>
        <w:t xml:space="preserve">1. </w:t>
      </w:r>
      <w:r>
        <w:rPr>
          <w:rFonts w:ascii="Arial" w:hAnsi="Arial"/>
          <w:sz w:val="21"/>
        </w:rPr>
        <w:t>Corrigir C1 (dupla inserção) ANTES de implementar billing. Se a contagem de gerações for baseada em linhas em usage_logs ou generations, a duplicata resultará em usuários atingindo o limite em metade do tempo real — churn garantido.</w:t>
      </w:r>
    </w:p>
    <w:p>
      <w:pPr>
        <w:pStyle w:val="ListBullet"/>
        <w:ind w:left="432"/>
      </w:pPr>
      <w:r>
        <w:rPr>
          <w:rFonts w:ascii="Arial" w:hAnsi="Arial"/>
          <w:b/>
          <w:sz w:val="21"/>
        </w:rPr>
        <w:t xml:space="preserve">2. </w:t>
      </w:r>
      <w:r>
        <w:rPr>
          <w:rFonts w:ascii="Arial" w:hAnsi="Arial"/>
          <w:sz w:val="21"/>
        </w:rPr>
        <w:t>Corrigir C3 (fail-closed Redis) ANTES de lançar o plano Free. Sem isso, qualquer abuso anônimo consome créditos da fal.ai sem cobertura.</w:t>
      </w:r>
    </w:p>
    <w:p>
      <w:pPr>
        <w:pStyle w:val="ListBullet"/>
        <w:ind w:left="432"/>
      </w:pPr>
      <w:r>
        <w:rPr>
          <w:rFonts w:ascii="Arial" w:hAnsi="Arial"/>
          <w:b/>
          <w:sz w:val="21"/>
        </w:rPr>
        <w:t xml:space="preserve">3. </w:t>
      </w:r>
      <w:r>
        <w:rPr>
          <w:rFonts w:ascii="Arial" w:hAnsi="Arial"/>
          <w:sz w:val="21"/>
        </w:rPr>
        <w:t>Medir custo real por usuário ativo. PostHog + Sentry + Supabase logs permitem correlacionar gerações com custo. Monitorar usuários no plano Free com uso anormal.</w:t>
      </w:r>
    </w:p>
    <w:p>
      <w:pPr>
        <w:pStyle w:val="ListBullet"/>
        <w:ind w:left="432"/>
      </w:pPr>
      <w:r>
        <w:rPr>
          <w:rFonts w:ascii="Arial" w:hAnsi="Arial"/>
          <w:b/>
          <w:sz w:val="21"/>
        </w:rPr>
        <w:t xml:space="preserve">4. </w:t>
      </w:r>
      <w:r>
        <w:rPr>
          <w:rFonts w:ascii="Arial" w:hAnsi="Arial"/>
          <w:sz w:val="21"/>
        </w:rPr>
        <w:t>Definir 'fair use' no plano Agência: ilimitado não é ilimitado. Cláusula de fair use com hard cap de 300 gerações/dia por conta evita abuso.</w:t>
      </w:r>
    </w:p>
    <w:p>
      <w:pPr>
        <w:pStyle w:val="ListBullet"/>
        <w:ind w:left="432"/>
      </w:pPr>
      <w:r>
        <w:rPr>
          <w:rFonts w:ascii="Arial" w:hAnsi="Arial"/>
          <w:b/>
          <w:sz w:val="21"/>
        </w:rPr>
        <w:t xml:space="preserve">5. </w:t>
      </w:r>
      <w:r>
        <w:rPr>
          <w:rFonts w:ascii="Arial" w:hAnsi="Arial"/>
          <w:sz w:val="21"/>
        </w:rPr>
        <w:t>Considerar markup no modelo da fal.ai: o plano Pro poderia oferecer Flux Dev (custo $0.025/geração ≈ R$ 0.14). Com 30 gerações/dia por 22 dias úteis = R$ 92 de custo variável — e o plano custa R$ 99. Margem de R$ 7 por usuário Pro que usa ao máximo. Reconsiderar limite para 20 gerações/dia no Pro com Flux Dev.</w:t>
      </w:r>
    </w:p>
    <w:p>
      <w:pPr>
        <w:pStyle w:val="ListBullet"/>
        <w:ind w:left="432"/>
      </w:pPr>
      <w:r>
        <w:rPr>
          <w:rFonts w:ascii="Arial" w:hAnsi="Arial"/>
          <w:b/>
          <w:sz w:val="21"/>
        </w:rPr>
        <w:t xml:space="preserve">6. </w:t>
      </w:r>
      <w:r>
        <w:rPr>
          <w:rFonts w:ascii="Arial" w:hAnsi="Arial"/>
          <w:sz w:val="21"/>
        </w:rPr>
        <w:t>Trial de 7 dias sem cartão: reduz barreira de entrada, aumenta conversão. Custo do trial: ~3 gerações/dia × 7 dias × R$ 0,017 = R$ 0,36 por lead. Viável.</w:t>
      </w:r>
    </w:p>
    <w:p>
      <w:pPr>
        <w:pStyle w:val="ListBullet"/>
        <w:ind w:left="432"/>
      </w:pPr>
      <w:r>
        <w:rPr>
          <w:rFonts w:ascii="Arial" w:hAnsi="Arial"/>
          <w:b/>
          <w:sz w:val="21"/>
        </w:rPr>
        <w:t xml:space="preserve">7. </w:t>
      </w:r>
      <w:r>
        <w:rPr>
          <w:rFonts w:ascii="Arial" w:hAnsi="Arial"/>
          <w:sz w:val="21"/>
        </w:rPr>
        <w:t>NÃO cobrar em USD. O público-alvo é sensível a variação cambial. Fixar preço em R$ e absorver variação na margem ou revisar trimestralmente.</w:t>
      </w:r>
    </w:p>
    <w:p/>
    <w:p>
      <w:pPr>
        <w:pStyle w:val="Heading2"/>
      </w:pPr>
      <w:r>
        <w:rPr>
          <w:rFonts w:ascii="Arial" w:hAnsi="Arial"/>
          <w:color w:val="475569"/>
          <w:sz w:val="26"/>
        </w:rPr>
        <w:t>6.4 Estimativa de Break-Even</w:t>
      </w:r>
    </w:p>
    <w:p/>
    <w:tbl>
      <w:tblPr>
        <w:tblStyle w:val="TableGrid"/>
        <w:tblW w:type="auto" w:w="0"/>
        <w:jc w:val="left"/>
        <w:tblLook w:firstColumn="1" w:firstRow="1" w:lastColumn="0" w:lastRow="0" w:noHBand="0" w:noVBand="1" w:val="04A0"/>
      </w:tblPr>
      <w:tblGrid>
        <w:gridCol w:w="3120"/>
        <w:gridCol w:w="3120"/>
        <w:gridCol w:w="3120"/>
      </w:tblGrid>
      <w:tr>
        <w:tc>
          <w:tcPr>
            <w:tcW w:type="dxa" w:w="3600"/>
            <w:shd w:val="clear" w:color="auto" w:fill="1E3A8A"/>
          </w:tcPr>
          <w:p>
            <w:r>
              <w:rPr>
                <w:rFonts w:ascii="Arial" w:hAnsi="Arial"/>
                <w:b/>
                <w:color w:val="FFFFFF"/>
                <w:sz w:val="20"/>
              </w:rPr>
              <w:t>Cenário</w:t>
            </w:r>
          </w:p>
        </w:tc>
        <w:tc>
          <w:tcPr>
            <w:tcW w:type="dxa" w:w="2880"/>
            <w:shd w:val="clear" w:color="auto" w:fill="1E3A8A"/>
          </w:tcPr>
          <w:p>
            <w:r>
              <w:rPr>
                <w:rFonts w:ascii="Arial" w:hAnsi="Arial"/>
                <w:b/>
                <w:color w:val="FFFFFF"/>
                <w:sz w:val="20"/>
              </w:rPr>
              <w:t>Assinantes</w:t>
            </w:r>
          </w:p>
        </w:tc>
        <w:tc>
          <w:tcPr>
            <w:tcW w:type="dxa" w:w="5760"/>
            <w:shd w:val="clear" w:color="auto" w:fill="1E3A8A"/>
          </w:tcPr>
          <w:p>
            <w:r>
              <w:rPr>
                <w:rFonts w:ascii="Arial" w:hAnsi="Arial"/>
                <w:b/>
                <w:color w:val="FFFFFF"/>
                <w:sz w:val="20"/>
              </w:rPr>
              <w:t>Resultado Mensal</w:t>
            </w:r>
          </w:p>
        </w:tc>
      </w:tr>
      <w:tr>
        <w:tc>
          <w:tcPr>
            <w:tcW w:type="dxa" w:w="3600"/>
            <w:shd w:val="clear" w:color="auto" w:fill="F8FAFC"/>
          </w:tcPr>
          <w:p>
            <w:r>
              <w:rPr>
                <w:rFonts w:ascii="Arial" w:hAnsi="Arial"/>
                <w:b/>
                <w:sz w:val="20"/>
              </w:rPr>
              <w:t>Break-even mínimo</w:t>
            </w:r>
          </w:p>
        </w:tc>
        <w:tc>
          <w:tcPr>
            <w:tcW w:type="dxa" w:w="2880"/>
            <w:shd w:val="clear" w:color="auto" w:fill="F8FAFC"/>
          </w:tcPr>
          <w:p>
            <w:r>
              <w:rPr>
                <w:rFonts w:ascii="Arial" w:hAnsi="Arial"/>
                <w:sz w:val="20"/>
              </w:rPr>
              <w:t>6 Básico</w:t>
            </w:r>
          </w:p>
        </w:tc>
        <w:tc>
          <w:tcPr>
            <w:tcW w:type="dxa" w:w="5760"/>
            <w:shd w:val="clear" w:color="auto" w:fill="F8FAFC"/>
          </w:tcPr>
          <w:p>
            <w:r>
              <w:rPr>
                <w:rFonts w:ascii="Arial" w:hAnsi="Arial"/>
                <w:sz w:val="20"/>
              </w:rPr>
              <w:t>R$ 294 receita − R$ 250 fixo = R$ 44 lucro</w:t>
            </w:r>
          </w:p>
        </w:tc>
      </w:tr>
      <w:tr>
        <w:tc>
          <w:tcPr>
            <w:tcW w:type="dxa" w:w="3600"/>
            <w:shd w:val="clear" w:color="auto" w:fill="EFF6FF"/>
          </w:tcPr>
          <w:p>
            <w:r>
              <w:rPr>
                <w:rFonts w:ascii="Arial" w:hAnsi="Arial"/>
                <w:b/>
                <w:sz w:val="20"/>
              </w:rPr>
              <w:t>MVP lançamento (3 meses)</w:t>
            </w:r>
          </w:p>
        </w:tc>
        <w:tc>
          <w:tcPr>
            <w:tcW w:type="dxa" w:w="2880"/>
            <w:shd w:val="clear" w:color="auto" w:fill="EFF6FF"/>
          </w:tcPr>
          <w:p>
            <w:r>
              <w:rPr>
                <w:rFonts w:ascii="Arial" w:hAnsi="Arial"/>
                <w:sz w:val="20"/>
              </w:rPr>
              <w:t>20 Básico + 5 Pro</w:t>
            </w:r>
          </w:p>
        </w:tc>
        <w:tc>
          <w:tcPr>
            <w:tcW w:type="dxa" w:w="5760"/>
            <w:shd w:val="clear" w:color="auto" w:fill="EFF6FF"/>
          </w:tcPr>
          <w:p>
            <w:r>
              <w:rPr>
                <w:rFonts w:ascii="Arial" w:hAnsi="Arial"/>
                <w:sz w:val="20"/>
              </w:rPr>
              <w:t>R$ 1.475 receita − R$ 280 custo = R$ 1.195 lucro</w:t>
            </w:r>
          </w:p>
        </w:tc>
      </w:tr>
      <w:tr>
        <w:tc>
          <w:tcPr>
            <w:tcW w:type="dxa" w:w="3600"/>
            <w:shd w:val="clear" w:color="auto" w:fill="DBEAFE"/>
          </w:tcPr>
          <w:p>
            <w:r>
              <w:rPr>
                <w:rFonts w:ascii="Arial" w:hAnsi="Arial"/>
                <w:b/>
                <w:sz w:val="20"/>
              </w:rPr>
              <w:t>Tração inicial (6 meses)</w:t>
            </w:r>
          </w:p>
        </w:tc>
        <w:tc>
          <w:tcPr>
            <w:tcW w:type="dxa" w:w="2880"/>
            <w:shd w:val="clear" w:color="auto" w:fill="DBEAFE"/>
          </w:tcPr>
          <w:p>
            <w:r>
              <w:rPr>
                <w:rFonts w:ascii="Arial" w:hAnsi="Arial"/>
                <w:sz w:val="20"/>
              </w:rPr>
              <w:t>50 Básico + 15 Pro + 2 Agência</w:t>
            </w:r>
          </w:p>
        </w:tc>
        <w:tc>
          <w:tcPr>
            <w:tcW w:type="dxa" w:w="5760"/>
            <w:shd w:val="clear" w:color="auto" w:fill="DBEAFE"/>
          </w:tcPr>
          <w:p>
            <w:r>
              <w:rPr>
                <w:rFonts w:ascii="Arial" w:hAnsi="Arial"/>
                <w:sz w:val="20"/>
              </w:rPr>
              <w:t>R$ 4.433 − R$ 380 = R$ 4.053 lucro</w:t>
            </w:r>
          </w:p>
        </w:tc>
      </w:tr>
      <w:tr>
        <w:tc>
          <w:tcPr>
            <w:tcW w:type="dxa" w:w="3600"/>
            <w:shd w:val="clear" w:color="auto" w:fill="BFDBFE"/>
          </w:tcPr>
          <w:p>
            <w:r>
              <w:rPr>
                <w:rFonts w:ascii="Arial" w:hAnsi="Arial"/>
                <w:b/>
                <w:sz w:val="20"/>
              </w:rPr>
              <w:t>Escala (12 meses)</w:t>
            </w:r>
          </w:p>
        </w:tc>
        <w:tc>
          <w:tcPr>
            <w:tcW w:type="dxa" w:w="2880"/>
            <w:shd w:val="clear" w:color="auto" w:fill="BFDBFE"/>
          </w:tcPr>
          <w:p>
            <w:r>
              <w:rPr>
                <w:rFonts w:ascii="Arial" w:hAnsi="Arial"/>
                <w:sz w:val="20"/>
              </w:rPr>
              <w:t>150 Básico + 40 Pro + 10 Agência</w:t>
            </w:r>
          </w:p>
        </w:tc>
        <w:tc>
          <w:tcPr>
            <w:tcW w:type="dxa" w:w="5760"/>
            <w:shd w:val="clear" w:color="auto" w:fill="BFDBFE"/>
          </w:tcPr>
          <w:p>
            <w:r>
              <w:rPr>
                <w:rFonts w:ascii="Arial" w:hAnsi="Arial"/>
                <w:sz w:val="20"/>
              </w:rPr>
              <w:t>R$ 13.260 − R$ 900 = R$ 12.360 lucro</w:t>
            </w:r>
          </w:p>
        </w:tc>
      </w:tr>
      <w:tr>
        <w:tc>
          <w:tcPr>
            <w:tcW w:type="dxa" w:w="3600"/>
            <w:shd w:val="clear" w:color="auto" w:fill="FEE2E2"/>
          </w:tcPr>
          <w:p>
            <w:r>
              <w:rPr>
                <w:rFonts w:ascii="Arial" w:hAnsi="Arial"/>
                <w:b/>
                <w:color w:val="B91C1C"/>
                <w:sz w:val="20"/>
              </w:rPr>
              <w:t>Teto de risco (Free abuso)</w:t>
            </w:r>
          </w:p>
        </w:tc>
        <w:tc>
          <w:tcPr>
            <w:tcW w:type="dxa" w:w="2880"/>
            <w:shd w:val="clear" w:color="auto" w:fill="FEE2E2"/>
          </w:tcPr>
          <w:p>
            <w:r>
              <w:rPr>
                <w:rFonts w:ascii="Arial" w:hAnsi="Arial"/>
                <w:color w:val="B91C1C"/>
                <w:sz w:val="20"/>
              </w:rPr>
              <w:t>500 Free ativos/dia</w:t>
            </w:r>
          </w:p>
        </w:tc>
        <w:tc>
          <w:tcPr>
            <w:tcW w:type="dxa" w:w="5760"/>
            <w:shd w:val="clear" w:color="auto" w:fill="FEE2E2"/>
          </w:tcPr>
          <w:p>
            <w:r>
              <w:rPr>
                <w:rFonts w:ascii="Arial" w:hAnsi="Arial"/>
                <w:color w:val="B91C1C"/>
                <w:sz w:val="20"/>
              </w:rPr>
              <w:t>Custo fal.ai: ~R$ 500/mês sem receita — corrigir C3 antes</w:t>
            </w:r>
          </w:p>
        </w:tc>
      </w:tr>
    </w:tbl>
    <w:p/>
    <w:p>
      <w:r>
        <w:br w:type="page"/>
      </w:r>
    </w:p>
    <w:p>
      <w:pPr>
        <w:pStyle w:val="Heading1"/>
      </w:pPr>
      <w:r>
        <w:rPr>
          <w:rFonts w:ascii="Arial" w:hAnsi="Arial"/>
          <w:color w:val="1E40AF"/>
          <w:sz w:val="34"/>
        </w:rPr>
        <w:t>7. Conclusão e Próximos Passos</w:t>
      </w:r>
    </w:p>
    <w:p>
      <w:r>
        <w:rPr>
          <w:rFonts w:ascii="Arial" w:hAnsi="Arial"/>
          <w:b w:val="0"/>
          <w:i w:val="0"/>
          <w:sz w:val="21"/>
        </w:rPr>
        <w:t>O produto está tecnicamente funcional e tem uma proposta de valor clara para o mercado de varejo local. As falhas identificadas não inviabilizam o lançamento, mas 3 delas (C1, C3, B3) devem ser resolvidas antes de qualquer cobrança real para evitar prejuízo direto.</w:t>
      </w:r>
    </w:p>
    <w:p/>
    <w:p>
      <w:r>
        <w:rPr>
          <w:rFonts w:ascii="Arial" w:hAnsi="Arial"/>
          <w:b/>
          <w:i w:val="0"/>
          <w:sz w:val="21"/>
        </w:rPr>
        <w:t>Sequência recomendada para lançamento seguro:</w:t>
      </w:r>
    </w:p>
    <w:p>
      <w:pPr>
        <w:pStyle w:val="ListBullet"/>
        <w:ind w:left="432"/>
      </w:pPr>
      <w:r>
        <w:rPr>
          <w:rFonts w:ascii="Arial" w:hAnsi="Arial"/>
          <w:sz w:val="21"/>
        </w:rPr>
        <w:t>Semana 1: Corrigir C1 (dupla inserção) + C3 (fail-closed Redis) + B3 (CORS env var)</w:t>
      </w:r>
    </w:p>
    <w:p>
      <w:pPr>
        <w:pStyle w:val="ListBullet"/>
        <w:ind w:left="432"/>
      </w:pPr>
      <w:r>
        <w:rPr>
          <w:rFonts w:ascii="Arial" w:hAnsi="Arial"/>
          <w:sz w:val="21"/>
        </w:rPr>
        <w:t>Semana 2: Implementar billing (Stripe ou Pagar.me) com planos Básico/Pro. Corrigir C2 e C4.</w:t>
      </w:r>
    </w:p>
    <w:p>
      <w:pPr>
        <w:pStyle w:val="ListBullet"/>
        <w:ind w:left="432"/>
      </w:pPr>
      <w:r>
        <w:rPr>
          <w:rFonts w:ascii="Arial" w:hAnsi="Arial"/>
          <w:sz w:val="21"/>
        </w:rPr>
        <w:t>Semana 3: A3+A4 (paginação e busca server-side na biblioteca) — essencial para retenção</w:t>
      </w:r>
    </w:p>
    <w:p>
      <w:pPr>
        <w:pStyle w:val="ListBullet"/>
        <w:ind w:left="432"/>
      </w:pPr>
      <w:r>
        <w:rPr>
          <w:rFonts w:ascii="Arial" w:hAnsi="Arial"/>
          <w:sz w:val="21"/>
        </w:rPr>
        <w:t>Semana 4: M1 (brand config cross-device) + A5 (batch signed URLs) + testes básicos (B1)</w:t>
      </w:r>
    </w:p>
    <w:p>
      <w:pPr>
        <w:pStyle w:val="ListBullet"/>
        <w:ind w:left="432"/>
      </w:pPr>
      <w:r>
        <w:rPr>
          <w:rFonts w:ascii="Arial" w:hAnsi="Arial"/>
          <w:sz w:val="21"/>
        </w:rPr>
        <w:t>Mês 2+: A6 (proxy OFF), A2 (delete edge fn), tipos TypeScript automáticos</w:t>
      </w:r>
    </w:p>
    <w:p/>
    <w:p>
      <w:r>
        <w:rPr>
          <w:rFonts w:ascii="Arial" w:hAnsi="Arial"/>
          <w:b w:val="0"/>
          <w:i w:val="0"/>
          <w:sz w:val="21"/>
        </w:rPr>
        <w:t>O modelo de precificação recomendado é Freemium + Assinaturas Mensais em R$ com trial de 7 dias. O custo unitário de R$ 0,017/geração é extremamente baixo — a margem está inteiramente na recorrência e na conversão do Free para o Básico. Com 50 assinantes pagantes, o produto é lucrativo. O risco real é não converter o Free para pago — o que torna a qualidade das artes geradas o principal diferencial competitivo a proteger.</w:t>
      </w:r>
    </w:p>
    <w:p/>
    <w:p>
      <w:pPr>
        <w:jc w:val="center"/>
      </w:pPr>
      <w:r>
        <w:rPr>
          <w:rFonts w:ascii="Arial" w:hAnsi="Arial"/>
          <w:i/>
          <w:color w:val="94A3B8"/>
          <w:sz w:val="18"/>
        </w:rPr>
        <w:t>— Fim do Relatório — 24/05/2026 18:33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