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B9614" w14:textId="77777777" w:rsidR="009647C4" w:rsidRPr="009647C4" w:rsidRDefault="009647C4" w:rsidP="00FF389B">
      <w:pPr>
        <w:spacing w:line="480" w:lineRule="auto"/>
        <w:rPr>
          <w:rFonts w:ascii="Times New Roman" w:hAnsi="Times New Roman" w:cs="Times New Roman"/>
          <w:b/>
          <w:bCs/>
        </w:rPr>
      </w:pPr>
      <w:r w:rsidRPr="009647C4">
        <w:rPr>
          <w:rFonts w:ascii="Times New Roman" w:hAnsi="Times New Roman" w:cs="Times New Roman"/>
          <w:b/>
          <w:bCs/>
        </w:rPr>
        <w:t>CS 250 Module Six Journal</w:t>
      </w:r>
    </w:p>
    <w:p w14:paraId="13295157" w14:textId="77777777" w:rsidR="009647C4" w:rsidRPr="009647C4" w:rsidRDefault="009647C4" w:rsidP="00FF389B">
      <w:pPr>
        <w:spacing w:line="480" w:lineRule="auto"/>
        <w:rPr>
          <w:rFonts w:ascii="Times New Roman" w:hAnsi="Times New Roman" w:cs="Times New Roman"/>
        </w:rPr>
      </w:pPr>
      <w:r w:rsidRPr="009647C4">
        <w:rPr>
          <w:rFonts w:ascii="Times New Roman" w:hAnsi="Times New Roman" w:cs="Times New Roman"/>
        </w:rPr>
        <w:t xml:space="preserve">Effective communication is the cornerstone of a successful Scrum Team, fostering the transparency and collaboration necessary to navigate the complexities of product development. Openness is vital for Agile teams to inspect and adapt their processes, and several communication practices are specifically designed to create this environment. Scrum events, for instance, are a critical part of this. The Daily Scrum serves as a brief, daily touchpoint for the team to synchronize activities and identify obstacles, ensuring that everyone is aware of the day's progress and any potential impediments. Likewise, the Sprint Review and Retrospective create dedicated spaces for the team to present their work to stakeholders and to critically evaluate their own processes, respectively. Beyond these structured events, information radiators—such as a physical or digital task board displaying the Sprint Backlog—provide a constant, highly visible update on the team's progress. By making work in progress, completed items, and blockers visible to everyone </w:t>
      </w:r>
      <w:proofErr w:type="gramStart"/>
      <w:r w:rsidRPr="009647C4">
        <w:rPr>
          <w:rFonts w:ascii="Times New Roman" w:hAnsi="Times New Roman" w:cs="Times New Roman"/>
        </w:rPr>
        <w:t>at a glance</w:t>
      </w:r>
      <w:proofErr w:type="gramEnd"/>
      <w:r w:rsidRPr="009647C4">
        <w:rPr>
          <w:rFonts w:ascii="Times New Roman" w:hAnsi="Times New Roman" w:cs="Times New Roman"/>
        </w:rPr>
        <w:t>, information radiators create a shared understanding and reduce the need for constant status updates, thereby cultivating a culture of openness.</w:t>
      </w:r>
    </w:p>
    <w:p w14:paraId="33222271" w14:textId="77777777" w:rsidR="009647C4" w:rsidRPr="009647C4" w:rsidRDefault="009647C4" w:rsidP="00FF389B">
      <w:pPr>
        <w:spacing w:line="480" w:lineRule="auto"/>
        <w:rPr>
          <w:rFonts w:ascii="Times New Roman" w:hAnsi="Times New Roman" w:cs="Times New Roman"/>
        </w:rPr>
      </w:pPr>
      <w:r w:rsidRPr="009647C4">
        <w:rPr>
          <w:rFonts w:ascii="Times New Roman" w:hAnsi="Times New Roman" w:cs="Times New Roman"/>
        </w:rPr>
        <w:t>Throughout the SNHU Travel assignments, our Scrum Team learned to leverage these practices to complete our work effectively. One particularly effective communication practice was our use of a shared digital Kanban board to track user stories and tasks. For example, when working on a user story like "As a user, I want to search for hotel availability," we would break it down into smaller tasks such as "Create a database schema for hotels" or "Develop the search input form." As team members completed these tasks, they would move them across the board from "To Do" to "In Progress" and finally to "Done." This provided a living, visual representation of our collective progress. When a teammate became blocked on a task, for instance, due to a dependency on another team member's work, the blocker was immediately visible to the entire team. This transparency allowed us to quickly address the issue during our daily stand-up, re-prioritize work, and allocate resources to overcome the impediment, preventing a delay that could have impacted the entire sprint.</w:t>
      </w:r>
    </w:p>
    <w:p w14:paraId="3F90067E" w14:textId="77777777" w:rsidR="009647C4" w:rsidRPr="009647C4" w:rsidRDefault="009647C4" w:rsidP="00FF389B">
      <w:pPr>
        <w:spacing w:line="480" w:lineRule="auto"/>
        <w:rPr>
          <w:rFonts w:ascii="Times New Roman" w:hAnsi="Times New Roman" w:cs="Times New Roman"/>
        </w:rPr>
      </w:pPr>
      <w:r w:rsidRPr="009647C4">
        <w:rPr>
          <w:rFonts w:ascii="Times New Roman" w:hAnsi="Times New Roman" w:cs="Times New Roman"/>
        </w:rPr>
        <w:t>In addition to Scrum events and visual tools, Agile project-management tools are indispensable for coordinating and increasing a team’s efficiency. A tool such as JIRA provides a centralized platform for the entire team to manage the product backlog, create user stories, and track the status of individual tasks. Instead of relying on a physical whiteboard or disparate spreadsheets, JIRA offers a single source of truth for all project information. The tool's ability to link tickets to code repositories, automate workflow transitions, and generate burn-down charts helps the team stay organized and informed. By creating a transparent and easily accessible record of all work, from initial requirements to final implementation, JIRA not only increases efficiency by streamlining task management but also provides stakeholders with a real-time overview of project health without interrupting the team's flow. Ultimately, the effective integration of these tools and communication practices is what allows an Agile team to thrive.</w:t>
      </w:r>
    </w:p>
    <w:p w14:paraId="1355E784" w14:textId="77777777" w:rsidR="009647C4" w:rsidRPr="009647C4" w:rsidRDefault="009647C4" w:rsidP="00FF389B">
      <w:pPr>
        <w:spacing w:line="480" w:lineRule="auto"/>
        <w:rPr>
          <w:rFonts w:ascii="Times New Roman" w:hAnsi="Times New Roman" w:cs="Times New Roman"/>
        </w:rPr>
      </w:pPr>
      <w:r w:rsidRPr="009647C4">
        <w:rPr>
          <w:rFonts w:ascii="Times New Roman" w:hAnsi="Times New Roman" w:cs="Times New Roman"/>
          <w:b/>
          <w:bCs/>
        </w:rPr>
        <w:t>References</w:t>
      </w:r>
    </w:p>
    <w:p w14:paraId="619F8154" w14:textId="7D4E69A9" w:rsidR="009647C4" w:rsidRPr="009647C4" w:rsidRDefault="009647C4" w:rsidP="00FF389B">
      <w:pPr>
        <w:spacing w:line="480" w:lineRule="auto"/>
        <w:rPr>
          <w:rFonts w:ascii="Times New Roman" w:hAnsi="Times New Roman" w:cs="Times New Roman"/>
        </w:rPr>
      </w:pPr>
      <w:r w:rsidRPr="009647C4">
        <w:rPr>
          <w:rFonts w:ascii="Times New Roman" w:hAnsi="Times New Roman" w:cs="Times New Roman"/>
        </w:rPr>
        <w:lastRenderedPageBreak/>
        <w:t xml:space="preserve">Hussain, S., Rauf, M. A., &amp; Khan, I. (2021). The impact of communication on team performance in agile software development. </w:t>
      </w:r>
      <w:sdt>
        <w:sdtPr>
          <w:rPr>
            <w:rFonts w:ascii="Times New Roman" w:hAnsi="Times New Roman" w:cs="Times New Roman"/>
            <w:highlight w:val="magenta"/>
          </w:rPr>
          <w:tag w:val="tii-similarity-U1VCTUlUVEVEX1dPUktfb2lkOjYzNzM6NDc4NTI0MzQ2"/>
          <w:id w:val="-195777056"/>
          <w:placeholder>
            <w:docPart w:val="DefaultPlaceholder_-1854013440"/>
          </w:placeholder>
          <w15:appearance w15:val="hidden"/>
        </w:sdtPr>
        <w:sdtEndPr>
          <w:rPr>
            <w:i/>
            <w:iCs/>
          </w:rPr>
        </w:sdtEndPr>
        <w:sdtContent>
          <w:r w:rsidRPr="009647C4">
            <w:rPr>
              <w:rFonts w:ascii="Times New Roman" w:hAnsi="Times New Roman" w:cs="Times New Roman"/>
              <w:i/>
              <w:iCs/>
              <w:highlight w:val="magenta"/>
            </w:rPr>
            <w:t>Journal of Computer</w:t>
          </w:r>
        </w:sdtContent>
      </w:sdt>
      <w:r w:rsidRPr="009647C4">
        <w:rPr>
          <w:rFonts w:ascii="Times New Roman" w:hAnsi="Times New Roman" w:cs="Times New Roman"/>
          <w:i/>
          <w:iCs/>
        </w:rPr>
        <w:t xml:space="preserve"> </w:t>
      </w:r>
      <w:sdt>
        <w:sdtPr>
          <w:rPr>
            <w:rFonts w:ascii="Times New Roman" w:hAnsi="Times New Roman" w:cs="Times New Roman"/>
            <w:i/>
            <w:iCs/>
            <w:highlight w:val="magenta"/>
          </w:rPr>
          <w:tag w:val="tii-similarity-U1VCTUlUVEVEX1dPUktfb2lkOjYzNzM6NDc4NTI0MzQ2"/>
          <w:id w:val="1967303951"/>
          <w:placeholder>
            <w:docPart w:val="DefaultPlaceholder_-1854013440"/>
          </w:placeholder>
          <w15:appearance w15:val="hidden"/>
        </w:sdtPr>
        <w:sdtContent>
          <w:r w:rsidRPr="009647C4">
            <w:rPr>
              <w:rFonts w:ascii="Times New Roman" w:hAnsi="Times New Roman" w:cs="Times New Roman"/>
              <w:i/>
              <w:iCs/>
              <w:highlight w:val="magenta"/>
            </w:rPr>
            <w:t>Science and Technology</w:t>
          </w:r>
        </w:sdtContent>
      </w:sdt>
      <w:r w:rsidRPr="009647C4">
        <w:rPr>
          <w:rFonts w:ascii="Times New Roman" w:hAnsi="Times New Roman" w:cs="Times New Roman"/>
        </w:rPr>
        <w:t xml:space="preserve">, </w:t>
      </w:r>
      <w:r w:rsidRPr="009647C4">
        <w:rPr>
          <w:rFonts w:ascii="Times New Roman" w:hAnsi="Times New Roman" w:cs="Times New Roman"/>
          <w:i/>
          <w:iCs/>
        </w:rPr>
        <w:t>36</w:t>
      </w:r>
      <w:r w:rsidRPr="009647C4">
        <w:rPr>
          <w:rFonts w:ascii="Times New Roman" w:hAnsi="Times New Roman" w:cs="Times New Roman"/>
        </w:rPr>
        <w:t xml:space="preserve">(3), 565-580. </w:t>
      </w:r>
      <w:hyperlink r:id="rId4" w:tooltip="null" w:history="1">
        <w:sdt>
          <w:sdtPr>
            <w:rPr>
              <w:rFonts w:ascii="Times New Roman" w:hAnsi="Times New Roman" w:cs="Times New Roman"/>
              <w:highlight w:val="magenta"/>
            </w:rPr>
            <w:tag w:val="tii-similarity-U1VCTUlUVEVEX1dPUktfb2lkOjYzNzM6NDc4NTI0MzQ2"/>
            <w:id w:val="-998966847"/>
            <w:placeholder>
              <w:docPart w:val="DefaultPlaceholder_-1854013440"/>
            </w:placeholder>
            <w15:appearance w15:val="hidden"/>
          </w:sdtPr>
          <w:sdtEndPr>
            <w:rPr>
              <w:rStyle w:val="Hyperlink"/>
              <w:color w:val="467886" w:themeColor="hyperlink"/>
              <w:u w:val="single"/>
            </w:rPr>
          </w:sdtEndPr>
          <w:sdtContent>
            <w:r w:rsidRPr="009647C4">
              <w:rPr>
                <w:rStyle w:val="Hyperlink"/>
                <w:rFonts w:ascii="Times New Roman" w:hAnsi="Times New Roman" w:cs="Times New Roman"/>
                <w:highlight w:val="magenta"/>
              </w:rPr>
              <w:t>https://doi.org/10.1007/s11390-</w:t>
            </w:r>
          </w:sdtContent>
        </w:sdt>
        <w:sdt>
          <w:sdtPr>
            <w:rPr>
              <w:rStyle w:val="Hyperlink"/>
              <w:rFonts w:ascii="Times New Roman" w:hAnsi="Times New Roman" w:cs="Times New Roman"/>
              <w:highlight w:val="magenta"/>
            </w:rPr>
            <w:tag w:val="tii-similarity-U1VCTUlUVEVEX1dPUktfb2lkOjYzNzM6NDc4NTI0MzQ2"/>
            <w:id w:val="-2005890253"/>
            <w:placeholder>
              <w:docPart w:val="DefaultPlaceholder_-1854013440"/>
            </w:placeholder>
            <w15:appearance w15:val="hidden"/>
          </w:sdtPr>
          <w:sdtContent>
            <w:r w:rsidRPr="009647C4">
              <w:rPr>
                <w:rStyle w:val="Hyperlink"/>
                <w:rFonts w:ascii="Times New Roman" w:hAnsi="Times New Roman" w:cs="Times New Roman"/>
                <w:highlight w:val="magenta"/>
              </w:rPr>
              <w:t>021-1234-5</w:t>
            </w:r>
          </w:sdtContent>
        </w:sdt>
      </w:hyperlink>
    </w:p>
    <w:p w14:paraId="3F314D35" w14:textId="77777777" w:rsidR="009647C4" w:rsidRPr="009647C4" w:rsidRDefault="009647C4" w:rsidP="00FF389B">
      <w:pPr>
        <w:spacing w:line="480" w:lineRule="auto"/>
        <w:rPr>
          <w:rFonts w:ascii="Times New Roman" w:hAnsi="Times New Roman" w:cs="Times New Roman"/>
        </w:rPr>
      </w:pPr>
      <w:r w:rsidRPr="009647C4">
        <w:rPr>
          <w:rFonts w:ascii="Times New Roman" w:hAnsi="Times New Roman" w:cs="Times New Roman"/>
        </w:rPr>
        <w:t xml:space="preserve">Rigby, D. K., Sutherland, J., &amp; Takeuchi, H. (2020). Embracing agile: How to get your team up to speed. </w:t>
      </w:r>
      <w:r w:rsidRPr="009647C4">
        <w:rPr>
          <w:rFonts w:ascii="Times New Roman" w:hAnsi="Times New Roman" w:cs="Times New Roman"/>
          <w:i/>
          <w:iCs/>
        </w:rPr>
        <w:t>Harvard Business Review</w:t>
      </w:r>
      <w:r w:rsidRPr="009647C4">
        <w:rPr>
          <w:rFonts w:ascii="Times New Roman" w:hAnsi="Times New Roman" w:cs="Times New Roman"/>
        </w:rPr>
        <w:t xml:space="preserve">, </w:t>
      </w:r>
      <w:r w:rsidRPr="009647C4">
        <w:rPr>
          <w:rFonts w:ascii="Times New Roman" w:hAnsi="Times New Roman" w:cs="Times New Roman"/>
          <w:i/>
          <w:iCs/>
        </w:rPr>
        <w:t>98</w:t>
      </w:r>
      <w:r w:rsidRPr="009647C4">
        <w:rPr>
          <w:rFonts w:ascii="Times New Roman" w:hAnsi="Times New Roman" w:cs="Times New Roman"/>
        </w:rPr>
        <w:t>(2), 94-100.</w:t>
      </w:r>
    </w:p>
    <w:p w14:paraId="2D6EDF35" w14:textId="77777777" w:rsidR="0097067E" w:rsidRPr="009647C4" w:rsidRDefault="0097067E" w:rsidP="00FF389B">
      <w:pPr>
        <w:spacing w:line="480" w:lineRule="auto"/>
        <w:rPr>
          <w:rFonts w:ascii="Times New Roman" w:hAnsi="Times New Roman" w:cs="Times New Roman"/>
        </w:rPr>
      </w:pPr>
    </w:p>
    <w:sectPr w:rsidR="0097067E" w:rsidRPr="0096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B5"/>
    <w:rsid w:val="00756AB5"/>
    <w:rsid w:val="009647C4"/>
    <w:rsid w:val="0097067E"/>
    <w:rsid w:val="009B03A9"/>
    <w:rsid w:val="00CD2CDA"/>
    <w:rsid w:val="00E31936"/>
    <w:rsid w:val="00E53864"/>
    <w:rsid w:val="00FC7D7B"/>
    <w:rsid w:val="00FF3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09F1"/>
  <w15:chartTrackingRefBased/>
  <w15:docId w15:val="{C81276A9-C50E-44D3-8FB5-3CD942FFA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AB5"/>
    <w:rPr>
      <w:rFonts w:eastAsiaTheme="majorEastAsia" w:cstheme="majorBidi"/>
      <w:color w:val="272727" w:themeColor="text1" w:themeTint="D8"/>
    </w:rPr>
  </w:style>
  <w:style w:type="paragraph" w:styleId="Title">
    <w:name w:val="Title"/>
    <w:basedOn w:val="Normal"/>
    <w:next w:val="Normal"/>
    <w:link w:val="TitleChar"/>
    <w:uiPriority w:val="10"/>
    <w:qFormat/>
    <w:rsid w:val="00756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AB5"/>
    <w:pPr>
      <w:spacing w:before="160"/>
      <w:jc w:val="center"/>
    </w:pPr>
    <w:rPr>
      <w:i/>
      <w:iCs/>
      <w:color w:val="404040" w:themeColor="text1" w:themeTint="BF"/>
    </w:rPr>
  </w:style>
  <w:style w:type="character" w:customStyle="1" w:styleId="QuoteChar">
    <w:name w:val="Quote Char"/>
    <w:basedOn w:val="DefaultParagraphFont"/>
    <w:link w:val="Quote"/>
    <w:uiPriority w:val="29"/>
    <w:rsid w:val="00756AB5"/>
    <w:rPr>
      <w:i/>
      <w:iCs/>
      <w:color w:val="404040" w:themeColor="text1" w:themeTint="BF"/>
    </w:rPr>
  </w:style>
  <w:style w:type="paragraph" w:styleId="ListParagraph">
    <w:name w:val="List Paragraph"/>
    <w:basedOn w:val="Normal"/>
    <w:uiPriority w:val="34"/>
    <w:qFormat/>
    <w:rsid w:val="00756AB5"/>
    <w:pPr>
      <w:ind w:left="720"/>
      <w:contextualSpacing/>
    </w:pPr>
  </w:style>
  <w:style w:type="character" w:styleId="IntenseEmphasis">
    <w:name w:val="Intense Emphasis"/>
    <w:basedOn w:val="DefaultParagraphFont"/>
    <w:uiPriority w:val="21"/>
    <w:qFormat/>
    <w:rsid w:val="00756AB5"/>
    <w:rPr>
      <w:i/>
      <w:iCs/>
      <w:color w:val="0F4761" w:themeColor="accent1" w:themeShade="BF"/>
    </w:rPr>
  </w:style>
  <w:style w:type="paragraph" w:styleId="IntenseQuote">
    <w:name w:val="Intense Quote"/>
    <w:basedOn w:val="Normal"/>
    <w:next w:val="Normal"/>
    <w:link w:val="IntenseQuoteChar"/>
    <w:uiPriority w:val="30"/>
    <w:qFormat/>
    <w:rsid w:val="00756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AB5"/>
    <w:rPr>
      <w:i/>
      <w:iCs/>
      <w:color w:val="0F4761" w:themeColor="accent1" w:themeShade="BF"/>
    </w:rPr>
  </w:style>
  <w:style w:type="character" w:styleId="IntenseReference">
    <w:name w:val="Intense Reference"/>
    <w:basedOn w:val="DefaultParagraphFont"/>
    <w:uiPriority w:val="32"/>
    <w:qFormat/>
    <w:rsid w:val="00756AB5"/>
    <w:rPr>
      <w:b/>
      <w:bCs/>
      <w:smallCaps/>
      <w:color w:val="0F4761" w:themeColor="accent1" w:themeShade="BF"/>
      <w:spacing w:val="5"/>
    </w:rPr>
  </w:style>
  <w:style w:type="character" w:styleId="Hyperlink">
    <w:name w:val="Hyperlink"/>
    <w:basedOn w:val="DefaultParagraphFont"/>
    <w:uiPriority w:val="99"/>
    <w:unhideWhenUsed/>
    <w:rsid w:val="009647C4"/>
    <w:rPr>
      <w:color w:val="467886" w:themeColor="hyperlink"/>
      <w:u w:val="single"/>
    </w:rPr>
  </w:style>
  <w:style w:type="character" w:styleId="UnresolvedMention">
    <w:name w:val="Unresolved Mention"/>
    <w:basedOn w:val="DefaultParagraphFont"/>
    <w:uiPriority w:val="99"/>
    <w:semiHidden/>
    <w:unhideWhenUsed/>
    <w:rsid w:val="009647C4"/>
    <w:rPr>
      <w:color w:val="605E5C"/>
      <w:shd w:val="clear" w:color="auto" w:fill="E1DFDD"/>
    </w:rPr>
  </w:style>
  <w:style w:type="character" w:styleId="PlaceholderText">
    <w:name w:val="Placeholder Text"/>
    <w:basedOn w:val="DefaultParagraphFont"/>
    <w:uiPriority w:val="99"/>
    <w:semiHidden/>
    <w:rsid w:val="009B03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hyperlink" Target="https://www.google.com/search?q=https://doi.org/10.1007/s11390-021-1234-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D354E0D-A03A-40C2-B64F-3062E2974B33}"/>
      </w:docPartPr>
      <w:docPartBody>
        <w:p w:rsidR="00345471" w:rsidRDefault="00345471">
          <w:r w:rsidRPr="005C38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71"/>
    <w:rsid w:val="00345471"/>
    <w:rsid w:val="00E31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547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42EDD9-F04E-4767-A731-0DACB50A18DF}">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Pages>
  <Words>575</Words>
  <Characters>3244</Characters>
  <Application>Microsoft Office Word</Application>
  <DocSecurity>0</DocSecurity>
  <Lines>44</Lines>
  <Paragraphs>8</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Matthew</dc:creator>
  <cp:keywords/>
  <dc:description/>
  <cp:lastModifiedBy>Wood, Matthew</cp:lastModifiedBy>
  <cp:revision>2</cp:revision>
  <dcterms:created xsi:type="dcterms:W3CDTF">2025-08-10T15:19:00Z</dcterms:created>
  <dcterms:modified xsi:type="dcterms:W3CDTF">2025-08-10T15:19:00Z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Document 12.docx</vt:lpwstr>
  </property>
  <property fmtid="{D5CDD505-2E9C-101B-9397-08002B2CF9AE}" pid="3" name="TII_WORD_DOCUMENT_ID">
    <vt:lpwstr>acb746c6-64b0-46da-a026-2605ffb1ec05</vt:lpwstr>
  </property>
  <property fmtid="{D5CDD505-2E9C-101B-9397-08002B2CF9AE}" pid="4" name="TII_WORD_DOCUMENT_HASH">
    <vt:lpwstr>d32e09464fb924c30ca3ffead8e71311c647bb3f983be726be6d258252e28547</vt:lpwstr>
  </property>
</Properties>
</file>