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IMG_0105</w:t>
      </w:r>
    </w:p>
    <w:p/>
    <w:p/>
    <w:p>
      <w:pPr/>
      <w:r>
        <w:rPr/>
        <w:t xml:space="preserve">crucial role in enhancing protective humoral responses against the emerging CoVs by aiming appropriate epitopes and functions of the S protein. The cross-neutralization ability of SARS-CoV RBD- specific neutralizing MAbs considerably relies on the resemblance between their RBDs; therefore, SARS-CoV RBD-specific antibodies could cross- neutralized SL CoVs, i.e., bat-SL-CoV strain WIV1 (RBD with eight amino acid differences from SARS- CoV) but not bat-SL-CoV strain SHCO14 (24 amino acid differences) (200). Appropriate RBD-specific MAbs can be recognized by a relative analysis of RBD of SARS- CoV-2 to that of SARS-CoV, and cross-neutralizing SARS-CoV RBD-specific MAbs could be explored for their effectiveness against COVID-19 and further need to be assessed clinically. The USS. biotechnology company Regeneron is attempting to recognize potent and specific MAbs to combat COVID-19. An ideal therapeutic option suggested for SARS-CoV-2 (COVID-19) is the combination therapy comprised of MAbs and the drug remdesivir (COVID-19) (201). The SARS-CoV-specific human MAb CR3022 is found to bind with SARS-CoV-2 RBD, indicating its potential as a therapeutic agent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2023-07-24T18:45:41+02:00</dcterms:created>
  <dcterms:modified xsi:type="dcterms:W3CDTF">2023-07-24T18:45:41+02:00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