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IMG_0106</w:t>
      </w:r>
    </w:p>
    <w:p/>
    <w:p/>
    <w:p>
      <w:pPr/>
      <w:r>
        <w:rPr/>
        <w:t xml:space="preserve">detectable serum SARS-CoV-neutralizing antibodies (170). Antigenic determinant sites present over S and N_ structural proteins of SARS-CoV-2 can be explored as suitable vaccine candidates (294). In the Asian population, S, E, M, and N proteins of SARS- CoV-2 are being targeted for developing subunit vaccines against COVID-19 (295). The identification of the immunodominant region among the subunits and domains of S protein is critical for developing an effective vaccine against the coronavirus. The C-terminal domain of the S1 subunit is considered the immunodominant region of the porcine deltacoronavirus S_ protein (171). Similarly, further investigations are needed to determine the immunodominant regions of SARS- CoV-2 for facilitating vaccine development. However, our previous attempts to develop a universal vaccine that is effective for both SARS- CoV and MERS-CoV based on T-cell epitope similarity pointed out the possibility of cross- reactivity among coronaviruses (172). That can be made possible by selected potential vaccine targets that are common to both viruses. SARS-CoV-2 has been reported to be closely related to SARS-CoV (173, 174). Hence, knowledge and understanding of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2023-07-24T18:29:13+02:00</dcterms:created>
  <dcterms:modified xsi:type="dcterms:W3CDTF">2023-07-24T18:29:13+02:00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