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IMG_0127</w:t>
      </w:r>
    </w:p>
    <w:p/>
    <w:p/>
    <w:p>
      <w:pPr/>
      <w:r>
        <w:rPr/>
        <w:t xml:space="preserve"> a been used based on the experience with SARS and MERS. In a historical control study in patients with SARS, patients treated with lopinavir- ritonavir with ribavirin had better outcomes as compared to those given ribavirin alone [15]. In the case series of 99 hospitalized patients with COVID-19 infection from Wuhan, oxygen was given to 76%, non- invasive ventilation in 13%, mechanical ventilation in 4%, extracorporeal membrane oxygenation (ECMO) in 3%, continuous renal replacement therapy (CRRT) in 9%, antibiotics in 71%, antifungals in 15%, glucocorticoids in 19% and intravenous immunoglobulin therapy in 27% [15]. Antiviral therapy consisting of oseltamivir, ganciclovir and lopinavir- ritonavir was given to 75% of the patients. The duration of non-invasive ventilation was 4-22 d [median 9 d]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2023-07-24T18:45:41+02:00</dcterms:created>
  <dcterms:modified xsi:type="dcterms:W3CDTF">2023-07-24T18:45:41+02:00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