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IMG_0175</w:t>
      </w:r>
    </w:p>
    <w:p/>
    <w:p/>
    <w:p>
      <w:pPr/>
      <w:r>
        <w:rPr/>
        <w:t xml:space="preserve">and coexist with us for a long time’. Before clinically approved vaccines are widely available, there is no bet- er way to protect us from SARS-CoV-2 than personal preventive behaviours such as social distancing and wearing masks, and public health measures, including active testing, case tracing and restrictions on social gatherings. Despite a flood of SARS-CoV-2 research published every week, current knowledge of this novel coronavirus is just the tip of the iceberg. The animal origin and cross-species infection route of SARS-CoV-2 are yet to be uncovered. The molecular mechanisms of SARS-CoV-2 infection pathogenesis and virus-host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2023-07-24T18:45:41+02:00</dcterms:created>
  <dcterms:modified xsi:type="dcterms:W3CDTF">2023-07-24T18:45:41+02:00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