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IMG_0176</w:t>
      </w:r>
    </w:p>
    <w:p/>
    <w:p/>
    <w:p>
      <w:pPr/>
      <w:r>
        <w:rPr/>
        <w:t xml:space="preserve">UL Up1els Ldall opl cau 1-24 LLl aALLu UEVYdSILe on surfaces. The virus can remain viable on surfaces for days in favourable atmospheric conditions but are destroyed in less than a minute by common disinfectants like sodium hypochlorite, hydrogen peroxide etc. [13]. Infection is acquired either by inhalation of these droplets or touching surfaces contaminated by them and then touching the nose, mouth and eyes. The virus is also present in the stool and contamination of the water supply and subsequent transmission via aerosolization/feco oral route is also hypothesized [6]. As per current information, transplacental transmission from pregnant women to their fetus has not been described [14]. However, neonatal disease due to post natal transmission is described [14]. The incubation period varies from 2 to 14 d [median 5 d]. Studies have identified angiotensin receptor 2 (ACF.\ ac tha rarantnr thraich wrhich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