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IMG_0182</w:t>
      </w:r>
    </w:p>
    <w:p/>
    <w:p/>
    <w:p>
      <w:pPr/>
      <w:r>
        <w:rPr/>
        <w:t xml:space="preserve"> Cases continued to increase exponentially and modelling studies reported an epidemic doubling time of 1.8 d [10]. In fact on the 12th of February, China changed its definition of confirmed cases to include patients with negative/ pending molecular tests but with clinical, radiologic and epidemiologic features of COVID-19 leading to an increase in cases by 15,000 in a single day [6]. As of 05/03/2020 96,000 cases worldwide (80,000 in China) and 87 other countries and 1 international conveyance (696, in the cruise ship Diamond Princess parked off the coast of Japan) have been reported [2]. It is important to note that while the number of new cases has reduced in China lately, they have increased exponentially in other countries including South Korea, Italy and Iran. Of those infected, 20% are in critical nandAitinn ICN hares vanartravn A ana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2023-07-24T18:45:41+02:00</dcterms:created>
  <dcterms:modified xsi:type="dcterms:W3CDTF">2023-07-24T18:45:41+02:00</dcterms:modified>
</cp:coreProperties>
</file>

<file path=docProps/custom.xml><?xml version="1.0" encoding="utf-8"?>
<Properties xmlns="http://schemas.openxmlformats.org/officeDocument/2006/custom-properties" xmlns:vt="http://schemas.openxmlformats.org/officeDocument/2006/docPropsVTypes"/>
</file>