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IMG_0195</w:t>
      </w:r>
    </w:p>
    <w:p/>
    <w:p/>
    <w:p>
      <w:pPr/>
      <w:r>
        <w:rPr/>
        <w:t xml:space="preserve">have only mild diseases (non- pneumonia or mild pneumonia) or are asymptomatic”*’. Notably, the risk of disease was not higher for pregnant women. However, evidence of transplacental transmission of SARS-CoV-2 rom an infected mother to a neonate was reported, although it was an isolated case****. On infection, the most common symptoms are fever, fatigue and dry cough'**°s!, Less common symptoms include sputum production, headache, haemoptysis, diarrhoea, anorexia, sore throat, chest pain, chills and nausea and vomiting in studies of patients in China'*°**', Self-reported olfac- ‘ory and taste disorders were also reported by patients in Italy*. Most people showed signs of diseases after an incubation period of 1-14 days (most commonly around 5 days), and dyspnoea and pneumonia developed within a median time of 8 days from illness onset”. In a report of 72,314 cases in China, 81% of the cases were Classified as mild, 14% were severe cases that required ventilation in an intensive care unit (ICU) and a 5% were critical (that is, the patients had respiratory failure, septic shock and/or multiple organ dysfunction or failure)”*°. On admission, ground-glass opacity was the most common radiologic finding on chest computed tomography (CT)'***°*, Most patients also developed marked lymphopenia, similar to what was observed in patients with SARS and MERS, and non-survivors devel- oped severer lymphopenia over time'***!, Compared with non-ICU patients, ICU patients had higher levels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2023-07-24T18:29:13+02:00</dcterms:created>
  <dcterms:modified xsi:type="dcterms:W3CDTF">2023-07-24T18:29:13+02:00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