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IMG_0202</w:t>
      </w:r>
    </w:p>
    <w:p/>
    <w:p/>
    <w:p>
      <w:pPr/>
      <w:r>
        <w:rPr/>
        <w:t xml:space="preserve"> ra @ ncbi.nim.nih.gov/pme/arti identified angiotensin receptor 2 (ACE,) as the receptor through which the virus enters the respiratory mucosa [11]. The basic case reproduction rate (BCR) is estimated to range from 2 to 6.47 in various modelling studies [11]. In comparison, the BCR of SARS was 2 and 1.3 for pandemic flu H1N1 2009 [2]. Clinical Features [8, 15-18] The clinical features of COVID-19 are varied, ranging from asymptomatic state to acute respiratory distress syndrome and multi organ dysfunction. The common clinical features include fever (not in all), cough, sore throat, headache, fatigue, headache, myalgia and breathlessness. Conjunctivitis has also been described. Thus, they are indistinguishable from athar racniratary infactinne Tn a eitheat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2023-07-24T18:29:14+02:00</dcterms:created>
  <dcterms:modified xsi:type="dcterms:W3CDTF">2023-07-24T18:29:14+02:00</dcterms:modified>
</cp:coreProperties>
</file>

<file path=docProps/custom.xml><?xml version="1.0" encoding="utf-8"?>
<Properties xmlns="http://schemas.openxmlformats.org/officeDocument/2006/custom-properties" xmlns:vt="http://schemas.openxmlformats.org/officeDocument/2006/docPropsVTypes"/>
</file>