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IMG_0218</w:t>
      </w:r>
    </w:p>
    <w:p/>
    <w:p/>
    <w:p>
      <w:pPr/>
      <w:r>
        <w:rPr/>
        <w:t xml:space="preserve"> (uouuiy ULE LAUity UU ULvoe Wau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 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