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IMG_0227</w:t>
      </w:r>
    </w:p>
    <w:p/>
    <w:p/>
    <w:p>
      <w:pPr/>
      <w:r>
        <w:rPr/>
        <w:t xml:space="preserve">bilateral lung infiltration®’. Among the first 27 docu- mented hospitalized patients, most cases were epidemi- ologically linked to Huanan Seafood Wholesale Market a wet market located in downtown Wuhan, which sells not only seafood but also live animals, including poultry and wildlife**. According to a retrospective study, the onset of the first known case dates back to 8 December 2019 (REF.”). On 31 December, Wuhan Municipal Health Commission notified the public of a pneumonia out: break of unidentified cause and informed the Worl¢ Health Organization (WHO) (FIG. 1). By metagenomic RNA sequencing and virus isola. tion from bronchoalveolar lavage fluid samples from patients with severe pneumonia, independent teams of Chinese scientists identified that the causative agent o: this emerging disease is a betacoronavirus that had never been seen before®!"'. On 9 January 2020, the result o: this etiological identification was publicly announcec¢ (FIG. 1). The first genome sequence of the novel coro- navirus was published on the Virological website or 10 January, and more nearly complete genome sequences determined by different research institutes were ther released via the GISAID database on 12 January’ Later, more patients with no history of exposure tc Huanan Seafood Wholesale Market were identified Several familial clusters of infection were reported. and nosocomial infection also occurred in health-care acilities. All these cases provided clear evidence for human-to-human transmission of the new virus*!’- As the outbreak coincided with the approach of the lunar New Year, travel between cities before the festiva! acilitated virus transmission in China. This novel coro- navirus pneumonia soon spread to other cities in Hube: province and to other varts of China. Within 1 month</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