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IMG_0230</w:t>
      </w:r>
    </w:p>
    <w:p/>
    <w:p/>
    <w:p>
      <w:pPr/>
      <w:r>
        <w:rPr/>
        <w:t xml:space="preserve">ra @ ncbi.nim.nih.gov/pme/arti [median 17 d]. In the case series of children discussed earlier, all children recovered with basic treatment and did not need intensive care [17]. 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COVID-19 [21, 28, 29]. Additionally, recommendations about using traditional Chinese herbs find place in the Chinese guidelines [21]. Prevention [21, 30] a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