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IMG_0230</w:t>
      </w:r>
    </w:p>
    <w:p/>
    <w:p/>
    <w:p>
      <w:pPr/>
      <w:r>
        <w:rPr/>
        <w:t xml:space="preserve">ra @ ncbi.nim.nih.gov/pme/arti [median 17 d]. In the case series of children discussed earlier, all children recovered with basic treatment and did not need intensive care [17]. There is anecdotal experience with use of remdeswir, a broad spectrum anti RNA drug developed for Ebola in management of COVID-19 [27]. More evidence is needed before these drugs are recommended. Other drugs proposed for therapy are arbidol (an antiviral drug available in Russia and China), intravenous immunoglobulin, interferons, chloroquine and plasma of patients recovered from COVID-19 [21, 28, 29]. Additionally, recommendations about using traditional Chinese herbs find place in the Chinese guidelines [21]. Prevention [21, 30] a a</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2023-07-24T18:29:14+02:00</dcterms:created>
  <dcterms:modified xsi:type="dcterms:W3CDTF">2023-07-24T18:29:14+02:00</dcterms:modified>
</cp:coreProperties>
</file>

<file path=docProps/custom.xml><?xml version="1.0" encoding="utf-8"?>
<Properties xmlns="http://schemas.openxmlformats.org/officeDocument/2006/custom-properties" xmlns:vt="http://schemas.openxmlformats.org/officeDocument/2006/docPropsVTypes"/>
</file>