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IMG_0237</w:t>
      </w:r>
    </w:p>
    <w:p/>
    <w:p/>
    <w:p>
      <w:pPr/>
      <w:r>
        <w:rPr/>
        <w:t xml:space="preserve">arucle gives a bird’s eye view about this new virus. Since knowledge about this virus is rapidly evolving, readers are urged to update themselves regularly. History Coronaviruses are enveloped positive sense RNA viruses ranging from 60 nm to 140 nm in diameter with spike like projections on its surface giving ita crown like appearance under the electron microscope; hence the name coronavirus [3]. Four corona viruses namely HKU1, NL63, 229E and OC43 have been in circulation in humans, and generally cause mild respiratory disease. There have been two events in the past two decades wherein crossover of animal betacorona viruses to humans has resulted in severe disease. The first such instance was in 2002-2003 when a ies I arene ees ys (Oca sees ey</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