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IMG_0238</w:t>
      </w:r>
    </w:p>
    <w:p/>
    <w:p/>
    <w:p>
      <w:pPr/>
      <w:r>
        <w:rPr/>
        <w:t xml:space="preserve"> ro ro ro a (entertainment parks etc). China is also considering introducing legislation to prohibit selling and trading of wild animals [32]. The international response has been dramatic. Initially, there were massive travel restrictions to China and people returning from China/ evacuated from China are being evaluated for clinical symptoms, isolated and tested for COVID-19 for 2 wks even if asymptomatic. However, now with rapid world wide spread of the virus these travel restrictions have extended to other countries. Whether these efforts will lead to slowing of viral spread is not known. A candidate vaccine is under development. Practice Points from an Indian Perspective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2023-07-24T18:45:42+02:00</dcterms:created>
  <dcterms:modified xsi:type="dcterms:W3CDTF">2023-07-24T18:45:42+02:00</dcterms:modified>
</cp:coreProperties>
</file>

<file path=docProps/custom.xml><?xml version="1.0" encoding="utf-8"?>
<Properties xmlns="http://schemas.openxmlformats.org/officeDocument/2006/custom-properties" xmlns:vt="http://schemas.openxmlformats.org/officeDocument/2006/docPropsVTypes"/>
</file>