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IMG_0250</w:t>
      </w:r>
    </w:p>
    <w:p/>
    <w:p/>
    <w:p>
      <w:pPr/>
      <w:r>
        <w:rPr/>
        <w:t xml:space="preserve">mask and practice cough hygiene. Caregivers should be asked to wear a surgical mask when in the same room as patient and use hand hygiene every 15-20 min. The greatest risk in COVID-19 is transmission to healthcare workers. In the SARS outbreak of 2002, 21% of those affected were healthcare workers [31]. Till date, almost 1500 healthcare workers in China have been infected with 6 deaths. The doctor who first warned about the virus has died too. It is important to protect healthcare workers to ensure continuity of care and to prevent transmission of infection to other patients. While COVID-19 transmits as a droplet pathogen and is placed in Category B of infectious agents (highly pathogenic H5N1 and SARS), by the China National Health Commission, infection control measures recommended are those for</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2023-07-24T18:29:14+02:00</dcterms:created>
  <dcterms:modified xsi:type="dcterms:W3CDTF">2023-07-24T18:29:14+02:00</dcterms:modified>
</cp:coreProperties>
</file>

<file path=docProps/custom.xml><?xml version="1.0" encoding="utf-8"?>
<Properties xmlns="http://schemas.openxmlformats.org/officeDocument/2006/custom-properties" xmlns:vt="http://schemas.openxmlformats.org/officeDocument/2006/docPropsVTypes"/>
</file>