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IMG_0280</w:t>
      </w:r>
    </w:p>
    <w:p/>
    <w:p/>
    <w:p>
      <w:pPr/>
      <w:r>
        <w:rPr/>
        <w:t xml:space="preserve">the SARS- CoV. Environmental samples from the Huanan sea food market also tested positive, signifying that the virus originated from there [7]. The number of cases started increasing exponentially, some of which did not have exposure to the live animal market, suggestive of the fact that human-to-human transmission was occurring [8]. The first fatal case was reported on 11th Jan 2020. The massive migration of Chinese during the Chinese New Year fuelled the epidemic. Cases in other provinces of China, other countries (Thailand, Japan and South Korea in quick succession) were reported in people who were returning from Wuhan. Transmission to healthcare workers caring for patients was described on 20th Jan, 2020. By 23rd January, the 11 million population of Wuhan was placed under lock down with restrictions of entry and exit from the region. Soon this lock down was</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2023-07-24T18:29:14+02:00</dcterms:created>
  <dcterms:modified xsi:type="dcterms:W3CDTF">2023-07-24T18:29:14+02:00</dcterms:modified>
</cp:coreProperties>
</file>

<file path=docProps/custom.xml><?xml version="1.0" encoding="utf-8"?>
<Properties xmlns="http://schemas.openxmlformats.org/officeDocument/2006/custom-properties" xmlns:vt="http://schemas.openxmlformats.org/officeDocument/2006/docPropsVTypes"/>
</file>