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IMG_0290</w:t>
      </w:r>
    </w:p>
    <w:p/>
    <w:p/>
    <w:p>
      <w:pPr/>
      <w:r>
        <w:rPr/>
        <w:t xml:space="preserve"> OQ — @ ncbinim.nih.gov/pmc/arti glass opacities and sub segmental consolidation. It is also abnormal in asymptomatic patients/ patients with no clinical evidence of lower respiratory tract involvement. In fact, abnormal CT scans have been used to diagnose COVID-19 in suspect cases with negative molecular diagnosis; many of these patients had positive molecular tests on repeat testing [22]. Differential Diagnosis [21] The differential diagnosis includes all types of respiratory viral infections [influenza, parainfluenza, respiratory syncytial virus (RSV), adenovirus, human metapneumovirus, non COVID- 19 coronavirus], atypical organisms (mycoplasma, chlamydia) and bacterial infections. It is not possible to differentiate COVID-19 from these infections clinically or through routine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2023-07-24T18:29:15+02:00</dcterms:created>
  <dcterms:modified xsi:type="dcterms:W3CDTF">2023-07-24T18:29:15+02:00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