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IMG_8102</w:t>
      </w:r>
    </w:p>
    <w:p/>
    <w:p/>
    <w:p>
      <w:pPr/>
      <w:r>
        <w:rPr/>
        <w:t xml:space="preserve">sensitive diagnostic method that does not require sophisticated equipment or skilled personnel (349). An interactive web-based dashboard for tracking SARS-CoV-2 in a real-time mode has been designed (238). A smartphone-integrated home-based point- of-care testing (POCT) tool, a paper-based POCT combined with LAMP, is a useful point-of-care diagnostic (353). An Abbott ID Now COVID-19 molecular POCT-based test, using isothermal nucleic acid amplification technology, has been designed as a point-of-care test for very rapid detection of SARS-CoV-2 in just 5 min (344). A CRISPR-based SHERLOCK (specific high-sensitivity enzymatic reporter unlocking) diagnostic for rapid detection of SARS-CoV-2 without the requirement of specialized instrumentation has been reported to be very useful in the clinical diagnosis of COVID-19 (360). A CRISPR-Cas12-based lateral flow assay also has been developed for rapid detection of SARS-CoV-2 (346). Artificial intelligence, by means of a three- dimensional deep-learning model, has _ been developed for sensitive and specific diagnosis of COVID-19 via CT images (332). Tracking and mapping of the rising incidence rates, disease outbreaks, community _ spread,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