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IMG_8109</w:t>
      </w:r>
    </w:p>
    <w:p/>
    <w:p/>
    <w:p>
      <w:pPr/>
      <w:r>
        <w:rPr/>
        <w:t xml:space="preserve">a control arm, and most of the trials of favilavir were based on a small sample size. For more reliable assess- ment of the effectiveness of favilavir for treating COVID-19, large-scale randomized controlled trials should be conducted. Lopinavir and ritonavir were reported to have in vitro inhibitory activity against SARS-CoV and MERS-CoV“™!'’, Alone, the combination of lopinavir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2023-07-24T18:45:43+02:00</dcterms:created>
  <dcterms:modified xsi:type="dcterms:W3CDTF">2023-07-24T18:45:43+02:00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